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4D5" w:rsidRDefault="00BF737F" w:rsidP="005744D5">
      <w:pPr>
        <w:rPr>
          <w:rFonts w:ascii="Times New Roman" w:hAnsi="Times New Roman" w:cs="Times New Roman"/>
          <w:sz w:val="20"/>
          <w:szCs w:val="20"/>
          <w:lang w:val="en-US"/>
        </w:rPr>
      </w:pPr>
      <w:r w:rsidRPr="00BF737F">
        <w:rPr>
          <w:rFonts w:ascii="Times New Roman" w:hAnsi="Times New Roman" w:cs="Times New Roman"/>
          <w:sz w:val="20"/>
          <w:szCs w:val="20"/>
        </w:rPr>
        <w:t>Table e1</w:t>
      </w:r>
      <w:bookmarkStart w:id="0" w:name="_GoBack"/>
      <w:bookmarkEnd w:id="0"/>
      <w:r w:rsidR="0036188C" w:rsidRPr="0036188C">
        <w:rPr>
          <w:rFonts w:ascii="Times New Roman" w:hAnsi="Times New Roman" w:cs="Times New Roman"/>
          <w:sz w:val="20"/>
          <w:szCs w:val="20"/>
        </w:rPr>
        <w:t xml:space="preserve"> : Multivariable logistic regression analysis identifying factors associated with adherence to donning and doffing procedures during direct face to face contact among infected healthcare personnel in Addis Ababa, Ethiopia from March 2020 to March 2021(N=742)</w:t>
      </w:r>
      <w:r w:rsidR="0036188C">
        <w:rPr>
          <w:rFonts w:ascii="Times New Roman" w:hAnsi="Times New Roman" w:cs="Times New Roman"/>
          <w:sz w:val="20"/>
          <w:szCs w:val="20"/>
          <w:lang w:val="en-US"/>
        </w:rPr>
        <w:t xml:space="preserve"> (Full Model)</w:t>
      </w:r>
    </w:p>
    <w:p w:rsidR="0036188C" w:rsidRPr="0036188C" w:rsidRDefault="0036188C" w:rsidP="005744D5">
      <w:pPr>
        <w:rPr>
          <w:rFonts w:ascii="Times New Roman" w:hAnsi="Times New Roman" w:cs="Times New Roman"/>
          <w:sz w:val="20"/>
          <w:szCs w:val="20"/>
          <w:lang w:val="en-US"/>
        </w:rPr>
      </w:pPr>
    </w:p>
    <w:tbl>
      <w:tblPr>
        <w:tblStyle w:val="PlainTable2"/>
        <w:tblW w:w="9720" w:type="dxa"/>
        <w:tblInd w:w="-180" w:type="dxa"/>
        <w:tblLook w:val="04A0" w:firstRow="1" w:lastRow="0" w:firstColumn="1" w:lastColumn="0" w:noHBand="0" w:noVBand="1"/>
      </w:tblPr>
      <w:tblGrid>
        <w:gridCol w:w="2054"/>
        <w:gridCol w:w="2266"/>
        <w:gridCol w:w="1170"/>
        <w:gridCol w:w="990"/>
        <w:gridCol w:w="900"/>
        <w:gridCol w:w="900"/>
        <w:gridCol w:w="1440"/>
      </w:tblGrid>
      <w:tr w:rsidR="008F3CCA" w:rsidRPr="008F3CCA" w:rsidTr="003618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Variable </w:t>
            </w:r>
          </w:p>
        </w:tc>
        <w:tc>
          <w:tcPr>
            <w:tcW w:w="2266" w:type="dxa"/>
          </w:tcPr>
          <w:p w:rsidR="00143920" w:rsidRPr="008F3CCA" w:rsidRDefault="00143920" w:rsidP="001439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Category </w:t>
            </w:r>
          </w:p>
        </w:tc>
        <w:tc>
          <w:tcPr>
            <w:tcW w:w="1170" w:type="dxa"/>
          </w:tcPr>
          <w:p w:rsidR="00143920" w:rsidRPr="008F3CCA" w:rsidRDefault="00143920" w:rsidP="001439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Odds Ratio </w:t>
            </w:r>
          </w:p>
        </w:tc>
        <w:tc>
          <w:tcPr>
            <w:tcW w:w="990" w:type="dxa"/>
          </w:tcPr>
          <w:p w:rsidR="00143920" w:rsidRPr="008F3CCA" w:rsidRDefault="00143920" w:rsidP="001439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Std. Err. </w:t>
            </w:r>
          </w:p>
        </w:tc>
        <w:tc>
          <w:tcPr>
            <w:tcW w:w="900" w:type="dxa"/>
          </w:tcPr>
          <w:p w:rsidR="00143920" w:rsidRPr="008F3CCA" w:rsidRDefault="00143920" w:rsidP="001439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z </w:t>
            </w:r>
          </w:p>
        </w:tc>
        <w:tc>
          <w:tcPr>
            <w:tcW w:w="900" w:type="dxa"/>
          </w:tcPr>
          <w:p w:rsidR="00143920" w:rsidRPr="008F3CCA" w:rsidRDefault="00143920" w:rsidP="001439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P&gt; z</w:t>
            </w:r>
          </w:p>
        </w:tc>
        <w:tc>
          <w:tcPr>
            <w:tcW w:w="1440" w:type="dxa"/>
          </w:tcPr>
          <w:p w:rsidR="00143920" w:rsidRPr="008F3CCA" w:rsidRDefault="00143920" w:rsidP="001439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95% CI</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Professional category </w:t>
            </w:r>
          </w:p>
        </w:tc>
        <w:tc>
          <w:tcPr>
            <w:tcW w:w="2266"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w:t>
            </w:r>
            <w:r w:rsidR="008F3CCA" w:rsidRPr="008F3CCA">
              <w:rPr>
                <w:rFonts w:ascii="Times New Roman" w:hAnsi="Times New Roman" w:cs="Times New Roman"/>
                <w:sz w:val="18"/>
                <w:szCs w:val="18"/>
              </w:rPr>
              <w:t>Supporting staff (ref: Health care professionals)</w:t>
            </w:r>
          </w:p>
        </w:tc>
        <w:tc>
          <w:tcPr>
            <w:tcW w:w="117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0.601 </w:t>
            </w:r>
          </w:p>
        </w:tc>
        <w:tc>
          <w:tcPr>
            <w:tcW w:w="99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0.308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-0.99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0.321 </w:t>
            </w:r>
          </w:p>
        </w:tc>
        <w:tc>
          <w:tcPr>
            <w:tcW w:w="144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0.220 – 1.642</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vMerge w:val="restart"/>
          </w:tcPr>
          <w:p w:rsidR="008F3CCA" w:rsidRPr="008F3CCA" w:rsidRDefault="008F3CCA" w:rsidP="00143920">
            <w:pPr>
              <w:rPr>
                <w:rFonts w:ascii="Times New Roman" w:hAnsi="Times New Roman" w:cs="Times New Roman"/>
                <w:sz w:val="18"/>
                <w:szCs w:val="18"/>
              </w:rPr>
            </w:pPr>
            <w:r w:rsidRPr="008F3CCA">
              <w:rPr>
                <w:rFonts w:ascii="Times New Roman" w:hAnsi="Times New Roman" w:cs="Times New Roman"/>
                <w:sz w:val="18"/>
                <w:szCs w:val="18"/>
              </w:rPr>
              <w:t xml:space="preserve">Site of work (Ref: HPDA)  </w:t>
            </w:r>
          </w:p>
        </w:tc>
        <w:tc>
          <w:tcPr>
            <w:tcW w:w="2266"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GHR </w:t>
            </w:r>
          </w:p>
        </w:tc>
        <w:tc>
          <w:tcPr>
            <w:tcW w:w="117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0.117 </w:t>
            </w:r>
          </w:p>
        </w:tc>
        <w:tc>
          <w:tcPr>
            <w:tcW w:w="99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0.030 </w:t>
            </w:r>
          </w:p>
        </w:tc>
        <w:tc>
          <w:tcPr>
            <w:tcW w:w="90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-8.31 </w:t>
            </w:r>
          </w:p>
        </w:tc>
        <w:tc>
          <w:tcPr>
            <w:tcW w:w="90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&lt;0.001 </w:t>
            </w:r>
          </w:p>
        </w:tc>
        <w:tc>
          <w:tcPr>
            <w:tcW w:w="144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0.071 – 0.194</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vMerge/>
          </w:tcPr>
          <w:p w:rsidR="008F3CCA" w:rsidRPr="008F3CCA" w:rsidRDefault="008F3CCA" w:rsidP="00143920">
            <w:pPr>
              <w:rPr>
                <w:rFonts w:ascii="Times New Roman" w:hAnsi="Times New Roman" w:cs="Times New Roman"/>
                <w:sz w:val="18"/>
                <w:szCs w:val="18"/>
              </w:rPr>
            </w:pPr>
          </w:p>
        </w:tc>
        <w:tc>
          <w:tcPr>
            <w:tcW w:w="2266"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MRCA </w:t>
            </w:r>
          </w:p>
        </w:tc>
        <w:tc>
          <w:tcPr>
            <w:tcW w:w="117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0.072 </w:t>
            </w:r>
          </w:p>
        </w:tc>
        <w:tc>
          <w:tcPr>
            <w:tcW w:w="99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0.022 </w:t>
            </w:r>
          </w:p>
        </w:tc>
        <w:tc>
          <w:tcPr>
            <w:tcW w:w="90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-8.49 </w:t>
            </w:r>
          </w:p>
        </w:tc>
        <w:tc>
          <w:tcPr>
            <w:tcW w:w="90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&lt;0.001 </w:t>
            </w:r>
          </w:p>
        </w:tc>
        <w:tc>
          <w:tcPr>
            <w:tcW w:w="144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0.039 – 0.132</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vMerge/>
          </w:tcPr>
          <w:p w:rsidR="008F3CCA" w:rsidRPr="008F3CCA" w:rsidRDefault="008F3CCA" w:rsidP="00143920">
            <w:pPr>
              <w:rPr>
                <w:rFonts w:ascii="Times New Roman" w:hAnsi="Times New Roman" w:cs="Times New Roman"/>
                <w:sz w:val="18"/>
                <w:szCs w:val="18"/>
              </w:rPr>
            </w:pPr>
          </w:p>
        </w:tc>
        <w:tc>
          <w:tcPr>
            <w:tcW w:w="2266"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LRS </w:t>
            </w:r>
          </w:p>
        </w:tc>
        <w:tc>
          <w:tcPr>
            <w:tcW w:w="117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0.066 </w:t>
            </w:r>
          </w:p>
        </w:tc>
        <w:tc>
          <w:tcPr>
            <w:tcW w:w="99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0.029 </w:t>
            </w:r>
          </w:p>
        </w:tc>
        <w:tc>
          <w:tcPr>
            <w:tcW w:w="90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-6.18 </w:t>
            </w:r>
          </w:p>
        </w:tc>
        <w:tc>
          <w:tcPr>
            <w:tcW w:w="90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&lt;0.001 </w:t>
            </w:r>
          </w:p>
        </w:tc>
        <w:tc>
          <w:tcPr>
            <w:tcW w:w="144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0.028 – 0.157</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Comorbidity </w:t>
            </w:r>
          </w:p>
        </w:tc>
        <w:tc>
          <w:tcPr>
            <w:tcW w:w="2266"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Yes </w:t>
            </w:r>
          </w:p>
        </w:tc>
        <w:tc>
          <w:tcPr>
            <w:tcW w:w="117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0.664 </w:t>
            </w:r>
          </w:p>
        </w:tc>
        <w:tc>
          <w:tcPr>
            <w:tcW w:w="99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0.250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-1.09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0.277 </w:t>
            </w:r>
          </w:p>
        </w:tc>
        <w:tc>
          <w:tcPr>
            <w:tcW w:w="144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0.317 – 1.389</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Age category </w:t>
            </w:r>
          </w:p>
        </w:tc>
        <w:tc>
          <w:tcPr>
            <w:tcW w:w="2266"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(continuous) </w:t>
            </w:r>
          </w:p>
        </w:tc>
        <w:tc>
          <w:tcPr>
            <w:tcW w:w="117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1.164 </w:t>
            </w:r>
          </w:p>
        </w:tc>
        <w:tc>
          <w:tcPr>
            <w:tcW w:w="99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0.273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0.65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0.517 </w:t>
            </w:r>
          </w:p>
        </w:tc>
        <w:tc>
          <w:tcPr>
            <w:tcW w:w="144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0.735 – 1.844</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Gender </w:t>
            </w:r>
          </w:p>
        </w:tc>
        <w:tc>
          <w:tcPr>
            <w:tcW w:w="2266"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Male (ref: Female) </w:t>
            </w:r>
          </w:p>
        </w:tc>
        <w:tc>
          <w:tcPr>
            <w:tcW w:w="117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1.327 </w:t>
            </w:r>
          </w:p>
        </w:tc>
        <w:tc>
          <w:tcPr>
            <w:tcW w:w="99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0.295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1.27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0.203 </w:t>
            </w:r>
          </w:p>
        </w:tc>
        <w:tc>
          <w:tcPr>
            <w:tcW w:w="144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0.858 – 2.053</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IPC training </w:t>
            </w:r>
          </w:p>
        </w:tc>
        <w:tc>
          <w:tcPr>
            <w:tcW w:w="2266"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Yes </w:t>
            </w:r>
          </w:p>
        </w:tc>
        <w:tc>
          <w:tcPr>
            <w:tcW w:w="117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1.623 </w:t>
            </w:r>
          </w:p>
        </w:tc>
        <w:tc>
          <w:tcPr>
            <w:tcW w:w="99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0.355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2.21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0.027 </w:t>
            </w:r>
          </w:p>
        </w:tc>
        <w:tc>
          <w:tcPr>
            <w:tcW w:w="144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1.056 – 2.492</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Years of professional service </w:t>
            </w:r>
          </w:p>
        </w:tc>
        <w:tc>
          <w:tcPr>
            <w:tcW w:w="2266"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(continuous) </w:t>
            </w:r>
          </w:p>
        </w:tc>
        <w:tc>
          <w:tcPr>
            <w:tcW w:w="117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0.998 </w:t>
            </w:r>
          </w:p>
        </w:tc>
        <w:tc>
          <w:tcPr>
            <w:tcW w:w="99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0.027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-0.06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0.954 </w:t>
            </w:r>
          </w:p>
        </w:tc>
        <w:tc>
          <w:tcPr>
            <w:tcW w:w="144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0.947 – 1.053</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Marital status </w:t>
            </w:r>
          </w:p>
        </w:tc>
        <w:tc>
          <w:tcPr>
            <w:tcW w:w="2266"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Single (ref: Married) </w:t>
            </w:r>
          </w:p>
        </w:tc>
        <w:tc>
          <w:tcPr>
            <w:tcW w:w="117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1.154 </w:t>
            </w:r>
          </w:p>
        </w:tc>
        <w:tc>
          <w:tcPr>
            <w:tcW w:w="99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0.280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0.59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0.554 </w:t>
            </w:r>
          </w:p>
        </w:tc>
        <w:tc>
          <w:tcPr>
            <w:tcW w:w="144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0.718 – 1.856</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Substance abuse </w:t>
            </w:r>
          </w:p>
        </w:tc>
        <w:tc>
          <w:tcPr>
            <w:tcW w:w="2266"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Yes </w:t>
            </w:r>
          </w:p>
        </w:tc>
        <w:tc>
          <w:tcPr>
            <w:tcW w:w="117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4.006 </w:t>
            </w:r>
          </w:p>
        </w:tc>
        <w:tc>
          <w:tcPr>
            <w:tcW w:w="99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2.531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2.20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0.028 </w:t>
            </w:r>
          </w:p>
        </w:tc>
        <w:tc>
          <w:tcPr>
            <w:tcW w:w="144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1.161 – 13.822</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vMerge w:val="restart"/>
          </w:tcPr>
          <w:p w:rsidR="008F3CCA" w:rsidRPr="008F3CCA" w:rsidRDefault="008F3CCA" w:rsidP="00143920">
            <w:pPr>
              <w:rPr>
                <w:rFonts w:ascii="Ebrima" w:hAnsi="Ebrima" w:cs="Times New Roman"/>
                <w:sz w:val="18"/>
                <w:szCs w:val="18"/>
              </w:rPr>
            </w:pPr>
            <w:r w:rsidRPr="008F3CCA">
              <w:rPr>
                <w:rFonts w:ascii="Times New Roman" w:hAnsi="Times New Roman" w:cs="Times New Roman"/>
                <w:sz w:val="18"/>
                <w:szCs w:val="18"/>
              </w:rPr>
              <w:t xml:space="preserve">Working hours (Ref: &lt;8 hrs) </w:t>
            </w:r>
          </w:p>
        </w:tc>
        <w:tc>
          <w:tcPr>
            <w:tcW w:w="2266"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8–12 hrs </w:t>
            </w:r>
          </w:p>
        </w:tc>
        <w:tc>
          <w:tcPr>
            <w:tcW w:w="117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0.911 </w:t>
            </w:r>
          </w:p>
        </w:tc>
        <w:tc>
          <w:tcPr>
            <w:tcW w:w="99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0.331 </w:t>
            </w:r>
          </w:p>
        </w:tc>
        <w:tc>
          <w:tcPr>
            <w:tcW w:w="90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-0.26 </w:t>
            </w:r>
          </w:p>
        </w:tc>
        <w:tc>
          <w:tcPr>
            <w:tcW w:w="90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0.798 </w:t>
            </w:r>
          </w:p>
        </w:tc>
        <w:tc>
          <w:tcPr>
            <w:tcW w:w="1440" w:type="dxa"/>
          </w:tcPr>
          <w:p w:rsidR="008F3CCA" w:rsidRPr="008F3CCA" w:rsidRDefault="008F3CCA"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0.447 – 1.858</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vMerge/>
          </w:tcPr>
          <w:p w:rsidR="008F3CCA" w:rsidRPr="008F3CCA" w:rsidRDefault="008F3CCA" w:rsidP="00143920">
            <w:pPr>
              <w:rPr>
                <w:rFonts w:ascii="Times New Roman" w:hAnsi="Times New Roman" w:cs="Times New Roman"/>
                <w:sz w:val="18"/>
                <w:szCs w:val="18"/>
              </w:rPr>
            </w:pPr>
          </w:p>
        </w:tc>
        <w:tc>
          <w:tcPr>
            <w:tcW w:w="2266"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&gt;12 hrs </w:t>
            </w:r>
          </w:p>
        </w:tc>
        <w:tc>
          <w:tcPr>
            <w:tcW w:w="117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0.678 </w:t>
            </w:r>
          </w:p>
        </w:tc>
        <w:tc>
          <w:tcPr>
            <w:tcW w:w="99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0.260 </w:t>
            </w:r>
          </w:p>
        </w:tc>
        <w:tc>
          <w:tcPr>
            <w:tcW w:w="90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-1.01 </w:t>
            </w:r>
          </w:p>
        </w:tc>
        <w:tc>
          <w:tcPr>
            <w:tcW w:w="90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0.311 </w:t>
            </w:r>
          </w:p>
        </w:tc>
        <w:tc>
          <w:tcPr>
            <w:tcW w:w="1440" w:type="dxa"/>
          </w:tcPr>
          <w:p w:rsidR="008F3CCA" w:rsidRPr="008F3CCA" w:rsidRDefault="008F3CCA"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0.320 – 1.438</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Involved in AGP </w:t>
            </w:r>
          </w:p>
        </w:tc>
        <w:tc>
          <w:tcPr>
            <w:tcW w:w="2266"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Yes </w:t>
            </w:r>
          </w:p>
        </w:tc>
        <w:tc>
          <w:tcPr>
            <w:tcW w:w="117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3.538 </w:t>
            </w:r>
          </w:p>
        </w:tc>
        <w:tc>
          <w:tcPr>
            <w:tcW w:w="99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0.818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5.46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&lt;0.001 </w:t>
            </w:r>
          </w:p>
        </w:tc>
        <w:tc>
          <w:tcPr>
            <w:tcW w:w="144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2.248 – 5.567</w:t>
            </w:r>
          </w:p>
        </w:tc>
      </w:tr>
      <w:tr w:rsidR="008F3CCA" w:rsidRPr="008F3CCA" w:rsidTr="00361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Stress at time of event </w:t>
            </w:r>
          </w:p>
        </w:tc>
        <w:tc>
          <w:tcPr>
            <w:tcW w:w="2266"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Yes </w:t>
            </w:r>
          </w:p>
        </w:tc>
        <w:tc>
          <w:tcPr>
            <w:tcW w:w="117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0.941 </w:t>
            </w:r>
          </w:p>
        </w:tc>
        <w:tc>
          <w:tcPr>
            <w:tcW w:w="99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0.206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-0.28 </w:t>
            </w:r>
          </w:p>
        </w:tc>
        <w:tc>
          <w:tcPr>
            <w:tcW w:w="90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0.780 </w:t>
            </w:r>
          </w:p>
        </w:tc>
        <w:tc>
          <w:tcPr>
            <w:tcW w:w="1440" w:type="dxa"/>
          </w:tcPr>
          <w:p w:rsidR="00143920" w:rsidRPr="008F3CCA" w:rsidRDefault="00143920" w:rsidP="001439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0.613 – 1.445</w:t>
            </w:r>
          </w:p>
        </w:tc>
      </w:tr>
      <w:tr w:rsidR="008F3CCA" w:rsidRPr="008F3CCA" w:rsidTr="0036188C">
        <w:tc>
          <w:tcPr>
            <w:cnfStyle w:val="001000000000" w:firstRow="0" w:lastRow="0" w:firstColumn="1" w:lastColumn="0" w:oddVBand="0" w:evenVBand="0" w:oddHBand="0" w:evenHBand="0" w:firstRowFirstColumn="0" w:firstRowLastColumn="0" w:lastRowFirstColumn="0" w:lastRowLastColumn="0"/>
            <w:tcW w:w="2054" w:type="dxa"/>
          </w:tcPr>
          <w:p w:rsidR="00143920" w:rsidRPr="008F3CCA" w:rsidRDefault="00143920" w:rsidP="00143920">
            <w:pPr>
              <w:rPr>
                <w:rFonts w:ascii="Times New Roman" w:hAnsi="Times New Roman" w:cs="Times New Roman"/>
                <w:sz w:val="18"/>
                <w:szCs w:val="18"/>
              </w:rPr>
            </w:pPr>
            <w:r w:rsidRPr="008F3CCA">
              <w:rPr>
                <w:rFonts w:ascii="Times New Roman" w:hAnsi="Times New Roman" w:cs="Times New Roman"/>
                <w:sz w:val="18"/>
                <w:szCs w:val="18"/>
              </w:rPr>
              <w:t xml:space="preserve">Constant </w:t>
            </w:r>
          </w:p>
        </w:tc>
        <w:tc>
          <w:tcPr>
            <w:tcW w:w="2266"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w:t>
            </w:r>
          </w:p>
        </w:tc>
        <w:tc>
          <w:tcPr>
            <w:tcW w:w="117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0.629 </w:t>
            </w:r>
          </w:p>
        </w:tc>
        <w:tc>
          <w:tcPr>
            <w:tcW w:w="99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0.358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-0.82 </w:t>
            </w:r>
          </w:p>
        </w:tc>
        <w:tc>
          <w:tcPr>
            <w:tcW w:w="90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0.415 </w:t>
            </w:r>
          </w:p>
        </w:tc>
        <w:tc>
          <w:tcPr>
            <w:tcW w:w="1440" w:type="dxa"/>
          </w:tcPr>
          <w:p w:rsidR="00143920" w:rsidRPr="008F3CCA" w:rsidRDefault="00143920" w:rsidP="001439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F3CCA">
              <w:rPr>
                <w:rFonts w:ascii="Times New Roman" w:hAnsi="Times New Roman" w:cs="Times New Roman"/>
                <w:sz w:val="18"/>
                <w:szCs w:val="18"/>
              </w:rPr>
              <w:t xml:space="preserve"> 0.206 – 1.919</w:t>
            </w:r>
          </w:p>
        </w:tc>
      </w:tr>
    </w:tbl>
    <w:p w:rsidR="008F3CCA" w:rsidRDefault="008F3CCA" w:rsidP="008F3CCA">
      <w:pPr>
        <w:rPr>
          <w:rFonts w:ascii="Ebrima" w:hAnsi="Ebrima" w:cs="Times New Roman"/>
          <w:b/>
          <w:bCs/>
        </w:rPr>
      </w:pPr>
    </w:p>
    <w:p w:rsidR="008F3CCA" w:rsidRPr="008F3CCA" w:rsidRDefault="008F3CCA" w:rsidP="008F3CCA">
      <w:pPr>
        <w:rPr>
          <w:rFonts w:ascii="Times New Roman" w:hAnsi="Times New Roman" w:cs="Times New Roman"/>
          <w:sz w:val="18"/>
          <w:szCs w:val="18"/>
        </w:rPr>
      </w:pPr>
      <w:r w:rsidRPr="008F3CCA">
        <w:rPr>
          <w:rFonts w:ascii="Times New Roman" w:hAnsi="Times New Roman" w:cs="Times New Roman"/>
          <w:b/>
          <w:bCs/>
          <w:sz w:val="18"/>
          <w:szCs w:val="18"/>
        </w:rPr>
        <w:t>Abbreviations:</w:t>
      </w:r>
      <w:r w:rsidRPr="008F3CCA">
        <w:rPr>
          <w:rFonts w:ascii="Times New Roman" w:hAnsi="Times New Roman" w:cs="Times New Roman"/>
          <w:sz w:val="18"/>
          <w:szCs w:val="18"/>
          <w:lang w:val="en-US"/>
        </w:rPr>
        <w:t xml:space="preserve"> </w:t>
      </w:r>
      <w:r w:rsidRPr="008F3CCA">
        <w:rPr>
          <w:rFonts w:ascii="Times New Roman" w:hAnsi="Times New Roman" w:cs="Times New Roman"/>
          <w:sz w:val="18"/>
          <w:szCs w:val="18"/>
        </w:rPr>
        <w:t>HPDA = High-Pathogen Designated Areas; GHR = General High-Risk Areas; MRCA = Medium-Risk Clinical Areas; LRS = Low-Risk Support Areas; AGP = Aerosol-Generating Procedure; IPC = Infection Prevention and Control; CI = Confidence Interval; Ref = Reference category.</w:t>
      </w:r>
    </w:p>
    <w:p w:rsidR="008F3CCA" w:rsidRPr="008F3CCA" w:rsidRDefault="008F3CCA" w:rsidP="008F3CCA">
      <w:pPr>
        <w:rPr>
          <w:rFonts w:ascii="Times New Roman" w:hAnsi="Times New Roman" w:cs="Times New Roman"/>
          <w:sz w:val="18"/>
          <w:szCs w:val="18"/>
        </w:rPr>
      </w:pPr>
      <w:r w:rsidRPr="008F3CCA">
        <w:rPr>
          <w:rFonts w:ascii="Times New Roman" w:hAnsi="Times New Roman" w:cs="Times New Roman"/>
          <w:b/>
          <w:bCs/>
          <w:sz w:val="18"/>
          <w:szCs w:val="18"/>
        </w:rPr>
        <w:t>Footnotes:</w:t>
      </w:r>
    </w:p>
    <w:p w:rsidR="008F3CCA" w:rsidRPr="008F3CCA" w:rsidRDefault="008F3CCA" w:rsidP="008F3CCA">
      <w:pPr>
        <w:numPr>
          <w:ilvl w:val="0"/>
          <w:numId w:val="1"/>
        </w:numPr>
        <w:spacing w:after="0"/>
        <w:rPr>
          <w:rFonts w:ascii="Times New Roman" w:hAnsi="Times New Roman" w:cs="Times New Roman"/>
          <w:sz w:val="18"/>
          <w:szCs w:val="18"/>
        </w:rPr>
      </w:pPr>
      <w:r w:rsidRPr="008F3CCA">
        <w:rPr>
          <w:rFonts w:ascii="Times New Roman" w:hAnsi="Times New Roman" w:cs="Times New Roman"/>
          <w:sz w:val="18"/>
          <w:szCs w:val="18"/>
        </w:rPr>
        <w:t>All categorical variables are presented with their reference category indicated in parentheses.</w:t>
      </w:r>
    </w:p>
    <w:p w:rsidR="008F3CCA" w:rsidRPr="008F3CCA" w:rsidRDefault="008F3CCA" w:rsidP="008F3CCA">
      <w:pPr>
        <w:numPr>
          <w:ilvl w:val="0"/>
          <w:numId w:val="1"/>
        </w:numPr>
        <w:spacing w:after="0"/>
        <w:rPr>
          <w:rFonts w:ascii="Times New Roman" w:hAnsi="Times New Roman" w:cs="Times New Roman"/>
          <w:sz w:val="18"/>
          <w:szCs w:val="18"/>
        </w:rPr>
      </w:pPr>
      <w:r w:rsidRPr="008F3CCA">
        <w:rPr>
          <w:rFonts w:ascii="Times New Roman" w:hAnsi="Times New Roman" w:cs="Times New Roman"/>
          <w:sz w:val="18"/>
          <w:szCs w:val="18"/>
        </w:rPr>
        <w:t>Odds Ratios (OR) are adjusted for all other variables shown in the table.</w:t>
      </w:r>
    </w:p>
    <w:p w:rsidR="008F3CCA" w:rsidRPr="008F3CCA" w:rsidRDefault="008F3CCA" w:rsidP="008F3CCA">
      <w:pPr>
        <w:numPr>
          <w:ilvl w:val="0"/>
          <w:numId w:val="1"/>
        </w:numPr>
        <w:spacing w:after="0"/>
        <w:rPr>
          <w:rFonts w:ascii="Times New Roman" w:hAnsi="Times New Roman" w:cs="Times New Roman"/>
          <w:sz w:val="18"/>
          <w:szCs w:val="18"/>
        </w:rPr>
      </w:pPr>
      <w:r w:rsidRPr="008F3CCA">
        <w:rPr>
          <w:rFonts w:ascii="Times New Roman" w:hAnsi="Times New Roman" w:cs="Times New Roman"/>
          <w:sz w:val="18"/>
          <w:szCs w:val="18"/>
        </w:rPr>
        <w:t>P-values &lt; 0.05 are considered statistically significant (bolded in table).</w:t>
      </w:r>
    </w:p>
    <w:p w:rsidR="008F3CCA" w:rsidRPr="008F3CCA" w:rsidRDefault="008F3CCA" w:rsidP="008F3CCA">
      <w:pPr>
        <w:numPr>
          <w:ilvl w:val="0"/>
          <w:numId w:val="1"/>
        </w:numPr>
        <w:spacing w:after="0"/>
        <w:rPr>
          <w:rFonts w:ascii="Times New Roman" w:hAnsi="Times New Roman" w:cs="Times New Roman"/>
          <w:sz w:val="18"/>
          <w:szCs w:val="18"/>
        </w:rPr>
      </w:pPr>
      <w:r w:rsidRPr="008F3CCA">
        <w:rPr>
          <w:rFonts w:ascii="Times New Roman" w:hAnsi="Times New Roman" w:cs="Times New Roman"/>
          <w:sz w:val="18"/>
          <w:szCs w:val="18"/>
        </w:rPr>
        <w:t>The model included all candidate variables identified through bivariate screening (p &lt; 0.20).</w:t>
      </w:r>
    </w:p>
    <w:p w:rsidR="008F3CCA" w:rsidRPr="008F3CCA" w:rsidRDefault="008F3CCA" w:rsidP="008F3CCA">
      <w:pPr>
        <w:numPr>
          <w:ilvl w:val="0"/>
          <w:numId w:val="1"/>
        </w:numPr>
        <w:spacing w:after="0"/>
        <w:rPr>
          <w:rFonts w:ascii="Times New Roman" w:hAnsi="Times New Roman" w:cs="Times New Roman"/>
          <w:sz w:val="18"/>
          <w:szCs w:val="18"/>
        </w:rPr>
      </w:pPr>
      <w:r w:rsidRPr="008F3CCA">
        <w:rPr>
          <w:rFonts w:ascii="Times New Roman" w:hAnsi="Times New Roman" w:cs="Times New Roman"/>
          <w:sz w:val="18"/>
          <w:szCs w:val="18"/>
        </w:rPr>
        <w:t>Model diagnostics: Hosmer-Lemeshow goodness-of-fit χ² = 10.63 (p = 0.223); ROC-AUC = 0.811.</w:t>
      </w:r>
    </w:p>
    <w:p w:rsidR="008F3CCA" w:rsidRPr="008F3CCA" w:rsidRDefault="008F3CCA" w:rsidP="008F3CCA">
      <w:pPr>
        <w:numPr>
          <w:ilvl w:val="0"/>
          <w:numId w:val="1"/>
        </w:numPr>
        <w:spacing w:after="0"/>
        <w:rPr>
          <w:rFonts w:ascii="Times New Roman" w:hAnsi="Times New Roman" w:cs="Times New Roman"/>
          <w:sz w:val="18"/>
          <w:szCs w:val="18"/>
        </w:rPr>
      </w:pPr>
      <w:r w:rsidRPr="008F3CCA">
        <w:rPr>
          <w:rFonts w:ascii="Times New Roman" w:hAnsi="Times New Roman" w:cs="Times New Roman"/>
          <w:sz w:val="18"/>
          <w:szCs w:val="18"/>
        </w:rPr>
        <w:t>Observations with missing data for any covariate were excluded from the final model (complete-case analysis).</w:t>
      </w:r>
    </w:p>
    <w:p w:rsidR="00143920" w:rsidRPr="00143920" w:rsidRDefault="00143920" w:rsidP="008F3CCA">
      <w:pPr>
        <w:spacing w:after="0"/>
        <w:rPr>
          <w:rFonts w:ascii="Times New Roman" w:hAnsi="Times New Roman" w:cs="Times New Roman"/>
        </w:rPr>
      </w:pPr>
    </w:p>
    <w:sectPr w:rsidR="00143920" w:rsidRPr="0014392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ala">
    <w:altName w:val="Times New Roman"/>
    <w:panose1 w:val="00000000000000000000"/>
    <w:charset w:val="00"/>
    <w:family w:val="roman"/>
    <w:notTrueType/>
    <w:pitch w:val="default"/>
  </w:font>
  <w:font w:name="Ebrima">
    <w:panose1 w:val="02000000000000000000"/>
    <w:charset w:val="00"/>
    <w:family w:val="auto"/>
    <w:pitch w:val="variable"/>
    <w:sig w:usb0="A000005F" w:usb1="02000041" w:usb2="000008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E87C58"/>
    <w:multiLevelType w:val="multilevel"/>
    <w:tmpl w:val="35B0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979"/>
    <w:rsid w:val="00143920"/>
    <w:rsid w:val="001617EA"/>
    <w:rsid w:val="002A313D"/>
    <w:rsid w:val="0036188C"/>
    <w:rsid w:val="004261C3"/>
    <w:rsid w:val="00494979"/>
    <w:rsid w:val="004D3176"/>
    <w:rsid w:val="004E12E6"/>
    <w:rsid w:val="005744D5"/>
    <w:rsid w:val="007C00F1"/>
    <w:rsid w:val="008F3CCA"/>
    <w:rsid w:val="00BB4D56"/>
    <w:rsid w:val="00BF737F"/>
    <w:rsid w:val="00DB46EF"/>
    <w:rsid w:val="00FF4213"/>
  </w:rsids>
  <m:mathPr>
    <m:mathFont m:val="Cambria Math"/>
    <m:brkBin m:val="before"/>
    <m:brkBinSub m:val="--"/>
    <m:smallFrac m:val="0"/>
    <m:dispDef/>
    <m:lMargin m:val="0"/>
    <m:rMargin m:val="0"/>
    <m:defJc m:val="centerGroup"/>
    <m:wrapIndent m:val="1440"/>
    <m:intLim m:val="subSup"/>
    <m:naryLim m:val="undOvr"/>
  </m:mathPr>
  <w:themeFontLang w:val="am-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7EAE7-2A9C-405F-B548-2497CD54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m-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4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313D"/>
    <w:pPr>
      <w:ind w:left="720"/>
      <w:contextualSpacing/>
    </w:pPr>
  </w:style>
  <w:style w:type="table" w:styleId="PlainTable2">
    <w:name w:val="Plain Table 2"/>
    <w:basedOn w:val="TableNormal"/>
    <w:uiPriority w:val="42"/>
    <w:rsid w:val="005744D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8F3CCA"/>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8F3CC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8F3CC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2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user pc</cp:lastModifiedBy>
  <cp:revision>3</cp:revision>
  <dcterms:created xsi:type="dcterms:W3CDTF">2026-06-22T18:35:00Z</dcterms:created>
  <dcterms:modified xsi:type="dcterms:W3CDTF">2026-06-22T19:40:00Z</dcterms:modified>
</cp:coreProperties>
</file>