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0D21E" w14:textId="2AEBBC7A" w:rsidR="00086640" w:rsidRPr="00F46C4B" w:rsidRDefault="00086640" w:rsidP="00086640">
      <w:pPr>
        <w:jc w:val="both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F46C4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Guillain-Barré syndrome following dengue </w:t>
      </w:r>
      <w:r w:rsidR="0022728A" w:rsidRPr="00F46C4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infection</w:t>
      </w:r>
      <w:r w:rsidRPr="00F46C4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in a child in Lebanon: Case report and review of t</w:t>
      </w:r>
      <w:bookmarkStart w:id="0" w:name="_GoBack"/>
      <w:bookmarkEnd w:id="0"/>
      <w:r w:rsidRPr="00F46C4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he literature</w:t>
      </w:r>
    </w:p>
    <w:p w14:paraId="3A098DAF" w14:textId="53E570BB" w:rsidR="00086640" w:rsidRPr="00F46C4B" w:rsidRDefault="0022728A" w:rsidP="0008664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Supplementary </w:t>
      </w:r>
      <w:r w:rsidR="00086640"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Tables &amp; Figures</w:t>
      </w:r>
    </w:p>
    <w:p w14:paraId="55B595F7" w14:textId="0076D295" w:rsidR="00427D5B" w:rsidRPr="00F46C4B" w:rsidRDefault="00F2128B" w:rsidP="000E35B2">
      <w:pPr>
        <w:spacing w:after="0" w:line="36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3B4934"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able S1</w:t>
      </w:r>
      <w:r w:rsidRPr="00F46C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2728A" w:rsidRPr="00F46C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Summary of laboratory findings</w:t>
      </w:r>
    </w:p>
    <w:tbl>
      <w:tblPr>
        <w:tblStyle w:val="TableGrid"/>
        <w:tblW w:w="11135" w:type="dxa"/>
        <w:tblInd w:w="-5" w:type="dxa"/>
        <w:tblLook w:val="0020" w:firstRow="1" w:lastRow="0" w:firstColumn="0" w:lastColumn="0" w:noHBand="0" w:noVBand="0"/>
      </w:tblPr>
      <w:tblGrid>
        <w:gridCol w:w="1469"/>
        <w:gridCol w:w="9666"/>
      </w:tblGrid>
      <w:tr w:rsidR="00F46C4B" w:rsidRPr="00F46C4B" w14:paraId="1E8FD3C1" w14:textId="77777777" w:rsidTr="0022728A">
        <w:tc>
          <w:tcPr>
            <w:tcW w:w="1469" w:type="dxa"/>
          </w:tcPr>
          <w:p w14:paraId="7CE130CF" w14:textId="77777777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Complete blood count</w:t>
            </w:r>
          </w:p>
        </w:tc>
        <w:tc>
          <w:tcPr>
            <w:tcW w:w="9666" w:type="dxa"/>
          </w:tcPr>
          <w:p w14:paraId="661A6B36" w14:textId="59E35224" w:rsidR="00F2128B" w:rsidRPr="00F46C4B" w:rsidRDefault="00844741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WBC 6,100 cells/mm³; hemoglobin 10.9 g/dL; hematocrit 33%; MCV 74.2 fL; RDW 15.2%; neutrophils 34%; lymphocytes 63%; platelets 369,000 cells/mm³.</w:t>
            </w:r>
          </w:p>
        </w:tc>
      </w:tr>
      <w:tr w:rsidR="00F46C4B" w:rsidRPr="00F46C4B" w14:paraId="27647ECF" w14:textId="77777777" w:rsidTr="0022728A">
        <w:tc>
          <w:tcPr>
            <w:tcW w:w="1469" w:type="dxa"/>
          </w:tcPr>
          <w:p w14:paraId="0EBB647D" w14:textId="77777777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Basic metabolic panel</w:t>
            </w:r>
          </w:p>
        </w:tc>
        <w:tc>
          <w:tcPr>
            <w:tcW w:w="9666" w:type="dxa"/>
          </w:tcPr>
          <w:p w14:paraId="460ACCED" w14:textId="59824987" w:rsidR="00F2128B" w:rsidRPr="00F46C4B" w:rsidRDefault="00844741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Glucose 108 mg/dL; BUN 10 mg/dL; creatinine 0.24 mg/dL; sodium 139 mmol/L; potassium 4.5 mmol/L; chloride 102 mmol/L; bicarbonate (CO₂) 20 mmol/L; anion gap 17 mmol/L.</w:t>
            </w:r>
          </w:p>
        </w:tc>
      </w:tr>
      <w:tr w:rsidR="00F46C4B" w:rsidRPr="00F46C4B" w14:paraId="31977A78" w14:textId="77777777" w:rsidTr="0022728A">
        <w:tc>
          <w:tcPr>
            <w:tcW w:w="1469" w:type="dxa"/>
          </w:tcPr>
          <w:p w14:paraId="55619574" w14:textId="77777777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Liver function tests</w:t>
            </w:r>
          </w:p>
        </w:tc>
        <w:tc>
          <w:tcPr>
            <w:tcW w:w="9666" w:type="dxa"/>
          </w:tcPr>
          <w:p w14:paraId="1BAF5D35" w14:textId="594D44CB" w:rsidR="00F2128B" w:rsidRPr="00F46C4B" w:rsidRDefault="00844741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Total bilirubin 0.4 mg/dL; direct bilirubin 0.1 mg/dL; AST 47 IU/L; ALT 17 IU/L; alkaline phosphatase 190 U/L.</w:t>
            </w:r>
          </w:p>
        </w:tc>
      </w:tr>
      <w:tr w:rsidR="00F46C4B" w:rsidRPr="00F46C4B" w14:paraId="7B305A6C" w14:textId="77777777" w:rsidTr="0022728A">
        <w:tc>
          <w:tcPr>
            <w:tcW w:w="1469" w:type="dxa"/>
          </w:tcPr>
          <w:p w14:paraId="1B421A9F" w14:textId="6F3B1107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 xml:space="preserve">Respiratory </w:t>
            </w:r>
            <w:r w:rsidR="00844741" w:rsidRPr="00F46C4B">
              <w:rPr>
                <w:rFonts w:ascii="Times New Roman" w:eastAsia="Aptos" w:hAnsi="Times New Roman" w:cs="Times New Roman"/>
                <w:color w:val="000000" w:themeColor="text1"/>
              </w:rPr>
              <w:t>viral PCR (N</w:t>
            </w:r>
          </w:p>
        </w:tc>
        <w:tc>
          <w:tcPr>
            <w:tcW w:w="9666" w:type="dxa"/>
          </w:tcPr>
          <w:tbl>
            <w:tblPr>
              <w:tblW w:w="945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1"/>
              <w:gridCol w:w="6969"/>
            </w:tblGrid>
            <w:tr w:rsidR="00F46C4B" w:rsidRPr="00F46C4B" w14:paraId="0DCA2619" w14:textId="77777777" w:rsidTr="00BD50C0">
              <w:trPr>
                <w:trHeight w:val="285"/>
              </w:trPr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5204151C" w14:textId="4C70E025" w:rsidR="00F2128B" w:rsidRPr="00F46C4B" w:rsidRDefault="00844741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SARS-CoV-2:</w:t>
                  </w:r>
                </w:p>
              </w:tc>
              <w:tc>
                <w:tcPr>
                  <w:tcW w:w="5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1AABABA" w14:textId="77777777" w:rsidR="00F2128B" w:rsidRPr="00F46C4B" w:rsidRDefault="00F2128B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Not Detected</w:t>
                  </w:r>
                </w:p>
              </w:tc>
            </w:tr>
            <w:tr w:rsidR="00F46C4B" w:rsidRPr="00F46C4B" w14:paraId="52942FF8" w14:textId="77777777" w:rsidTr="00BD50C0">
              <w:trPr>
                <w:trHeight w:val="300"/>
              </w:trPr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F244D3A" w14:textId="2ADD7170" w:rsidR="00F2128B" w:rsidRPr="00F46C4B" w:rsidRDefault="00844741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Influenza A:</w:t>
                  </w:r>
                </w:p>
              </w:tc>
              <w:tc>
                <w:tcPr>
                  <w:tcW w:w="5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EB360C4" w14:textId="77777777" w:rsidR="00F2128B" w:rsidRPr="00F46C4B" w:rsidRDefault="00F2128B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Not Detected</w:t>
                  </w:r>
                </w:p>
              </w:tc>
            </w:tr>
            <w:tr w:rsidR="00F46C4B" w:rsidRPr="00F46C4B" w14:paraId="3FEB2EDD" w14:textId="77777777" w:rsidTr="00BD50C0">
              <w:trPr>
                <w:trHeight w:val="300"/>
              </w:trPr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A012519" w14:textId="59703DC0" w:rsidR="00F2128B" w:rsidRPr="00F46C4B" w:rsidRDefault="00844741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Influenza B:</w:t>
                  </w:r>
                </w:p>
              </w:tc>
              <w:tc>
                <w:tcPr>
                  <w:tcW w:w="5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8F8E80E" w14:textId="77777777" w:rsidR="00F2128B" w:rsidRPr="00F46C4B" w:rsidRDefault="00F2128B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Not Detected</w:t>
                  </w:r>
                </w:p>
              </w:tc>
            </w:tr>
            <w:tr w:rsidR="00F46C4B" w:rsidRPr="00F46C4B" w14:paraId="76271995" w14:textId="77777777" w:rsidTr="00BD50C0">
              <w:trPr>
                <w:trHeight w:val="405"/>
              </w:trPr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C719C97" w14:textId="412F2DCB" w:rsidR="00F2128B" w:rsidRPr="00F46C4B" w:rsidRDefault="00844741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Respiratory syncytial virus:</w:t>
                  </w:r>
                </w:p>
              </w:tc>
              <w:tc>
                <w:tcPr>
                  <w:tcW w:w="5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D91318E" w14:textId="77777777" w:rsidR="00F2128B" w:rsidRPr="00F46C4B" w:rsidRDefault="00F2128B" w:rsidP="00844741">
                  <w:pPr>
                    <w:spacing w:before="36" w:after="36" w:line="240" w:lineRule="auto"/>
                    <w:rPr>
                      <w:rFonts w:ascii="Times New Roman" w:eastAsia="Aptos" w:hAnsi="Times New Roman" w:cs="Times New Roman"/>
                      <w:color w:val="000000" w:themeColor="text1"/>
                    </w:rPr>
                  </w:pPr>
                  <w:r w:rsidRPr="00F46C4B">
                    <w:rPr>
                      <w:rFonts w:ascii="Times New Roman" w:eastAsia="Aptos" w:hAnsi="Times New Roman" w:cs="Times New Roman"/>
                      <w:color w:val="000000" w:themeColor="text1"/>
                    </w:rPr>
                    <w:t>Not Detected</w:t>
                  </w:r>
                </w:p>
              </w:tc>
            </w:tr>
          </w:tbl>
          <w:p w14:paraId="550D52DA" w14:textId="77777777" w:rsidR="00F2128B" w:rsidRPr="00F46C4B" w:rsidRDefault="00F2128B" w:rsidP="00844741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</w:p>
        </w:tc>
      </w:tr>
      <w:tr w:rsidR="00F46C4B" w:rsidRPr="00F46C4B" w14:paraId="2C3E27EA" w14:textId="77777777" w:rsidTr="0022728A">
        <w:tc>
          <w:tcPr>
            <w:tcW w:w="1469" w:type="dxa"/>
          </w:tcPr>
          <w:p w14:paraId="0909CA4A" w14:textId="768883FE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Serum inflammatory, immunologic</w:t>
            </w:r>
            <w:r w:rsidR="00844741" w:rsidRPr="00F46C4B">
              <w:rPr>
                <w:rFonts w:ascii="Times New Roman" w:eastAsia="Aptos" w:hAnsi="Times New Roman" w:cs="Times New Roman"/>
                <w:color w:val="000000" w:themeColor="text1"/>
              </w:rPr>
              <w:t xml:space="preserve"> and </w:t>
            </w: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infectious</w:t>
            </w:r>
            <w:r w:rsidR="00844741" w:rsidRPr="00F46C4B">
              <w:rPr>
                <w:rFonts w:ascii="Times New Roman" w:eastAsia="Aptos" w:hAnsi="Times New Roman" w:cs="Times New Roman"/>
                <w:color w:val="000000" w:themeColor="text1"/>
              </w:rPr>
              <w:t xml:space="preserve"> </w:t>
            </w: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studies</w:t>
            </w:r>
            <w:r w:rsidR="00844741" w:rsidRPr="00F46C4B">
              <w:rPr>
                <w:rFonts w:ascii="Times New Roman" w:eastAsia="Aptos" w:hAnsi="Times New Roman" w:cs="Times New Roman"/>
                <w:color w:val="000000" w:themeColor="text1"/>
              </w:rPr>
              <w:t>*</w:t>
            </w:r>
          </w:p>
        </w:tc>
        <w:tc>
          <w:tcPr>
            <w:tcW w:w="9666" w:type="dxa"/>
          </w:tcPr>
          <w:p w14:paraId="019E2D58" w14:textId="56318589" w:rsidR="00F2128B" w:rsidRPr="00F46C4B" w:rsidRDefault="000E35B2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ESR 50 mm/h; CRP 1.7 mg/L; LDH 355 IU/L; creatine phosphokinase (CPK) 55 IU/L. Anti-ganglioside antibody profile (ELISA): anti-GD1a borderline positive (31; reference &lt;30, negative), anti-GD1b, GM1, GT1a, and GQ1b negative (&lt;30), and anti-MAG antibody negative. Quantitative immunoglobulins: IgG 10.87 g/L, IgA 0.70 g/L, and IgM 1.17 g/L. Chikungunya IgM and IgG, Epstein–Barr virus, cytomegalovirus, and malaria smear were negative. Brucella direct and indirect antibodies were negative (&lt;1:20), and blood culture showed no growth. Anti-thyroglobulin antibody was 1.1 (normal), anti-thyroid peroxidase antibody 0.3 (normal), and anti-glutamic acid decarboxylase antibody was negative (&lt;5.0). Autoimmune antibody panel (CASPR2, LGI1, MOG, DPPX, and aquaporin-4) was negative (&lt;1:10). Oligoclonal bands were negative.</w:t>
            </w:r>
          </w:p>
        </w:tc>
      </w:tr>
      <w:tr w:rsidR="00F46C4B" w:rsidRPr="00F46C4B" w14:paraId="32FC2D7C" w14:textId="77777777" w:rsidTr="0022728A">
        <w:tc>
          <w:tcPr>
            <w:tcW w:w="1469" w:type="dxa"/>
          </w:tcPr>
          <w:p w14:paraId="36F7AAB3" w14:textId="4DA1B9DC" w:rsidR="000E35B2" w:rsidRPr="00F46C4B" w:rsidRDefault="000E35B2" w:rsidP="000E35B2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Urinalysis</w:t>
            </w:r>
          </w:p>
        </w:tc>
        <w:tc>
          <w:tcPr>
            <w:tcW w:w="9666" w:type="dxa"/>
          </w:tcPr>
          <w:p w14:paraId="565C6E31" w14:textId="145757A2" w:rsidR="000E35B2" w:rsidRPr="00F46C4B" w:rsidRDefault="000E35B2" w:rsidP="000E35B2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Pale yellow urine; specific gravity 1.013; pH 6.0; rare RBCs and WBCs; otherwise, unremarkable.</w:t>
            </w:r>
          </w:p>
        </w:tc>
      </w:tr>
      <w:tr w:rsidR="00F46C4B" w:rsidRPr="00F46C4B" w14:paraId="769EDE74" w14:textId="77777777" w:rsidTr="0022728A">
        <w:tc>
          <w:tcPr>
            <w:tcW w:w="1469" w:type="dxa"/>
          </w:tcPr>
          <w:p w14:paraId="678E1685" w14:textId="77777777" w:rsidR="00F2128B" w:rsidRPr="00F46C4B" w:rsidRDefault="00F2128B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Cerebrospinal fluid</w:t>
            </w:r>
          </w:p>
        </w:tc>
        <w:tc>
          <w:tcPr>
            <w:tcW w:w="9666" w:type="dxa"/>
          </w:tcPr>
          <w:p w14:paraId="5102E1D7" w14:textId="1CB82D9A" w:rsidR="00F2128B" w:rsidRPr="00F46C4B" w:rsidRDefault="000E35B2" w:rsidP="00BD50C0">
            <w:pPr>
              <w:spacing w:before="36" w:after="36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46C4B">
              <w:rPr>
                <w:rFonts w:ascii="Times New Roman" w:eastAsia="Aptos" w:hAnsi="Times New Roman" w:cs="Times New Roman"/>
                <w:color w:val="000000" w:themeColor="text1"/>
              </w:rPr>
              <w:t>RBC 152/mm³; total nucleated cells 0/mm³; glucose 59 mg/dL; protein 0.85 g/L (reference 0.1–0.5 g/L); Gram stain negative; bacterial culture no growth; acid-fast bacilli stain negative; mycobacterial culture no growth; 16S rDNA sequencing negative. CSF autoimmune antibody panel (MOG, CASPR2, LGI1, DPPX, glutamate receptor IgG, aquaporin-4, glutamate receptor antibodies) negative. Oligoclonal bands negative.</w:t>
            </w:r>
          </w:p>
        </w:tc>
      </w:tr>
    </w:tbl>
    <w:p w14:paraId="01F5AD27" w14:textId="71D3732E" w:rsidR="00F2128B" w:rsidRPr="00F46C4B" w:rsidRDefault="00844741">
      <w:pPr>
        <w:rPr>
          <w:rFonts w:ascii="Times New Roman" w:eastAsia="Aptos" w:hAnsi="Times New Roman" w:cs="Times New Roman"/>
          <w:color w:val="000000" w:themeColor="text1"/>
        </w:rPr>
      </w:pPr>
      <w:r w:rsidRPr="00F46C4B">
        <w:rPr>
          <w:rFonts w:ascii="Times New Roman" w:eastAsia="Aptos" w:hAnsi="Times New Roman" w:cs="Times New Roman"/>
          <w:color w:val="000000" w:themeColor="text1"/>
        </w:rPr>
        <w:t>*Dengue serology is presented separately in Table 2</w:t>
      </w:r>
      <w:r w:rsidR="000E35B2" w:rsidRPr="00F46C4B">
        <w:rPr>
          <w:rFonts w:ascii="Times New Roman" w:eastAsia="Aptos" w:hAnsi="Times New Roman" w:cs="Times New Roman"/>
          <w:color w:val="000000" w:themeColor="text1"/>
        </w:rPr>
        <w:t>.</w:t>
      </w:r>
    </w:p>
    <w:p w14:paraId="64688821" w14:textId="6F4E5997" w:rsidR="000E35B2" w:rsidRPr="00F46C4B" w:rsidRDefault="000E35B2">
      <w:pPr>
        <w:rPr>
          <w:rFonts w:ascii="Times New Roman" w:eastAsia="Aptos" w:hAnsi="Times New Roman" w:cs="Times New Roman"/>
          <w:color w:val="000000" w:themeColor="text1"/>
        </w:rPr>
      </w:pPr>
      <w:r w:rsidRPr="00F46C4B">
        <w:rPr>
          <w:rFonts w:ascii="Times New Roman" w:eastAsia="Aptos" w:hAnsi="Times New Roman" w:cs="Times New Roman"/>
          <w:b/>
          <w:bCs/>
          <w:color w:val="000000" w:themeColor="text1"/>
        </w:rPr>
        <w:t>Abbreviations:</w:t>
      </w:r>
      <w:r w:rsidRPr="00F46C4B">
        <w:rPr>
          <w:rFonts w:ascii="Times New Roman" w:eastAsia="Aptos" w:hAnsi="Times New Roman" w:cs="Times New Roman"/>
          <w:color w:val="000000" w:themeColor="text1"/>
        </w:rPr>
        <w:t xml:space="preserve"> ALT, alanine aminotransferase; AST, aspartate aminotransferase; BUN, blood urea nitrogen; CPK, creatine phosphokinase; CRP, C-reactive protein; ELISA, enzyme-linked immunosorbent assay; ESR, erythrocyte sedimentation rate; LDH, lactate dehydrogenase; MCV, mean corpuscular volume; RBC, red blood cell; RDW, red cell distribution width; WBC, white blood cell.</w:t>
      </w:r>
    </w:p>
    <w:p w14:paraId="38F86F34" w14:textId="77777777" w:rsidR="00C031E2" w:rsidRPr="00F46C4B" w:rsidRDefault="00C031E2" w:rsidP="00C031E2">
      <w:pPr>
        <w:pStyle w:val="isselectedend"/>
        <w:jc w:val="lowKashida"/>
        <w:rPr>
          <w:color w:val="000000" w:themeColor="text1"/>
        </w:rPr>
      </w:pPr>
      <w:r w:rsidRPr="00F46C4B">
        <w:rPr>
          <w:noProof/>
          <w:color w:val="000000" w:themeColor="text1"/>
          <w:lang w:val="en-IN" w:eastAsia="en-IN"/>
        </w:rPr>
        <w:drawing>
          <wp:inline distT="0" distB="0" distL="0" distR="0" wp14:anchorId="78478F80" wp14:editId="22CBD89E">
            <wp:extent cx="5409811" cy="4114800"/>
            <wp:effectExtent l="0" t="0" r="635" b="0"/>
            <wp:docPr id="174539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839" cy="41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1FD17" w14:textId="6F2DEE1E" w:rsidR="000E35B2" w:rsidRPr="00F46C4B" w:rsidRDefault="001E6254" w:rsidP="000E35B2">
      <w:pPr>
        <w:pStyle w:val="pdq2pgselectionanchorcontainer"/>
        <w:rPr>
          <w:color w:val="000000" w:themeColor="text1"/>
        </w:rPr>
      </w:pPr>
      <w:r w:rsidRPr="00F46C4B">
        <w:rPr>
          <w:b/>
          <w:bCs/>
          <w:color w:val="000000" w:themeColor="text1"/>
        </w:rPr>
        <w:t xml:space="preserve">Supplementary </w:t>
      </w:r>
      <w:r w:rsidR="003B4934" w:rsidRPr="00F46C4B">
        <w:rPr>
          <w:b/>
          <w:bCs/>
          <w:color w:val="000000" w:themeColor="text1"/>
        </w:rPr>
        <w:t>F</w:t>
      </w:r>
      <w:r w:rsidRPr="00F46C4B">
        <w:rPr>
          <w:b/>
          <w:bCs/>
          <w:color w:val="000000" w:themeColor="text1"/>
        </w:rPr>
        <w:t>igure S1</w:t>
      </w:r>
      <w:r w:rsidR="00C031E2" w:rsidRPr="00F46C4B">
        <w:rPr>
          <w:color w:val="000000" w:themeColor="text1"/>
        </w:rPr>
        <w:t xml:space="preserve">: </w:t>
      </w:r>
      <w:r w:rsidR="000E35B2" w:rsidRPr="00F46C4B">
        <w:rPr>
          <w:rStyle w:val="Strong"/>
          <w:color w:val="000000" w:themeColor="text1"/>
        </w:rPr>
        <w:t xml:space="preserve">Representative sensory nerve conduction studies of the bilateral sural nerves. </w:t>
      </w:r>
      <w:r w:rsidR="000E35B2" w:rsidRPr="00F46C4B">
        <w:rPr>
          <w:color w:val="000000" w:themeColor="text1"/>
        </w:rPr>
        <w:t>The sensory nerve conduction studies demonstrated preserved sensory nerve action potential (SNAP) responses bilaterally.</w:t>
      </w:r>
    </w:p>
    <w:p w14:paraId="1790BAB6" w14:textId="6F670EE7" w:rsidR="001E6254" w:rsidRPr="00F46C4B" w:rsidRDefault="001E6254" w:rsidP="000E35B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46C4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0B8CAA1D" wp14:editId="2E66CC84">
            <wp:extent cx="5480050" cy="467995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A854B" w14:textId="03AB0C73" w:rsidR="00C031E2" w:rsidRPr="00F46C4B" w:rsidRDefault="001E6254" w:rsidP="000E35B2">
      <w:pPr>
        <w:pStyle w:val="isselectedend"/>
        <w:jc w:val="lowKashida"/>
        <w:rPr>
          <w:color w:val="000000" w:themeColor="text1"/>
        </w:rPr>
      </w:pPr>
      <w:r w:rsidRPr="00F46C4B">
        <w:rPr>
          <w:b/>
          <w:bCs/>
          <w:color w:val="000000" w:themeColor="text1"/>
        </w:rPr>
        <w:t xml:space="preserve">Supplementary </w:t>
      </w:r>
      <w:r w:rsidR="003B4934" w:rsidRPr="00F46C4B">
        <w:rPr>
          <w:b/>
          <w:bCs/>
          <w:color w:val="000000" w:themeColor="text1"/>
        </w:rPr>
        <w:t>F</w:t>
      </w:r>
      <w:r w:rsidRPr="00F46C4B">
        <w:rPr>
          <w:b/>
          <w:bCs/>
          <w:color w:val="000000" w:themeColor="text1"/>
        </w:rPr>
        <w:t>igure S2</w:t>
      </w:r>
      <w:r w:rsidRPr="00F46C4B">
        <w:rPr>
          <w:color w:val="000000" w:themeColor="text1"/>
        </w:rPr>
        <w:t xml:space="preserve">: </w:t>
      </w:r>
      <w:r w:rsidR="000E35B2" w:rsidRPr="00F46C4B">
        <w:rPr>
          <w:b/>
          <w:bCs/>
          <w:color w:val="000000" w:themeColor="text1"/>
        </w:rPr>
        <w:t>Representative motor nerve conduction studies of the bilateral posterior tibial nerves.</w:t>
      </w:r>
      <w:r w:rsidR="000E35B2" w:rsidRPr="00F46C4B">
        <w:rPr>
          <w:color w:val="000000" w:themeColor="text1"/>
        </w:rPr>
        <w:t xml:space="preserve"> The motor nerve conduction studies demonstrated preserved compound muscle action potential (CMAP) amplitudes, slowed conduction velocities, and prolonged distal latencies bilaterally.</w:t>
      </w:r>
    </w:p>
    <w:sectPr w:rsidR="00C031E2" w:rsidRPr="00F46C4B" w:rsidSect="00F46C4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71951" w14:textId="77777777" w:rsidR="00614188" w:rsidRDefault="00614188" w:rsidP="00227297">
      <w:pPr>
        <w:spacing w:after="0" w:line="240" w:lineRule="auto"/>
      </w:pPr>
      <w:r>
        <w:separator/>
      </w:r>
    </w:p>
  </w:endnote>
  <w:endnote w:type="continuationSeparator" w:id="0">
    <w:p w14:paraId="41A21443" w14:textId="77777777" w:rsidR="00614188" w:rsidRDefault="00614188" w:rsidP="00227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2671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6A39F1" w14:textId="5D0895A3" w:rsidR="00227297" w:rsidRDefault="002272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7030B3" w14:textId="77777777" w:rsidR="00227297" w:rsidRDefault="002272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D0623" w14:textId="77777777" w:rsidR="00614188" w:rsidRDefault="00614188" w:rsidP="00227297">
      <w:pPr>
        <w:spacing w:after="0" w:line="240" w:lineRule="auto"/>
      </w:pPr>
      <w:r>
        <w:separator/>
      </w:r>
    </w:p>
  </w:footnote>
  <w:footnote w:type="continuationSeparator" w:id="0">
    <w:p w14:paraId="503E536A" w14:textId="77777777" w:rsidR="00614188" w:rsidRDefault="00614188" w:rsidP="002272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40"/>
    <w:rsid w:val="00086640"/>
    <w:rsid w:val="000E35B2"/>
    <w:rsid w:val="001E6254"/>
    <w:rsid w:val="0022728A"/>
    <w:rsid w:val="00227297"/>
    <w:rsid w:val="002F60D3"/>
    <w:rsid w:val="00330E51"/>
    <w:rsid w:val="003B4934"/>
    <w:rsid w:val="00427D5B"/>
    <w:rsid w:val="004B6096"/>
    <w:rsid w:val="005424A3"/>
    <w:rsid w:val="00614188"/>
    <w:rsid w:val="00770A32"/>
    <w:rsid w:val="00844741"/>
    <w:rsid w:val="009906C4"/>
    <w:rsid w:val="00A975C1"/>
    <w:rsid w:val="00C031E2"/>
    <w:rsid w:val="00C52862"/>
    <w:rsid w:val="00C6535D"/>
    <w:rsid w:val="00CB4CC6"/>
    <w:rsid w:val="00DA6312"/>
    <w:rsid w:val="00F2128B"/>
    <w:rsid w:val="00F4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0CC4"/>
  <w15:chartTrackingRefBased/>
  <w15:docId w15:val="{5D5CE543-5DCA-42F0-932A-4E2357D2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0866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C6535D"/>
    <w:rPr>
      <w:b/>
      <w:bCs/>
    </w:rPr>
  </w:style>
  <w:style w:type="table" w:styleId="TableGrid">
    <w:name w:val="Table Grid"/>
    <w:basedOn w:val="TableNormal"/>
    <w:uiPriority w:val="39"/>
    <w:rsid w:val="00F2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C0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0E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E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27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297"/>
  </w:style>
  <w:style w:type="paragraph" w:styleId="Footer">
    <w:name w:val="footer"/>
    <w:basedOn w:val="Normal"/>
    <w:link w:val="FooterChar"/>
    <w:uiPriority w:val="99"/>
    <w:unhideWhenUsed/>
    <w:rsid w:val="00227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1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8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6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6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7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3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Khreis</dc:creator>
  <cp:keywords/>
  <dc:description/>
  <cp:lastModifiedBy>Mythili  Venkatesan</cp:lastModifiedBy>
  <cp:revision>7</cp:revision>
  <dcterms:created xsi:type="dcterms:W3CDTF">2026-07-30T04:04:00Z</dcterms:created>
  <dcterms:modified xsi:type="dcterms:W3CDTF">2026-08-13T01:24:00Z</dcterms:modified>
</cp:coreProperties>
</file>