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C731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40"/>
          <w:szCs w:val="52"/>
        </w:rPr>
      </w:pPr>
      <w:r>
        <w:rPr>
          <w:rFonts w:hint="default" w:ascii="Times New Roman" w:hAnsi="Times New Roman" w:cs="Times New Roman"/>
          <w:b/>
          <w:bCs/>
          <w:i/>
          <w:iCs/>
          <w:sz w:val="48"/>
          <w:szCs w:val="56"/>
        </w:rPr>
        <w:t>Supplementary information</w:t>
      </w:r>
    </w:p>
    <w:p w14:paraId="06675A46">
      <w:pPr>
        <w:keepNext w:val="0"/>
        <w:keepLines w:val="0"/>
        <w:pageBreakBefore w:val="0"/>
        <w:widowControl w:val="0"/>
        <w:tabs>
          <w:tab w:val="left" w:pos="73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32"/>
          <w:szCs w:val="40"/>
        </w:rPr>
      </w:pPr>
      <w:r>
        <w:rPr>
          <w:rFonts w:hint="default" w:ascii="Times New Roman" w:hAnsi="Times New Roman" w:cs="Times New Roman"/>
          <w:b/>
          <w:bCs/>
          <w:color w:val="auto"/>
          <w:sz w:val="36"/>
          <w:szCs w:val="44"/>
        </w:rPr>
        <w:t>Complex Exposure–Response Relationships between Meteorological Factors and Severe Fever with Thrombocytopenia Syndrome Risk</w:t>
      </w:r>
    </w:p>
    <w:p w14:paraId="53FB56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exact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36"/>
        </w:rPr>
      </w:pPr>
    </w:p>
    <w:p w14:paraId="5E638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0" w:line="24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32"/>
          <w:szCs w:val="4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>Guangju Mo</w:t>
      </w:r>
      <w:r>
        <w:rPr>
          <w:rFonts w:hint="eastAsia" w:ascii="Times New Roman" w:hAnsi="Times New Roman" w:cs="Times New Roman"/>
          <w:b/>
          <w:bCs/>
          <w:sz w:val="28"/>
          <w:szCs w:val="36"/>
          <w:vertAlign w:val="superscript"/>
          <w:lang w:val="en-US" w:eastAsia="zh-CN"/>
        </w:rPr>
        <w:t>1,2,3</w:t>
      </w:r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>, Chunyue Ai</w:t>
      </w:r>
      <w:r>
        <w:rPr>
          <w:rFonts w:hint="eastAsia" w:ascii="Times New Roman" w:hAnsi="Times New Roman" w:cs="Times New Roman"/>
          <w:b/>
          <w:bCs/>
          <w:sz w:val="28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>, Meng Shang</w:t>
      </w:r>
      <w:r>
        <w:rPr>
          <w:rFonts w:hint="eastAsia" w:ascii="Times New Roman" w:hAnsi="Times New Roman" w:cs="Times New Roman"/>
          <w:b/>
          <w:bCs/>
          <w:sz w:val="28"/>
          <w:szCs w:val="36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Shengping Dou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, Wenyu Wang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36"/>
          <w:lang w:val="en-US" w:eastAsia="zh-CN"/>
        </w:rPr>
        <w:t>, Haoqiang Ji</w:t>
      </w:r>
      <w:r>
        <w:rPr>
          <w:rFonts w:hint="eastAsia" w:ascii="Times New Roman" w:hAnsi="Times New Roman" w:cs="Times New Roman"/>
          <w:b/>
          <w:bCs/>
          <w:sz w:val="28"/>
          <w:szCs w:val="36"/>
          <w:vertAlign w:val="superscript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>, Huaiping Zhu</w:t>
      </w:r>
      <w:r>
        <w:rPr>
          <w:rFonts w:hint="eastAsia" w:ascii="Times New Roman" w:hAnsi="Times New Roman" w:cs="Times New Roman"/>
          <w:b/>
          <w:bCs/>
          <w:sz w:val="28"/>
          <w:szCs w:val="36"/>
          <w:vertAlign w:val="superscript"/>
          <w:lang w:val="en-US" w:eastAsia="zh-CN"/>
        </w:rPr>
        <w:t>3*</w:t>
      </w:r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>, Qiyong Liu</w:t>
      </w:r>
      <w:r>
        <w:rPr>
          <w:rFonts w:hint="eastAsia" w:ascii="Times New Roman" w:hAnsi="Times New Roman" w:cs="Times New Roman"/>
          <w:b/>
          <w:bCs/>
          <w:sz w:val="28"/>
          <w:szCs w:val="36"/>
          <w:vertAlign w:val="superscript"/>
          <w:lang w:val="en-US" w:eastAsia="zh-CN"/>
        </w:rPr>
        <w:t>1,2,4*</w:t>
      </w:r>
    </w:p>
    <w:p w14:paraId="704C0AE3">
      <w:pPr>
        <w:spacing w:line="360" w:lineRule="auto"/>
        <w:jc w:val="both"/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</w:pPr>
      <w:r>
        <w:rPr>
          <w:rFonts w:hint="eastAsia" w:ascii="Times New Roman" w:hAnsi="Times New Roman" w:cs="Times New Roman"/>
          <w:i/>
          <w:iCs/>
          <w:sz w:val="22"/>
          <w:szCs w:val="22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32"/>
          <w:szCs w:val="40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  <w:t>School of public health, Shandong Second Medical University, Weifang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  <w:lang w:val="en-US"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2"/>
          <w:szCs w:val="22"/>
          <w:lang w:val="en-US" w:eastAsia="zh-CN"/>
        </w:rPr>
        <w:t xml:space="preserve"> Shandong Province,</w:t>
      </w: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  <w:t xml:space="preserve"> China</w:t>
      </w:r>
    </w:p>
    <w:p w14:paraId="630B0732">
      <w:pPr>
        <w:spacing w:line="360" w:lineRule="auto"/>
        <w:jc w:val="both"/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</w:pPr>
      <w:r>
        <w:rPr>
          <w:rFonts w:hint="eastAsia" w:ascii="Times New Roman" w:hAnsi="Times New Roman" w:cs="Times New Roman"/>
          <w:i/>
          <w:iCs/>
          <w:sz w:val="22"/>
          <w:szCs w:val="22"/>
          <w:vertAlign w:val="superscript"/>
          <w:lang w:val="en-US" w:eastAsia="zh-CN"/>
        </w:rPr>
        <w:t xml:space="preserve">2 </w:t>
      </w: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  <w:t>National Key Laboratory of Intelligent Tracking and Forecasting for Infectious Diseases, National Institute for Communicable Disease Control and Prevention, Chinese Center for Disease Control and Prevention; WHO Collaborating Centre for Vector Surveillance and Management, Beijing, China</w:t>
      </w:r>
    </w:p>
    <w:p w14:paraId="010F7F0C">
      <w:pPr>
        <w:spacing w:line="360" w:lineRule="auto"/>
        <w:jc w:val="both"/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</w:pPr>
      <w:r>
        <w:rPr>
          <w:rFonts w:hint="eastAsia" w:ascii="Times New Roman" w:hAnsi="Times New Roman" w:cs="Times New Roman"/>
          <w:i/>
          <w:iCs/>
          <w:sz w:val="22"/>
          <w:szCs w:val="22"/>
          <w:vertAlign w:val="superscript"/>
          <w:lang w:val="en-US" w:eastAsia="zh-CN"/>
        </w:rPr>
        <w:t xml:space="preserve">3 </w:t>
      </w:r>
      <w:r>
        <w:rPr>
          <w:rFonts w:hint="default" w:ascii="Times New Roman" w:hAnsi="Times New Roman" w:cs="Times New Roman"/>
          <w:i/>
          <w:iCs/>
          <w:sz w:val="22"/>
          <w:szCs w:val="22"/>
          <w:vertAlign w:val="baseline"/>
          <w:lang w:val="en-US" w:eastAsia="zh-CN"/>
        </w:rPr>
        <w:t>LAMPS and CDM, Department of Mathematics and Statistics, York University, Toronto, Canada</w:t>
      </w:r>
    </w:p>
    <w:p w14:paraId="306DEAA9">
      <w:pPr>
        <w:spacing w:line="360" w:lineRule="auto"/>
        <w:jc w:val="both"/>
        <w:rPr>
          <w:rFonts w:hint="default" w:ascii="Times New Roman" w:hAnsi="Times New Roman" w:cs="Times New Roman"/>
          <w:i/>
          <w:iCs/>
          <w:sz w:val="22"/>
          <w:szCs w:val="22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i/>
          <w:iCs/>
          <w:sz w:val="22"/>
          <w:szCs w:val="22"/>
          <w:vertAlign w:val="superscript"/>
          <w:lang w:val="en-US" w:eastAsia="zh-CN"/>
        </w:rPr>
        <w:t xml:space="preserve">4 </w:t>
      </w: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  <w:t xml:space="preserve">School of public health, Shandong University, </w:t>
      </w: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  <w:lang w:val="en-US" w:eastAsia="zh-CN"/>
        </w:rPr>
        <w:t>Jinan</w:t>
      </w: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  <w:t>,</w:t>
      </w: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auto"/>
          <w:sz w:val="22"/>
          <w:szCs w:val="22"/>
          <w:lang w:val="en-US" w:eastAsia="zh-CN"/>
        </w:rPr>
        <w:t>Shandong Province,</w:t>
      </w: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</w:rPr>
        <w:t xml:space="preserve"> China</w:t>
      </w:r>
    </w:p>
    <w:p w14:paraId="2DA28DF5">
      <w:pPr>
        <w:jc w:val="both"/>
        <w:rPr>
          <w:rFonts w:hint="eastAsia" w:ascii="Times New Roman" w:hAnsi="Times New Roman" w:cs="Times New Roman"/>
          <w:i/>
          <w:iCs/>
          <w:sz w:val="22"/>
          <w:szCs w:val="22"/>
          <w:vertAlign w:val="baseline"/>
          <w:lang w:val="en-US" w:eastAsia="zh-CN"/>
        </w:rPr>
      </w:pPr>
    </w:p>
    <w:p w14:paraId="2F443EB3">
      <w:pPr>
        <w:suppressLineNumbers w:val="0"/>
        <w:spacing w:line="360" w:lineRule="auto"/>
        <w:jc w:val="both"/>
        <w:rPr>
          <w:rFonts w:hint="default" w:ascii="Times New Roman" w:hAnsi="Times New Roman" w:eastAsiaTheme="minorEastAsia"/>
          <w:b/>
          <w:bCs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i/>
          <w:iCs/>
          <w:sz w:val="22"/>
          <w:szCs w:val="22"/>
          <w:vertAlign w:val="baseline"/>
          <w:lang w:val="en-US" w:eastAsia="zh-CN"/>
        </w:rPr>
        <w:t>*</w:t>
      </w:r>
      <w:r>
        <w:rPr>
          <w:rFonts w:hint="eastAsia" w:ascii="Times New Roman" w:hAnsi="Times New Roman" w:cs="Times New Roman"/>
          <w:i/>
          <w:iCs/>
          <w:sz w:val="22"/>
          <w:szCs w:val="22"/>
        </w:rPr>
        <w:t>Corresponding author</w:t>
      </w:r>
      <w:r>
        <w:rPr>
          <w:rFonts w:hint="eastAsia" w:ascii="Times New Roman" w:hAnsi="Times New Roman" w:cs="Times New Roman"/>
          <w:i/>
          <w:iCs/>
          <w:sz w:val="22"/>
          <w:szCs w:val="22"/>
          <w:lang w:val="en-US" w:eastAsia="zh-CN"/>
        </w:rPr>
        <w:t>s</w:t>
      </w:r>
      <w:r>
        <w:rPr>
          <w:rFonts w:hint="eastAsia" w:ascii="Times New Roman" w:hAnsi="Times New Roman" w:cs="Times New Roman"/>
          <w:sz w:val="22"/>
          <w:szCs w:val="22"/>
        </w:rPr>
        <w:t>: Qiyong Liu, PhD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"mailto:liuqiyong@icdc.cn" </w:instrText>
      </w:r>
      <w:r>
        <w:rPr>
          <w:sz w:val="22"/>
          <w:szCs w:val="22"/>
        </w:rPr>
        <w:fldChar w:fldCharType="separate"/>
      </w:r>
      <w:r>
        <w:rPr>
          <w:rStyle w:val="13"/>
          <w:rFonts w:hint="eastAsia" w:ascii="Times New Roman" w:hAnsi="Times New Roman" w:cs="Times New Roman"/>
          <w:sz w:val="22"/>
          <w:szCs w:val="22"/>
        </w:rPr>
        <w:t>liuqiyong@icdc.cn</w:t>
      </w:r>
      <w:r>
        <w:rPr>
          <w:rStyle w:val="13"/>
          <w:rFonts w:hint="eastAsia" w:ascii="Times New Roman" w:hAnsi="Times New Roman" w:cs="Times New Roman"/>
          <w:sz w:val="22"/>
          <w:szCs w:val="22"/>
        </w:rPr>
        <w:fldChar w:fldCharType="end"/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  <w:lang w:val="en-US" w:eastAsia="zh-CN"/>
        </w:rPr>
        <w:t>Huaiping Zhu, PhD</w:t>
      </w:r>
      <w:r>
        <w:rPr>
          <w:rFonts w:hint="eastAsia" w:ascii="Times New Roman" w:hAnsi="Times New Roman" w:cs="Times New Roman"/>
          <w:b w:val="0"/>
          <w:bCs w:val="0"/>
          <w:color w:val="auto"/>
          <w:sz w:val="22"/>
          <w:szCs w:val="22"/>
          <w:lang w:val="en-US" w:eastAsia="zh-CN"/>
        </w:rPr>
        <w:t xml:space="preserve">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"mailto:liuqiyong@icdc.cn" </w:instrText>
      </w:r>
      <w:r>
        <w:rPr>
          <w:sz w:val="22"/>
          <w:szCs w:val="22"/>
        </w:rPr>
        <w:fldChar w:fldCharType="separate"/>
      </w:r>
      <w:r>
        <w:rPr>
          <w:rStyle w:val="13"/>
          <w:rFonts w:hint="eastAsia" w:ascii="Times New Roman" w:hAnsi="Times New Roman" w:cs="Times New Roman"/>
          <w:sz w:val="22"/>
          <w:szCs w:val="22"/>
          <w:lang w:val="en-US" w:eastAsia="zh-CN"/>
        </w:rPr>
        <w:t>huaiping</w:t>
      </w:r>
      <w:r>
        <w:rPr>
          <w:rStyle w:val="13"/>
          <w:rFonts w:hint="eastAsia" w:ascii="Times New Roman" w:hAnsi="Times New Roman" w:cs="Times New Roman"/>
          <w:sz w:val="22"/>
          <w:szCs w:val="22"/>
        </w:rPr>
        <w:t>@</w:t>
      </w:r>
      <w:r>
        <w:rPr>
          <w:rStyle w:val="13"/>
          <w:rFonts w:hint="eastAsia" w:ascii="Times New Roman" w:hAnsi="Times New Roman" w:cs="Times New Roman"/>
          <w:sz w:val="22"/>
          <w:szCs w:val="22"/>
          <w:lang w:val="en-US" w:eastAsia="zh-CN"/>
        </w:rPr>
        <w:t>yorku</w:t>
      </w:r>
      <w:r>
        <w:rPr>
          <w:rStyle w:val="13"/>
          <w:rFonts w:hint="eastAsia" w:ascii="Times New Roman" w:hAnsi="Times New Roman" w:cs="Times New Roman"/>
          <w:sz w:val="22"/>
          <w:szCs w:val="22"/>
        </w:rPr>
        <w:t>.</w:t>
      </w:r>
      <w:r>
        <w:rPr>
          <w:rStyle w:val="13"/>
          <w:rFonts w:hint="eastAsia" w:ascii="Times New Roman" w:hAnsi="Times New Roman" w:cs="Times New Roman"/>
          <w:sz w:val="22"/>
          <w:szCs w:val="22"/>
          <w:lang w:val="en-US" w:eastAsia="zh-CN"/>
        </w:rPr>
        <w:t>c</w:t>
      </w:r>
      <w:r>
        <w:rPr>
          <w:rStyle w:val="13"/>
          <w:rFonts w:hint="eastAsia" w:ascii="Times New Roman" w:hAnsi="Times New Roman" w:cs="Times New Roman"/>
          <w:sz w:val="22"/>
          <w:szCs w:val="22"/>
        </w:rPr>
        <w:fldChar w:fldCharType="end"/>
      </w:r>
      <w:r>
        <w:rPr>
          <w:rStyle w:val="13"/>
          <w:rFonts w:hint="eastAsia" w:ascii="Times New Roman" w:hAnsi="Times New Roman" w:cs="Times New Roman"/>
          <w:sz w:val="22"/>
          <w:szCs w:val="22"/>
          <w:lang w:val="en-US" w:eastAsia="zh-CN"/>
        </w:rPr>
        <w:t>a</w:t>
      </w:r>
    </w:p>
    <w:p w14:paraId="16BAF767">
      <w:pPr>
        <w:jc w:val="both"/>
        <w:rPr>
          <w:rFonts w:hint="default" w:ascii="Times New Roman" w:hAnsi="Times New Roman" w:eastAsia="等线" w:cs="Times New Roman"/>
          <w:b/>
          <w:bCs/>
          <w:color w:val="auto"/>
          <w:sz w:val="24"/>
          <w:szCs w:val="32"/>
          <w:u w:val="single"/>
          <w:lang w:val="en-US" w:eastAsia="zh-CN"/>
        </w:rPr>
      </w:pPr>
    </w:p>
    <w:p w14:paraId="2DE5A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Supplementary Methods: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Lag Structure Definitions</w:t>
      </w:r>
    </w:p>
    <w:p w14:paraId="5910C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Table S1.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Detailed description of the Covariate data</w:t>
      </w:r>
    </w:p>
    <w:p w14:paraId="7E455162">
      <w:pPr>
        <w:pStyle w:val="2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S2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NB-GAM model diagnostics by lag structure</w:t>
      </w:r>
    </w:p>
    <w:p w14:paraId="1C0FB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S3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AU" w:eastAsia="zh-CN"/>
        </w:rPr>
        <w:t xml:space="preserve">Summary of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AU" w:eastAsia="zh-CN"/>
        </w:rPr>
        <w:t xml:space="preserve">otal SFTS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C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AU" w:eastAsia="zh-CN"/>
        </w:rPr>
        <w:t xml:space="preserve">ases and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Monthly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AU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M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AU" w:eastAsia="zh-CN"/>
        </w:rPr>
        <w:t xml:space="preserve">eteorological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V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AU" w:eastAsia="zh-CN"/>
        </w:rPr>
        <w:t>ariables from 2011 to 202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3</w:t>
      </w:r>
    </w:p>
    <w:p w14:paraId="16AF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S1.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Covariate collinearity diagnostics: (a) Spearman correlation matrix; (b) Variance Inflation Factor (VIF)</w:t>
      </w:r>
    </w:p>
    <w:p w14:paraId="7B396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Figure S2.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 xml:space="preserve"> Deviance Explained of NB-GAM models by city and lag structure</w:t>
      </w:r>
    </w:p>
    <w:p w14:paraId="3FECF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S3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Convergence Diagnostics for Anqing: (a) Trace Plots and (b) Posterior Density Plots of Beta Parameters</w:t>
      </w:r>
    </w:p>
    <w:p w14:paraId="0392E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S4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Convergence Diagnostics for Chizhou: (a) Trace Plots and (b) Posterior Density Plots of Beta Parameters</w:t>
      </w:r>
    </w:p>
    <w:p w14:paraId="24613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S5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Convergence Diagnostics for Chuzhou: (a) Trace Plots and (b) Posterior Density Plots of Beta Parameters</w:t>
      </w:r>
    </w:p>
    <w:p w14:paraId="7B33A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S6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Convergence Diagnostics for Hefei: (a) Trace Plots and (b) Posterior Density Plots of Beta Parameters</w:t>
      </w:r>
    </w:p>
    <w:p w14:paraId="742FB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S7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Convergence Diagnostics for Lu'an: (a) Trace Plots and (b) Posterior Density Plots of Beta Parameters</w:t>
      </w:r>
    </w:p>
    <w:p w14:paraId="773E5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S8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Convergence Diagnostics for Ma'anshan: (a) Trace Plots and (b) Posterior Density Plots of Beta Parameters</w:t>
      </w:r>
    </w:p>
    <w:p w14:paraId="25319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S9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Convergence Diagnostics for Tongling: (a) Trace Plots and (b) Posterior Density Plots of Beta Parameters</w:t>
      </w:r>
    </w:p>
    <w:p w14:paraId="14154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S10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Convergence Diagnostics for Xuancheng: (a) Trace Plots and (b) Posterior Density Plots of Beta Parameters</w:t>
      </w:r>
    </w:p>
    <w:p w14:paraId="2212A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Figure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S11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Heatmap of posterior inclusion probabilities (PIP) for meteorological variables across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eight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 cities</w:t>
      </w:r>
    </w:p>
    <w:p w14:paraId="6A5E0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S12.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Univariate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e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ffects of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m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eteorological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f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actors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a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cross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eight c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ities</w:t>
      </w:r>
    </w:p>
    <w:p w14:paraId="4F159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S13.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Chizhou</w:t>
      </w:r>
    </w:p>
    <w:p w14:paraId="69E17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S14.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Chuzhou</w:t>
      </w:r>
    </w:p>
    <w:p w14:paraId="3A407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S15.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Hefei</w:t>
      </w:r>
    </w:p>
    <w:p w14:paraId="397BC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S16.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Lu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’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an</w:t>
      </w:r>
    </w:p>
    <w:p w14:paraId="76EB7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S17.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Ma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’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anshan</w:t>
      </w:r>
    </w:p>
    <w:p w14:paraId="32DC3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S18.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Tongling</w:t>
      </w:r>
    </w:p>
    <w:p w14:paraId="64E53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S19.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Xuancheng</w:t>
      </w:r>
    </w:p>
    <w:p w14:paraId="64E2D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S20.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Forest Plots of Subgroup Analysis by Natural Geographic Regions</w:t>
      </w:r>
    </w:p>
    <w:p w14:paraId="3FFDB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ascii="Times New Roman" w:hAnsi="Times New Roman"/>
          <w:b/>
          <w:sz w:val="26"/>
        </w:rPr>
        <w:t>Supplementary Method</w:t>
      </w:r>
      <w:r>
        <w:rPr>
          <w:rFonts w:hint="eastAsia" w:ascii="Times New Roman" w:hAnsi="Times New Roman"/>
          <w:b/>
          <w:sz w:val="26"/>
          <w:lang w:val="en-US" w:eastAsia="zh-CN"/>
        </w:rPr>
        <w:t>:</w:t>
      </w:r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b w:val="0"/>
          <w:bCs/>
          <w:sz w:val="26"/>
        </w:rPr>
        <w:t>Core R code for city-specific BKMR analysis</w:t>
      </w:r>
    </w:p>
    <w:p w14:paraId="48EF435F">
      <w:pPr>
        <w:jc w:val="left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References</w:t>
      </w:r>
    </w:p>
    <w:p w14:paraId="00178A96">
      <w:pPr>
        <w:jc w:val="both"/>
        <w:rPr>
          <w:rFonts w:hint="default" w:ascii="Times New Roman" w:hAnsi="Times New Roman" w:cs="Times New Roman" w:eastAsiaTheme="minorEastAsia"/>
          <w:color w:val="auto"/>
          <w:sz w:val="22"/>
          <w:szCs w:val="22"/>
          <w:lang w:val="en-US" w:eastAsia="zh-CN"/>
        </w:rPr>
      </w:pPr>
    </w:p>
    <w:p w14:paraId="6DCB9748"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32"/>
          <w:u w:val="none"/>
          <w:lang w:val="en-US" w:eastAsia="zh-CN"/>
        </w:rPr>
        <w:br w:type="page"/>
      </w:r>
    </w:p>
    <w:p w14:paraId="465FF9F0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Supplementary Methods: Lag Structure Definitions</w:t>
      </w:r>
    </w:p>
    <w:p w14:paraId="0C5132EC">
      <w:pPr>
        <w:spacing w:line="360" w:lineRule="auto"/>
        <w:ind w:firstLine="480" w:firstLineChars="200"/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For each city, six candidate lag structures were constructed for each meteorological variable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: </w:t>
      </w:r>
    </w:p>
    <w:p w14:paraId="05279858">
      <w:pPr>
        <w:spacing w:line="360" w:lineRule="auto"/>
        <w:ind w:firstLine="480" w:firstLineChars="200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s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ingle-month lags (lag1, lag2, lag3): The exposure value at a specified number of months prior to the outcome month. For a given month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:</w:t>
      </w:r>
    </w:p>
    <w:p w14:paraId="2C367E65">
      <w:pPr>
        <w:spacing w:line="360" w:lineRule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lag1: exposure at month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−1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lag2: exposure at month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−2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; 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lag3: exposure at month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−3</w:t>
      </w:r>
    </w:p>
    <w:p w14:paraId="794D4EEC">
      <w:pPr>
        <w:spacing w:line="360" w:lineRule="auto"/>
        <w:ind w:firstLine="480" w:firstLineChars="200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Cumulative moving averages (lag01, lag02, lag03): The average exposure over the current and preceding months. For a given month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:</w:t>
      </w:r>
    </w:p>
    <w:p w14:paraId="0EE930D3">
      <w:pPr>
        <w:spacing w:line="360" w:lineRule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lag01: average of exposure at months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 and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−1, i.e., (Eₜ + Eₜ₋₁) / 2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;</w:t>
      </w:r>
    </w:p>
    <w:p w14:paraId="7BDABBCF">
      <w:pPr>
        <w:spacing w:line="360" w:lineRule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lag02: average of exposure at months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,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−1, and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−2, i.e., (Eₜ + Eₜ₋₁ + Eₜ₋₂) / 3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;</w:t>
      </w:r>
    </w:p>
    <w:p w14:paraId="60424D28">
      <w:pPr>
        <w:spacing w:line="360" w:lineRule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lag03: average of exposure at months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,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−1,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−2, and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−3, i.e., (Eₜ + Eₜ₋₁ + Eₜ₋₂ + Eₜ₋₃) / 4</w:t>
      </w:r>
    </w:p>
    <w:p w14:paraId="651FA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where Eₜ denotes the meteorological exposure value in month </w:t>
      </w:r>
      <w:r>
        <w:rPr>
          <w:rFonts w:hint="eastAsia" w:ascii="Times New Roman" w:hAnsi="Times New Roman" w:eastAsia="等线" w:cs="Times New Roman"/>
          <w:b w:val="0"/>
          <w:bCs w:val="0"/>
          <w:i/>
          <w:iCs/>
          <w:color w:val="auto"/>
          <w:sz w:val="24"/>
          <w:szCs w:val="24"/>
          <w:u w:val="none"/>
          <w:lang w:val="en-US" w:eastAsia="zh-CN"/>
        </w:rPr>
        <w:t>t</w:t>
      </w: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. For each city, the optimal lag structure was initially identified according to the AIC of the city-specific NB-GAM. Considering cross-city model performance and comparability, the lag structure showing the best overall performance across cities was subsequently selected as the unified exposure window for the main BKMR analyses.</w:t>
      </w:r>
    </w:p>
    <w:p w14:paraId="25614825">
      <w:pP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br w:type="page"/>
      </w:r>
    </w:p>
    <w:p w14:paraId="321D9B1B">
      <w:pP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S1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4"/>
          <w:szCs w:val="24"/>
          <w:u w:val="none"/>
          <w:lang w:val="en-US" w:eastAsia="zh-CN"/>
        </w:rPr>
        <w:t>Detailed description of the Covariate data</w:t>
      </w:r>
    </w:p>
    <w:tbl>
      <w:tblPr>
        <w:tblStyle w:val="9"/>
        <w:tblW w:w="10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2605"/>
        <w:gridCol w:w="3521"/>
        <w:gridCol w:w="2271"/>
      </w:tblGrid>
      <w:tr w14:paraId="5A711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598CA16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b w:val="0"/>
                <w:bCs/>
                <w:color w:val="000000"/>
                <w:kern w:val="0"/>
                <w:sz w:val="24"/>
                <w:szCs w:val="21"/>
              </w:rPr>
              <w:t>Variables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CCC991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  <w:t>Spatio-temporalscale</w:t>
            </w:r>
          </w:p>
        </w:tc>
        <w:tc>
          <w:tcPr>
            <w:tcW w:w="32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4FC675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  <w:t>Data</w:t>
            </w:r>
            <w:r>
              <w:rPr>
                <w:rFonts w:hint="eastAsia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  <w:t>source</w:t>
            </w:r>
          </w:p>
        </w:tc>
        <w:tc>
          <w:tcPr>
            <w:tcW w:w="239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7D341B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  <w:t>Selection</w:t>
            </w:r>
            <w:r>
              <w:rPr>
                <w:rFonts w:hint="eastAsia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/>
              </w:rPr>
              <w:t>Rationale</w:t>
            </w:r>
          </w:p>
        </w:tc>
      </w:tr>
      <w:tr w14:paraId="1E967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5C7D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G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ross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D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omestic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P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roduct (GDP) per capita (CNY)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51B3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Annual data for cities from 2011 to 2023, linearly interpolated to monthly data</w:t>
            </w:r>
          </w:p>
        </w:tc>
        <w:tc>
          <w:tcPr>
            <w:tcW w:w="32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510E2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Statistical Yearbook</w:t>
            </w:r>
          </w:p>
        </w:tc>
        <w:tc>
          <w:tcPr>
            <w:tcW w:w="239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997FC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GDP per capita serves as a critical proxy for regional economic development and healthcare accessibility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begin">
                <w:fldData xml:space="preserve">PEVuZE5vdGU+PENpdGU+PEF1dGhvcj5ZYW5nPC9BdXRob3I+PFllYXI+MjAyNjwvWWVhcj48UmVj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</w:fldData>
              </w:fldChar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2"/>
                <w:sz w:val="20"/>
                <w:szCs w:val="20"/>
                <w:u w:val="none"/>
                <w:vertAlign w:val="superscript"/>
                <w:lang w:val="en-US" w:eastAsia="zh-CN" w:bidi="ar-SA"/>
              </w:rPr>
              <w:t>[1, 2]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.</w:t>
            </w:r>
          </w:p>
        </w:tc>
      </w:tr>
      <w:tr w14:paraId="42155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819D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2"/>
                <w:sz w:val="20"/>
                <w:szCs w:val="20"/>
              </w:rPr>
              <w:t>Normalized Difference Vegetation Index</w:t>
            </w: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2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NDVI)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5A48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Monthly data by city level, 2011–2023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0881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The MOD13A3 dataset released by NASA with a spatial resolution of 1 km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eastAsia="等线"/>
                <w:b w:val="0"/>
                <w:bCs/>
                <w:color w:val="000000"/>
                <w:sz w:val="20"/>
                <w:szCs w:val="21"/>
                <w:lang w:val="en-US" w:eastAsia="zh-CN"/>
              </w:rPr>
              <w:t>(</w:t>
            </w:r>
            <w:r>
              <w:rPr>
                <w:rStyle w:val="13"/>
                <w:rFonts w:hint="eastAsia" w:ascii="Times New Roman" w:hAnsi="Times New Roman" w:eastAsia="等线" w:cs="Times New Roman"/>
                <w:b w:val="0"/>
                <w:bCs/>
                <w:color w:val="000000"/>
                <w:kern w:val="0"/>
                <w:sz w:val="20"/>
                <w:szCs w:val="22"/>
                <w:lang w:val="en-US" w:eastAsia="zh-CN"/>
              </w:rPr>
              <w:t>https://search.earthdata.nasa.gov/search</w:t>
            </w:r>
            <w:r>
              <w:rPr>
                <w:rFonts w:hint="eastAsia" w:ascii="Times New Roman" w:eastAsia="等线"/>
                <w:b w:val="0"/>
                <w:bCs/>
                <w:color w:val="000000"/>
                <w:sz w:val="20"/>
                <w:szCs w:val="21"/>
                <w:lang w:val="en-US" w:eastAsia="zh-CN"/>
              </w:rPr>
              <w:t>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2B2D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NDVI reflects vegetation coverage and greenness, serving as a key environmental determinant of tick habitat suitability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begin">
                <w:fldData xml:space="preserve">PEVuZE5vdGU+PENpdGU+PEF1dGhvcj5EdWFuPC9BdXRob3I+PFllYXI+MjAyMzwvWWVhcj48UmVj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==
</w:fldData>
              </w:fldChar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2"/>
                <w:sz w:val="20"/>
                <w:szCs w:val="20"/>
                <w:u w:val="none"/>
                <w:vertAlign w:val="superscript"/>
                <w:lang w:val="en-US" w:eastAsia="zh-CN" w:bidi="ar-SA"/>
              </w:rPr>
              <w:t>[3]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.</w:t>
            </w:r>
          </w:p>
        </w:tc>
      </w:tr>
      <w:tr w14:paraId="1F84F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0A03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U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rbanization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ates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EA85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Annual data by city level, 2011–2023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04A1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Statistical Yearbook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A4CB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Urbanization rate reflects the rural-urban structure and intensity of human activity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begin">
                <w:fldData xml:space="preserve">PEVuZE5vdGU+PENpdGU+PEF1dGhvcj5NaWFvPC9BdXRob3I+PFllYXI+MjAyMTwvWWVhcj48UmVj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</w:fldData>
              </w:fldChar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2"/>
                <w:sz w:val="20"/>
                <w:szCs w:val="20"/>
                <w:u w:val="none"/>
                <w:vertAlign w:val="superscript"/>
                <w:lang w:val="en-US" w:eastAsia="zh-CN" w:bidi="ar-SA"/>
              </w:rPr>
              <w:t>[2]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.</w:t>
            </w:r>
          </w:p>
        </w:tc>
      </w:tr>
      <w:tr w14:paraId="03CB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D28CA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and use types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ascii="Times New Roman" w:hAnsi="Times New Roman" w:eastAsia="等线" w:cs="Times New Roman"/>
                <w:b w:val="0"/>
                <w:color w:val="000000"/>
                <w:kern w:val="0"/>
                <w:sz w:val="20"/>
                <w:szCs w:val="20"/>
              </w:rPr>
              <w:t>km</w:t>
            </w:r>
            <w:r>
              <w:rPr>
                <w:rFonts w:ascii="Times New Roman" w:hAnsi="Times New Roman" w:eastAsia="等线" w:cs="Times New Roman"/>
                <w:b w:val="0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b w:val="0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26F2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Annual data by city level, 2011–2023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0057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Chinese Land Cover Dataset (CLCD)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eastAsia="等线"/>
                <w:b w:val="0"/>
                <w:bCs/>
                <w:color w:val="000000"/>
                <w:sz w:val="20"/>
                <w:szCs w:val="21"/>
                <w:lang w:val="en-US" w:eastAsia="zh-CN"/>
              </w:rPr>
              <w:t>(</w:t>
            </w:r>
            <w:r>
              <w:rPr>
                <w:rStyle w:val="13"/>
                <w:rFonts w:hint="eastAsia" w:ascii="Times New Roman" w:hAnsi="Times New Roman" w:eastAsia="等线" w:cs="Times New Roman"/>
                <w:b w:val="0"/>
                <w:bCs/>
                <w:color w:val="000000"/>
                <w:kern w:val="0"/>
                <w:sz w:val="20"/>
                <w:szCs w:val="22"/>
                <w:lang w:val="en-US" w:eastAsia="zh-CN"/>
              </w:rPr>
              <w:t>https://zenodo.org/records/15853565)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D37F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Land use patterns (forest, cropland, shrubland) determine tick habitat quality and human exposure risk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instrText xml:space="preserve"> ADDIN EN.CITE &lt;EndNote&gt;&lt;Cite&gt;&lt;Author&gt;Nam&lt;/Author&gt;&lt;Year&gt;2023&lt;/Year&gt;&lt;RecNum&gt;59&lt;/RecNum&gt;&lt;DisplayText&gt;[4]&lt;/DisplayText&gt;&lt;record&gt;&lt;rec-number&gt;59&lt;/rec-number&gt;&lt;foreign-keys&gt;&lt;key app="EN" db-id="awf2t592rtx9poepf29p92axtzdaea5d9e9s" timestamp="1781154830"&gt;59&lt;/key&gt;&lt;/foreign-keys&gt;&lt;ref-type name="Journal Article"&gt;17&lt;/ref-type&gt;&lt;contributors&gt;&lt;authors&gt;&lt;author&gt;Nam, H. K.&lt;/author&gt;&lt;author&gt;Min, K. D.&lt;/author&gt;&lt;author&gt;Jo, S.&lt;/author&gt;&lt;author&gt;Cho, S. I.&lt;/author&gt;&lt;/authors&gt;&lt;/contributors&gt;&lt;auth-address&gt;Department of Public Health Science, Graduate School of Public Health, Seoul National University.&amp;#xD;College of Veterinary Medicine, Chungbuk National University.&amp;#xD;Department of Public Health Science, Graduate School of Public Health, Seoul National University.@@Institute of Health and Environment, Seoul National University, Republic of Korea.&lt;/auth-address&gt;&lt;titles&gt;&lt;title&gt;Association of Deforestation With Severe Fever With Thrombocytopenia Syndrome&lt;/title&gt;&lt;secondary-title&gt;J infect dis&lt;/secondary-title&gt;&lt;alt-title&gt;Journal of infectious diseases&lt;/alt-title&gt;&lt;/titles&gt;&lt;periodical&gt;&lt;full-title&gt;J infect dis&lt;/full-title&gt;&lt;abbr-1&gt;Journal of infectious diseases&lt;/abbr-1&gt;&lt;/periodical&gt;&lt;alt-periodical&gt;&lt;full-title&gt;J infect dis&lt;/full-title&gt;&lt;abbr-1&gt;Journal of infectious diseases&lt;/abbr-1&gt;&lt;/alt-periodical&gt;&lt;pages&gt;1730-1738&lt;/pages&gt;&lt;volume&gt;228&lt;/volume&gt;&lt;number&gt;12&lt;/number&gt;&lt;keywords&gt;&lt;keyword&gt;Humans&lt;/keyword&gt;&lt;keyword&gt;人类&lt;/keyword&gt;&lt;keyword&gt;Severe Fever with Thrombocytopenia Syndrome*&lt;/keyword&gt;&lt;keyword&gt;严重发热伴血小板减少综合征*&lt;/keyword&gt;&lt;keyword&gt;Bunyaviridae Infections*/epidemiology&lt;/keyword&gt;&lt;keyword&gt;布尼亚病毒科感染*/流行病学&lt;/keyword&gt;&lt;keyword&gt;Conservation of Natural Resources&lt;/keyword&gt;&lt;keyword&gt;自然资源保护&lt;/keyword&gt;&lt;keyword&gt;Phlebovirus*&lt;/keyword&gt;&lt;keyword&gt;白蛉病毒属*&lt;/keyword&gt;&lt;keyword&gt;China/epidemiology&lt;/keyword&gt;&lt;keyword&gt;中国/流行病学&lt;/keyword&gt;&lt;/keywords&gt;&lt;dates&gt;&lt;year&gt;2023&lt;/year&gt;&lt;/dates&gt;&lt;isbn&gt;0022-1899&lt;/isbn&gt;&lt;accession-num&gt;37265042&lt;/accession-num&gt;&lt;urls&gt;&lt;/urls&gt;&lt;language&gt;英语&lt;/language&gt;&lt;/record&gt;&lt;/Cite&gt;&lt;/EndNote&gt;</w:instrTex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kern w:val="2"/>
                <w:sz w:val="20"/>
                <w:szCs w:val="20"/>
                <w:u w:val="none"/>
                <w:vertAlign w:val="superscript"/>
                <w:lang w:val="en-US" w:eastAsia="zh-CN" w:bidi="ar-SA"/>
              </w:rPr>
              <w:t>[4]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.</w:t>
            </w:r>
          </w:p>
        </w:tc>
      </w:tr>
      <w:tr w14:paraId="3B536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5B4520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Urban permanent population</w:t>
            </w:r>
          </w:p>
        </w:tc>
        <w:tc>
          <w:tcPr>
            <w:tcW w:w="265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21FFA0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Annual data by city level, 2011–2023</w:t>
            </w:r>
          </w:p>
        </w:tc>
        <w:tc>
          <w:tcPr>
            <w:tcW w:w="32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00D63F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>Statistical Yearbook</w:t>
            </w:r>
          </w:p>
        </w:tc>
        <w:tc>
          <w:tcPr>
            <w:tcW w:w="23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D3D2BA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000000"/>
                <w:sz w:val="20"/>
                <w:szCs w:val="20"/>
                <w:u w:val="none"/>
                <w:vertAlign w:val="baseline"/>
                <w:lang w:val="en-US" w:eastAsia="zh-CN"/>
              </w:rPr>
              <w:t>/</w:t>
            </w:r>
          </w:p>
        </w:tc>
      </w:tr>
    </w:tbl>
    <w:p w14:paraId="04501D92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268F5DE7">
      <w:pPr>
        <w:pStyle w:val="2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S2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NB-GAM model diagnostics by lag structure</w:t>
      </w:r>
    </w:p>
    <w:tbl>
      <w:tblPr>
        <w:tblStyle w:val="8"/>
        <w:tblW w:w="456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2"/>
        <w:gridCol w:w="4322"/>
        <w:gridCol w:w="1215"/>
        <w:gridCol w:w="1947"/>
      </w:tblGrid>
      <w:tr w14:paraId="27FF9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tblHeader/>
          <w:jc w:val="center"/>
        </w:trPr>
        <w:tc>
          <w:tcPr>
            <w:tcW w:w="601" w:type="pct"/>
            <w:tcBorders>
              <w:top w:val="single" w:color="000000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1B78B2F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</w:t>
            </w:r>
          </w:p>
        </w:tc>
        <w:tc>
          <w:tcPr>
            <w:tcW w:w="2540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BE27F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Deviance Explained (%)</w:t>
            </w:r>
          </w:p>
        </w:tc>
        <w:tc>
          <w:tcPr>
            <w:tcW w:w="714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4FF9E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SD</w:t>
            </w:r>
          </w:p>
        </w:tc>
        <w:tc>
          <w:tcPr>
            <w:tcW w:w="1144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B7EBB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Mean AIC</w:t>
            </w:r>
          </w:p>
        </w:tc>
      </w:tr>
      <w:tr w14:paraId="29630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0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B9F0D4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lag01</w:t>
            </w:r>
          </w:p>
        </w:tc>
        <w:tc>
          <w:tcPr>
            <w:tcW w:w="254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0CEA9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</w:t>
            </w:r>
          </w:p>
        </w:tc>
        <w:tc>
          <w:tcPr>
            <w:tcW w:w="71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9B0CD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</w:t>
            </w: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3C583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</w:tr>
      <w:tr w14:paraId="1020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0A0CAEF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lag02</w:t>
            </w:r>
          </w:p>
        </w:tc>
        <w:tc>
          <w:tcPr>
            <w:tcW w:w="2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E4B0F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C09A1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12.4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F5CC1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</w:tr>
      <w:tr w14:paraId="1F191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05190A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lag1</w:t>
            </w:r>
          </w:p>
        </w:tc>
        <w:tc>
          <w:tcPr>
            <w:tcW w:w="2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10F73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9E1ED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11.2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CCD5F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</w:tr>
      <w:tr w14:paraId="4687B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E9A4DA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lag03</w:t>
            </w:r>
          </w:p>
        </w:tc>
        <w:tc>
          <w:tcPr>
            <w:tcW w:w="2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F88A6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65.9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795CC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10.9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40149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</w:tr>
      <w:tr w14:paraId="66E25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5E0BCB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lag3</w:t>
            </w:r>
          </w:p>
        </w:tc>
        <w:tc>
          <w:tcPr>
            <w:tcW w:w="25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AB507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18012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12.6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2F8B5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</w:tr>
      <w:tr w14:paraId="1C1E4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0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61EED2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lag2</w:t>
            </w:r>
          </w:p>
        </w:tc>
        <w:tc>
          <w:tcPr>
            <w:tcW w:w="254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5C820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61.7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D65B4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11.5</w:t>
            </w:r>
          </w:p>
        </w:tc>
        <w:tc>
          <w:tcPr>
            <w:tcW w:w="114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BC2AF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</w:tr>
    </w:tbl>
    <w:p w14:paraId="26C76CED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6671573A">
      <w:pPr>
        <w:pStyle w:val="2"/>
        <w:spacing w:line="240" w:lineRule="auto"/>
        <w:rPr>
          <w:rFonts w:hint="eastAsia" w:ascii="Times New Roman" w:hAnsi="Times New Roman" w:eastAsia="黑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S3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Summary of total SFTS cases and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month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ly meteorological variables from 2011 to 202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3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071"/>
        <w:gridCol w:w="1402"/>
        <w:gridCol w:w="1392"/>
        <w:gridCol w:w="1760"/>
        <w:gridCol w:w="1083"/>
        <w:gridCol w:w="1453"/>
      </w:tblGrid>
      <w:tr w14:paraId="4869BE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6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1A1ECF1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highlight w:val="none"/>
                <w:lang w:bidi="ar"/>
              </w:rPr>
              <w:t>City</w:t>
            </w:r>
          </w:p>
        </w:tc>
        <w:tc>
          <w:tcPr>
            <w:tcW w:w="577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FEF98D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Total </w:t>
            </w:r>
            <w:r>
              <w:rPr>
                <w:rStyle w:val="15"/>
                <w:rFonts w:hint="default" w:ascii="Times New Roman" w:hAnsi="Times New Roman" w:eastAsia="宋体" w:cs="Times New Roman"/>
                <w:b/>
                <w:sz w:val="20"/>
                <w:szCs w:val="20"/>
                <w:lang w:bidi="ar"/>
              </w:rPr>
              <w:t>SFTS cases</w:t>
            </w:r>
          </w:p>
        </w:tc>
        <w:tc>
          <w:tcPr>
            <w:tcW w:w="3816" w:type="pct"/>
            <w:gridSpan w:val="5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E5BC3E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val="en-US" w:eastAsia="zh-CN" w:bidi="ar"/>
              </w:rPr>
              <w:t>Month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ly average</w:t>
            </w:r>
          </w:p>
        </w:tc>
      </w:tr>
      <w:tr w14:paraId="77D308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06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EF35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77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F5DD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10D8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Temperature (℃)</w:t>
            </w:r>
          </w:p>
        </w:tc>
        <w:tc>
          <w:tcPr>
            <w:tcW w:w="74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D1B66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Relative humidity (%)</w:t>
            </w:r>
          </w:p>
        </w:tc>
        <w:tc>
          <w:tcPr>
            <w:tcW w:w="9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EB79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Atmospheric pressure</w:t>
            </w:r>
            <w:r>
              <w:rPr>
                <w:rStyle w:val="15"/>
                <w:rFonts w:hint="default" w:ascii="Times New Roman" w:hAnsi="Times New Roman" w:eastAsia="宋体" w:cs="Times New Roman"/>
                <w:b/>
                <w:sz w:val="20"/>
                <w:szCs w:val="20"/>
                <w:lang w:bidi="ar"/>
              </w:rPr>
              <w:t xml:space="preserve"> (hPa)</w:t>
            </w:r>
          </w:p>
        </w:tc>
        <w:tc>
          <w:tcPr>
            <w:tcW w:w="58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74FC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Wind speed (m/s)</w:t>
            </w:r>
          </w:p>
        </w:tc>
        <w:tc>
          <w:tcPr>
            <w:tcW w:w="7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13345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Precipitation (mm)</w:t>
            </w:r>
          </w:p>
        </w:tc>
      </w:tr>
      <w:tr w14:paraId="7CE543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677B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Chuzhou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90E5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1C45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16.15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26BD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71.99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356E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1010.76 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A8270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1.22 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0BD9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3.06 </w:t>
            </w:r>
          </w:p>
        </w:tc>
      </w:tr>
      <w:tr w14:paraId="4B82BB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5E33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Lu’an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7CC4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7CCD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15.99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EBEFD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72.60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D8A4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996.02 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FD30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 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D9F3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3.51 </w:t>
            </w:r>
          </w:p>
        </w:tc>
      </w:tr>
      <w:tr w14:paraId="372760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82C9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Hefei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E890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7223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16.76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C1478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72.54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F1CC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1011.45 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CFBA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1.14 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FEA6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3.34 </w:t>
            </w:r>
          </w:p>
        </w:tc>
      </w:tr>
      <w:tr w14:paraId="7CBD96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D92A5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Anqing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A077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DB4EB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16.26 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A37A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74.37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A7A79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984.92 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A79D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35EE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4.64 </w:t>
            </w:r>
          </w:p>
        </w:tc>
      </w:tr>
      <w:tr w14:paraId="657935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B01A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Ma’anshan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59C0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06B6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16.81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D1D80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72.89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4BCF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1012.21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79D6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461F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</w:tr>
      <w:tr w14:paraId="15E39E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3173F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Xuancheng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4E2C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049FF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16.57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47ACC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75.77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4E1A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998.43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87AC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6B71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4.76</w:t>
            </w:r>
          </w:p>
        </w:tc>
      </w:tr>
      <w:tr w14:paraId="458A02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8512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Tongling</w:t>
            </w: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608DF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B0717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17.06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2EB6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74.61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2A43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1009.91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C086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1714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4.16</w:t>
            </w:r>
          </w:p>
        </w:tc>
      </w:tr>
      <w:tr w14:paraId="70CC79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0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06CFB6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Chizhou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CF8197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703B26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17.03</w:t>
            </w:r>
          </w:p>
        </w:tc>
        <w:tc>
          <w:tcPr>
            <w:tcW w:w="7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9BF221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76.40</w:t>
            </w:r>
          </w:p>
        </w:tc>
        <w:tc>
          <w:tcPr>
            <w:tcW w:w="94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32FFCB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1004.32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D1FB58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8E10AA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5.05</w:t>
            </w:r>
          </w:p>
        </w:tc>
      </w:tr>
    </w:tbl>
    <w:p w14:paraId="3AB3D5D1">
      <w:pPr>
        <w:pStyle w:val="2"/>
        <w:widowControl/>
        <w:jc w:val="left"/>
        <w:rPr>
          <w:rFonts w:hint="default" w:ascii="Times New Roman" w:hAnsi="Times New Roman" w:cs="Times New Roman"/>
        </w:rPr>
      </w:pPr>
    </w:p>
    <w:p w14:paraId="301412F6">
      <w:pPr>
        <w:jc w:val="both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782487C4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S1 Covariate collinearity diagnostics: (a) Spearman correlation matrix; (b) Variance Inflation Factor (VIF)</w:t>
      </w:r>
    </w:p>
    <w:p w14:paraId="20092009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720" cy="5760720"/>
            <wp:effectExtent l="0" t="0" r="5080" b="5080"/>
            <wp:docPr id="1" name="图片 1" descr="Figure_Supp_Covariate_Diagnost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Supp_Covariate_Diagnostic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5EB52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0"/>
          <w:szCs w:val="20"/>
          <w:u w:val="none"/>
          <w:lang w:val="en-US" w:eastAsia="zh-CN"/>
        </w:rPr>
        <w:t>Note: GDP represents Gross Domestic Product per capita. NDVI stands for Normalized Difference Vegetation Index.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1582789F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S2. Deviance Explained of NB-GAM models by city and lag structure</w:t>
      </w:r>
    </w:p>
    <w:p w14:paraId="197302CF">
      <w:pPr>
        <w:jc w:val="center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56910" cy="4318000"/>
            <wp:effectExtent l="0" t="0" r="8890" b="0"/>
            <wp:docPr id="3" name="图片 3" descr="p_dev_heat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p_dev_heatmap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3993C826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S3. Convergence Diagnostics for Anqing: (a) Trace Plots and (b) Posterior Density Plots of Beta Parameters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textWrapping"/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085" cy="8639810"/>
            <wp:effectExtent l="0" t="0" r="5715" b="8890"/>
            <wp:docPr id="18" name="图片 18" descr="Anqing_Combined_Diagnosti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Anqing_Combined_Diagnostic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0C1D0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495440EE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S4. Convergence Diagnostics for Chizhou: (a) Trace Plots and (b) Posterior Density Plots of Beta Parameters</w:t>
      </w:r>
    </w:p>
    <w:p w14:paraId="197E7625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085" cy="8639810"/>
            <wp:effectExtent l="0" t="0" r="5715" b="8890"/>
            <wp:docPr id="19" name="图片 19" descr="Chizhou_Combined_Diagnosti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hizhou_Combined_Diagnostic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0E218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71BD7DCC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S5. Convergence Diagnostics for Chuzhou: (a) Trace Plots and (b) Posterior Density Plots of Beta Parameters</w:t>
      </w:r>
    </w:p>
    <w:p w14:paraId="08B36906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085" cy="8639810"/>
            <wp:effectExtent l="0" t="0" r="5715" b="8890"/>
            <wp:docPr id="20" name="图片 20" descr="Chuzhou_Combined_Diagnosti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huzhou_Combined_Diagnostic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281AF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503AD05E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S6. Convergence Diagnostics for Hefei: (a) Trace Plots and (b) Posterior Density Plots of Beta Parameters</w:t>
      </w:r>
    </w:p>
    <w:p w14:paraId="11022360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085" cy="8639810"/>
            <wp:effectExtent l="0" t="0" r="5715" b="8890"/>
            <wp:docPr id="21" name="图片 21" descr="Hefei_Combined_Diagnosti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Hefei_Combined_Diagnostics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FB9E5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2A886479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S7.Convergence Diagnostics for Lu'an: (a) Trace Plots and (b) Posterior Density Plots of Beta Parameters</w:t>
      </w:r>
    </w:p>
    <w:p w14:paraId="275AE046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085" cy="8639810"/>
            <wp:effectExtent l="0" t="0" r="5715" b="8890"/>
            <wp:docPr id="22" name="图片 22" descr="Lu'an_Combined_Diagnosti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Lu'an_Combined_Diagnostic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B692F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</w:p>
    <w:p w14:paraId="116A3831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29EFE789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S8. Convergence Diagnostics for Ma'anshan: (a) Trace Plots and (b) Posterior Density Plots of Beta Parameters</w:t>
      </w:r>
    </w:p>
    <w:p w14:paraId="40A10198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085" cy="8639810"/>
            <wp:effectExtent l="0" t="0" r="5715" b="8890"/>
            <wp:docPr id="23" name="图片 23" descr="Ma'anshan_Combined_Diagnosti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a'anshan_Combined_Diagnostic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1F51B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</w:p>
    <w:p w14:paraId="2F38C116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326E0E70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S9. Convergence Diagnostics for Tongling: (a) Trace Plots and (b) Posterior Density Plots of Beta Parameters</w:t>
      </w:r>
    </w:p>
    <w:p w14:paraId="53096923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085" cy="8639810"/>
            <wp:effectExtent l="0" t="0" r="5715" b="8890"/>
            <wp:docPr id="24" name="图片 24" descr="Tongling_Combined_Diagnosti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Tongling_Combined_Diagnostic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3D41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</w:p>
    <w:p w14:paraId="60988A6A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4E5C6424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S10. Convergence Diagnostics for Xuancheng: (a) Trace Plots and (b) Posterior Density Plots of Beta Parameters</w:t>
      </w:r>
    </w:p>
    <w:p w14:paraId="718E1BCD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085" cy="8639810"/>
            <wp:effectExtent l="0" t="0" r="5715" b="8890"/>
            <wp:docPr id="25" name="图片 25" descr="Xuancheng_Combined_Diagnosti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Xuancheng_Combined_Diagnostics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05DBB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</w:p>
    <w:p w14:paraId="01FE51FA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S11. Heatmap of posterior inclusion probabilities (PIP) for meteorological variables across eight cities</w:t>
      </w:r>
    </w:p>
    <w:p w14:paraId="5F69FC85">
      <w:pPr>
        <w:spacing w:line="240" w:lineRule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56910" cy="4318000"/>
            <wp:effectExtent l="0" t="0" r="8890" b="0"/>
            <wp:docPr id="7" name="图片 7" descr="PIP_heat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IP_heatmap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E8595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</w:p>
    <w:p w14:paraId="3EAFA378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57BF6FDD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S12.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Univariate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e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ffects of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m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eteorological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actors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a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cross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eight c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ities</w:t>
      </w:r>
    </w:p>
    <w:p w14:paraId="469CB38F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720" cy="4114800"/>
            <wp:effectExtent l="0" t="0" r="5080" b="0"/>
            <wp:docPr id="6" name="图片 6" descr="Univariate_effects_all_c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Univariate_effects_all_cities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59AF33E3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S13.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Chizhou</w:t>
      </w:r>
    </w:p>
    <w:p w14:paraId="3408B19A">
      <w:pP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drawing>
          <wp:inline distT="0" distB="0" distL="114300" distR="114300">
            <wp:extent cx="5760720" cy="4800600"/>
            <wp:effectExtent l="0" t="0" r="5080" b="0"/>
            <wp:docPr id="13" name="图片 13" descr="Figure_Chizhou_TRUE_5x5_Conditional_Respo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ure_Chizhou_TRUE_5x5_Conditional_Respons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553AD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151CEFFD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S14.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Chuzhou</w:t>
      </w:r>
    </w:p>
    <w:p w14:paraId="1891AC59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720" cy="4800600"/>
            <wp:effectExtent l="0" t="0" r="5080" b="0"/>
            <wp:docPr id="14" name="图片 14" descr="Figure_Chuzhou_TRUE_5x5_Conditional_Respo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_Chuzhou_TRUE_5x5_Conditional_Respons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8CD73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3E5EA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S15.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Hefei</w:t>
      </w:r>
    </w:p>
    <w:p w14:paraId="0E710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drawing>
          <wp:inline distT="0" distB="0" distL="114300" distR="114300">
            <wp:extent cx="5760720" cy="4800600"/>
            <wp:effectExtent l="0" t="0" r="5080" b="0"/>
            <wp:docPr id="15" name="图片 15" descr="Figure_Hefei_TRUE_5x5_Conditional_Respo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_Hefei_TRUE_5x5_Conditional_Response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5D9BE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3F0FA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S16.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Lu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’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an</w:t>
      </w:r>
    </w:p>
    <w:p w14:paraId="703BE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drawing>
          <wp:inline distT="0" distB="0" distL="114300" distR="114300">
            <wp:extent cx="5760720" cy="4800600"/>
            <wp:effectExtent l="0" t="0" r="5080" b="0"/>
            <wp:docPr id="16" name="图片 16" descr="Figure_Lu'an_TRUE_5x5_Conditional_Respo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_Lu'an_TRUE_5x5_Conditional_Respons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7F0AF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12A3B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S17.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Ma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’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anshan</w:t>
      </w:r>
    </w:p>
    <w:p w14:paraId="2DD54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drawing>
          <wp:inline distT="0" distB="0" distL="114300" distR="114300">
            <wp:extent cx="5760720" cy="4800600"/>
            <wp:effectExtent l="0" t="0" r="5080" b="0"/>
            <wp:docPr id="17" name="图片 17" descr="Figure_Ma'anshan_TRUE_5x5_Conditional_Respo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ure_Ma'anshan_TRUE_5x5_Conditional_Respons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07560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7D981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S18.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Tongling</w:t>
      </w:r>
    </w:p>
    <w:p w14:paraId="1D715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drawing>
          <wp:inline distT="0" distB="0" distL="114300" distR="114300">
            <wp:extent cx="5760720" cy="4800600"/>
            <wp:effectExtent l="0" t="0" r="5080" b="0"/>
            <wp:docPr id="26" name="图片 26" descr="Figure_Tongling_TRUE_5x5_Conditional_Respo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igure_Tongling_TRUE_5x5_Conditional_Response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B58AB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439CCBF2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Figure S19. 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Bivariate relationship of two meteorological factors with the risk of SFTS in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Xuancheng</w:t>
      </w:r>
    </w:p>
    <w:p w14:paraId="286DB0FB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720" cy="4800600"/>
            <wp:effectExtent l="0" t="0" r="5080" b="0"/>
            <wp:docPr id="27" name="图片 27" descr="Figure_Xuancheng_TRUE_5x5_Conditional_Respo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Figure_Xuancheng_TRUE_5x5_Conditional_Response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20364D01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Figure S20. Forest Plots of Subgroup Analysis by Natural Geographic Regions</w:t>
      </w:r>
    </w:p>
    <w:p w14:paraId="3895C429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760720" cy="2880360"/>
            <wp:effectExtent l="0" t="0" r="5080" b="2540"/>
            <wp:docPr id="30" name="图片 30" descr="Subgroup_Natural_Region_Fo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Subgroup_Natural_Region_Forest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EEE8D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0"/>
          <w:szCs w:val="20"/>
          <w:u w:val="none"/>
          <w:lang w:val="en-US" w:eastAsia="zh-CN"/>
        </w:rPr>
        <w:t>Note: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color w:val="auto"/>
          <w:sz w:val="20"/>
          <w:szCs w:val="20"/>
          <w:u w:val="none"/>
          <w:lang w:val="en-US" w:eastAsia="zh-CN"/>
        </w:rPr>
        <w:t>Forest plots showing city-specific joint effects stratified by natural geographic regions in Anhui Province. (a) Jianghuai hilly area (Chuzhou, Hefei, Lu'an; n=3). (b) Southern Mountains Region (Anqing, Chizhou, Ma'anshan, Tongling, Xuancheng; n=5). Squares represent city-specific estimates with 95% confidence intervals. Diamonds represent the overall meta-analytic estimate for each subgroup using random-effects models.</w: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3246EDE9">
      <w:pP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Supplementary Methods: Core R code for city-specific BKMR analysis</w:t>
      </w:r>
    </w:p>
    <w:p w14:paraId="1C984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># 1. Required packages</w:t>
      </w:r>
    </w:p>
    <w:p w14:paraId="24D06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16EAF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library(readxl)</w:t>
      </w:r>
    </w:p>
    <w:p w14:paraId="5E8F1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library(bkmr)</w:t>
      </w:r>
    </w:p>
    <w:p w14:paraId="705FD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library(bkmrhat)</w:t>
      </w:r>
    </w:p>
    <w:p w14:paraId="44907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library(coda)</w:t>
      </w:r>
    </w:p>
    <w:p w14:paraId="164CE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library(dplyr)</w:t>
      </w:r>
    </w:p>
    <w:p w14:paraId="3B90C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set.seed(2026)</w:t>
      </w:r>
    </w:p>
    <w:p w14:paraId="77A54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49390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2. Data import and preprocessing</w:t>
      </w:r>
    </w:p>
    <w:p w14:paraId="187EE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57251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dat &lt;- read_excel("path/to/dat_Anhui.xlsx")</w:t>
      </w:r>
    </w:p>
    <w:p w14:paraId="6E80E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dat &lt;- dat[order(dat$city, dat$Year, dat$month), ] </w:t>
      </w:r>
    </w:p>
    <w:p w14:paraId="2DDE0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Fourier terms for annual seasonality</w:t>
      </w:r>
    </w:p>
    <w:p w14:paraId="223E3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dat$sin12 &lt;- sin(2 * pi * dat$month / 12)</w:t>
      </w:r>
    </w:p>
    <w:p w14:paraId="54B07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dat$cos12 &lt;- cos(2 * pi * dat$month / 12)</w:t>
      </w:r>
    </w:p>
    <w:p w14:paraId="78764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City-specific sequential time index</w:t>
      </w:r>
    </w:p>
    <w:p w14:paraId="099FC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cities &lt;- unique(dat$city)</w:t>
      </w:r>
    </w:p>
    <w:p w14:paraId="696BA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dat$time &lt;- NA_real_</w:t>
      </w:r>
    </w:p>
    <w:p w14:paraId="33B51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for (city_i in cities) {</w:t>
      </w:r>
    </w:p>
    <w:p w14:paraId="13ABE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idx &lt;- which(dat$city == city_i)</w:t>
      </w:r>
    </w:p>
    <w:p w14:paraId="6D38E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dat$time[idx] &lt;- seq_along(idx)</w:t>
      </w:r>
    </w:p>
    <w:p w14:paraId="766D0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}</w:t>
      </w:r>
    </w:p>
    <w:p w14:paraId="79A3F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# Meteorological exposures</w:t>
      </w:r>
    </w:p>
    <w:p w14:paraId="3207C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weather_vars &lt;- c("TEM_Avg", "RHU_Avg", "PRS_Avg", "WIN_S_Avg", "PRE")</w:t>
      </w:r>
    </w:p>
    <w:p w14:paraId="32358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for (v in weather_vars) {</w:t>
      </w:r>
    </w:p>
    <w:p w14:paraId="7E377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lag_name &lt;- paste0(v, "_lag01")</w:t>
      </w:r>
    </w:p>
    <w:p w14:paraId="0D36B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dat[[lag_name]] &lt;- NA_real_</w:t>
      </w:r>
    </w:p>
    <w:p w14:paraId="2B670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for (city_i in cities) {</w:t>
      </w:r>
    </w:p>
    <w:p w14:paraId="17B94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idx &lt;- which(dat$city == city_i)</w:t>
      </w:r>
    </w:p>
    <w:p w14:paraId="3E0C6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if (length(idx) &gt;= 2) {</w:t>
      </w:r>
    </w:p>
    <w:p w14:paraId="4EC51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dat[[lag_name]][idx[-1]] &lt;- (</w:t>
      </w:r>
    </w:p>
    <w:p w14:paraId="4343B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  dat[[v]][idx[-1]] + dat[[v]][idx[-length(idx)]]</w:t>
      </w:r>
    </w:p>
    <w:p w14:paraId="1FF79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) / 2</w:t>
      </w:r>
    </w:p>
    <w:p w14:paraId="7B20D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}</w:t>
      </w:r>
    </w:p>
    <w:p w14:paraId="36B7E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}</w:t>
      </w:r>
    </w:p>
    <w:p w14:paraId="19C95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}</w:t>
      </w:r>
    </w:p>
    <w:p w14:paraId="2FDAF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Monthly SFTS incidence per 100,000 population</w:t>
      </w:r>
    </w:p>
    <w:p w14:paraId="78710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dat$incidence &lt;- dat$SFTS_case / (dat$Population / 100000)</w:t>
      </w:r>
    </w:p>
    <w:p w14:paraId="3E4D4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Variables used in the BKMR model</w:t>
      </w:r>
    </w:p>
    <w:p w14:paraId="447BB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exposure_vars &lt;- c(</w:t>
      </w:r>
    </w:p>
    <w:p w14:paraId="16A19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"TEM_Avg_lag01", "RHU_Avg_lag01", "PRS_Avg_lag01",</w:t>
      </w:r>
    </w:p>
    <w:p w14:paraId="44E54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"WIN_S_Avg_lag01", "PRE_lag01"</w:t>
      </w:r>
    </w:p>
    <w:p w14:paraId="22743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)</w:t>
      </w:r>
    </w:p>
    <w:p w14:paraId="3C9FB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Covariates used in the uploaded analysis code</w:t>
      </w:r>
    </w:p>
    <w:p w14:paraId="051B4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covariate_vars &lt;- c("NDVI", "GDP", "Land_Cover", "sin12", "cos12", "</w:t>
      </w:r>
      <w:r>
        <w:rPr>
          <w:rFonts w:hint="default" w:ascii="Times New Roman" w:hAnsi="Times New Roman" w:eastAsia="宋体" w:cs="Times New Roman"/>
          <w:sz w:val="15"/>
          <w:lang w:val="en-US" w:eastAsia="zh-CN"/>
        </w:rPr>
        <w:t>time</w:t>
      </w:r>
      <w:r>
        <w:rPr>
          <w:rFonts w:hint="default" w:ascii="Times New Roman" w:hAnsi="Times New Roman" w:eastAsia="Courier New" w:cs="Times New Roman"/>
          <w:sz w:val="15"/>
        </w:rPr>
        <w:t>")</w:t>
      </w:r>
    </w:p>
    <w:p w14:paraId="703B8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required_vars &lt;- c("city", "incidence", exposure_vars, covariate_vars)</w:t>
      </w:r>
    </w:p>
    <w:p w14:paraId="6B4CE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dat &lt;- dat[complete.cases(dat[, required_vars]), ]</w:t>
      </w:r>
    </w:p>
    <w:p w14:paraId="08078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53AEA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3. City-specific BKMR model fitting</w:t>
      </w:r>
    </w:p>
    <w:p w14:paraId="4D150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5EDDE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fit_city_bkmr &lt;- function(city_data,</w:t>
      </w:r>
    </w:p>
    <w:p w14:paraId="6674D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                    exposure_vars,</w:t>
      </w:r>
    </w:p>
    <w:p w14:paraId="05C7D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                    covariate_vars,</w:t>
      </w:r>
    </w:p>
    <w:p w14:paraId="66CBB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                    n_chains = 4,</w:t>
      </w:r>
    </w:p>
    <w:p w14:paraId="3CE8A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                    iter_total = 20000,</w:t>
      </w:r>
    </w:p>
    <w:p w14:paraId="39446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                    burn = 10000,</w:t>
      </w:r>
    </w:p>
    <w:p w14:paraId="6F000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                    thin = 10) {</w:t>
      </w:r>
    </w:p>
    <w:p w14:paraId="5E0FA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# Exposure and covariate matrices were standardized within city</w:t>
      </w:r>
    </w:p>
    <w:p w14:paraId="0904F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Z &lt;- scale(as.matrix(city_data[, exposure_vars]))</w:t>
      </w:r>
    </w:p>
    <w:p w14:paraId="33FD4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X &lt;- scale(as.matrix(city_data[, covariate_vars]))</w:t>
      </w:r>
    </w:p>
    <w:p w14:paraId="77B98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# Continuous BKMR outcome: square-root-transformed incidence rate</w:t>
      </w:r>
    </w:p>
    <w:p w14:paraId="30A2E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y &lt;- sqrt(city_data$incidence)</w:t>
      </w:r>
    </w:p>
    <w:p w14:paraId="4932C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# Four-chain BKMR fit. Variable selection was enabled (varsel = TRUE).</w:t>
      </w:r>
    </w:p>
    <w:p w14:paraId="23277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# est.h = FALSE follows the original analysis call.</w:t>
      </w:r>
    </w:p>
    <w:p w14:paraId="02CFC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fit_parallel &lt;- kmbayes_parallel(</w:t>
      </w:r>
    </w:p>
    <w:p w14:paraId="436B3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nchains = n_chains,</w:t>
      </w:r>
    </w:p>
    <w:p w14:paraId="4A0DE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y = y,</w:t>
      </w:r>
    </w:p>
    <w:p w14:paraId="6F4BA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Z = Z,</w:t>
      </w:r>
    </w:p>
    <w:p w14:paraId="5905D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X = X,</w:t>
      </w:r>
    </w:p>
    <w:p w14:paraId="5E210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iter = iter_total,</w:t>
      </w:r>
    </w:p>
    <w:p w14:paraId="61E71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verbose = FALSE,</w:t>
      </w:r>
    </w:p>
    <w:p w14:paraId="7613D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varsel = TRUE,</w:t>
      </w:r>
    </w:p>
    <w:p w14:paraId="6362C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est.h = FALSE,</w:t>
      </w:r>
    </w:p>
    <w:p w14:paraId="4FF65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control.params = list(</w:t>
      </w:r>
    </w:p>
    <w:p w14:paraId="5F089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n.burn = burn,</w:t>
      </w:r>
    </w:p>
    <w:p w14:paraId="35800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n.thin = thin,</w:t>
      </w:r>
    </w:p>
    <w:p w14:paraId="0A2C3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  n.keep = (iter_total - burn) / thin</w:t>
      </w:r>
    </w:p>
    <w:p w14:paraId="291EE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)</w:t>
      </w:r>
    </w:p>
    <w:p w14:paraId="1A2AB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)</w:t>
      </w:r>
    </w:p>
    <w:p w14:paraId="157C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# Quantitative convergence diagnostics</w:t>
      </w:r>
    </w:p>
    <w:p w14:paraId="1BF08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diagnostics &lt;- kmbayes_diagnose(fit_parallel, warmup = burn)</w:t>
      </w:r>
    </w:p>
    <w:p w14:paraId="24A32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# Combine posterior samples across chains for downstream summaries</w:t>
      </w:r>
    </w:p>
    <w:p w14:paraId="70677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fit_combined &lt;- kmbayes_combine(fit_parallel)</w:t>
      </w:r>
    </w:p>
    <w:p w14:paraId="142C0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list(</w:t>
      </w:r>
    </w:p>
    <w:p w14:paraId="5622D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fit_parallel = fit_parallel,</w:t>
      </w:r>
    </w:p>
    <w:p w14:paraId="47BF4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fit_combined = fit_combined,</w:t>
      </w:r>
    </w:p>
    <w:p w14:paraId="0CB6E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diagnostics = diagnostics,</w:t>
      </w:r>
    </w:p>
    <w:p w14:paraId="2D6CE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Z = Z,</w:t>
      </w:r>
    </w:p>
    <w:p w14:paraId="25CBF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X = X,</w:t>
      </w:r>
    </w:p>
    <w:p w14:paraId="562E3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y = y</w:t>
      </w:r>
    </w:p>
    <w:p w14:paraId="6B173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)</w:t>
      </w:r>
    </w:p>
    <w:p w14:paraId="3598C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}</w:t>
      </w:r>
    </w:p>
    <w:p w14:paraId="4E3A9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781F2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4. Fit models for all study cities</w:t>
      </w:r>
    </w:p>
    <w:p w14:paraId="06E59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# ----------------------------------------------------------------------------- </w:t>
      </w:r>
    </w:p>
    <w:p w14:paraId="1259A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city_results &lt;- list()</w:t>
      </w:r>
    </w:p>
    <w:p w14:paraId="3BA17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for (city_i in cities) {</w:t>
      </w:r>
    </w:p>
    <w:p w14:paraId="4E5D8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city_data &lt;- dat %&gt;% filter(city == city_i)</w:t>
      </w:r>
    </w:p>
    <w:p w14:paraId="3505A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if (nrow(city_data) &lt; 30) next</w:t>
      </w:r>
    </w:p>
    <w:p w14:paraId="55B7D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city_results[[city_i]] &lt;- fit_city_bkmr(</w:t>
      </w:r>
    </w:p>
    <w:p w14:paraId="30BD2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city_data = city_data,</w:t>
      </w:r>
    </w:p>
    <w:p w14:paraId="4816E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exposure_vars = exposure_vars,</w:t>
      </w:r>
    </w:p>
    <w:p w14:paraId="27503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covariate_vars = covariate_vars,</w:t>
      </w:r>
    </w:p>
    <w:p w14:paraId="675FA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n_chains = 4,</w:t>
      </w:r>
    </w:p>
    <w:p w14:paraId="41576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iter_total = 20000,</w:t>
      </w:r>
    </w:p>
    <w:p w14:paraId="20A64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burn = 10000,</w:t>
      </w:r>
    </w:p>
    <w:p w14:paraId="341B5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thin = 10</w:t>
      </w:r>
    </w:p>
    <w:p w14:paraId="66E39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)</w:t>
      </w:r>
    </w:p>
    <w:p w14:paraId="332C7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}</w:t>
      </w:r>
    </w:p>
    <w:p w14:paraId="35ED2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79895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5. Posterior inclusion probabilities (PIPs)</w:t>
      </w:r>
    </w:p>
    <w:p w14:paraId="7A178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74D8D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ExtractPIPs() returns posterior inclusion probabilities from the BKMR</w:t>
      </w:r>
    </w:p>
    <w:p w14:paraId="72DFC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variable-selection procedure; it is not used to calculate Sobol indices.</w:t>
      </w:r>
    </w:p>
    <w:p w14:paraId="197EA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pip_results &lt;- lapply(city_results, function(res) {</w:t>
      </w:r>
    </w:p>
    <w:p w14:paraId="414F3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ExtractPIPs(res$fit_combined)</w:t>
      </w:r>
    </w:p>
    <w:p w14:paraId="5003F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})</w:t>
      </w:r>
    </w:p>
    <w:p w14:paraId="27329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1D511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6. Univariate exposure-response functions</w:t>
      </w:r>
    </w:p>
    <w:p w14:paraId="1D3D7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089E8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univariate_results &lt;- lapply(city_results, function(res) {</w:t>
      </w:r>
    </w:p>
    <w:p w14:paraId="6A96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PredictorResponseUnivar(</w:t>
      </w:r>
    </w:p>
    <w:p w14:paraId="6B97B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fit = res$fit_combined,</w:t>
      </w:r>
    </w:p>
    <w:p w14:paraId="6CFC9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quants = seq(0.</w:t>
      </w:r>
      <w:r>
        <w:rPr>
          <w:rFonts w:hint="default" w:ascii="Times New Roman" w:hAnsi="Times New Roman" w:eastAsia="宋体" w:cs="Times New Roman"/>
          <w:sz w:val="15"/>
          <w:lang w:val="en-US" w:eastAsia="zh-CN"/>
        </w:rPr>
        <w:t>25</w:t>
      </w:r>
      <w:r>
        <w:rPr>
          <w:rFonts w:hint="default" w:ascii="Times New Roman" w:hAnsi="Times New Roman" w:eastAsia="Courier New" w:cs="Times New Roman"/>
          <w:sz w:val="15"/>
        </w:rPr>
        <w:t>, 0.</w:t>
      </w:r>
      <w:r>
        <w:rPr>
          <w:rFonts w:hint="default" w:ascii="Times New Roman" w:hAnsi="Times New Roman" w:eastAsia="宋体" w:cs="Times New Roman"/>
          <w:sz w:val="15"/>
          <w:lang w:val="en-US" w:eastAsia="zh-CN"/>
        </w:rPr>
        <w:t>50</w:t>
      </w:r>
      <w:r>
        <w:rPr>
          <w:rFonts w:hint="default" w:ascii="Times New Roman" w:hAnsi="Times New Roman" w:eastAsia="Courier New" w:cs="Times New Roman"/>
          <w:sz w:val="15"/>
        </w:rPr>
        <w:t>, 0.</w:t>
      </w:r>
      <w:r>
        <w:rPr>
          <w:rFonts w:hint="default" w:ascii="Times New Roman" w:hAnsi="Times New Roman" w:eastAsia="宋体" w:cs="Times New Roman"/>
          <w:sz w:val="15"/>
          <w:lang w:val="en-US" w:eastAsia="zh-CN"/>
        </w:rPr>
        <w:t>75</w:t>
      </w:r>
      <w:r>
        <w:rPr>
          <w:rFonts w:hint="default" w:ascii="Times New Roman" w:hAnsi="Times New Roman" w:eastAsia="Courier New" w:cs="Times New Roman"/>
          <w:sz w:val="15"/>
        </w:rPr>
        <w:t>),</w:t>
      </w:r>
    </w:p>
    <w:p w14:paraId="69188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method = "approx"</w:t>
      </w:r>
    </w:p>
    <w:p w14:paraId="79E10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)</w:t>
      </w:r>
    </w:p>
    <w:p w14:paraId="47B31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})</w:t>
      </w:r>
    </w:p>
    <w:p w14:paraId="204FA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59FE1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7. Overall (joint) exposure-response summaries</w:t>
      </w:r>
    </w:p>
    <w:p w14:paraId="1FA5C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1DF9C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O</w:t>
      </w:r>
      <w:bookmarkStart w:id="0" w:name="_GoBack"/>
      <w:bookmarkEnd w:id="0"/>
      <w:r>
        <w:rPr>
          <w:rFonts w:hint="default" w:ascii="Times New Roman" w:hAnsi="Times New Roman" w:eastAsia="Courier New" w:cs="Times New Roman"/>
          <w:sz w:val="15"/>
        </w:rPr>
        <w:t>verallRiskSummaries() estimates the response when all exposures are jointly</w:t>
      </w:r>
    </w:p>
    <w:p w14:paraId="7B56E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fixed at specified quantiles, relative to a reference quantile.</w:t>
      </w:r>
    </w:p>
    <w:p w14:paraId="2E0A1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joint_results &lt;- lapply(city_results, function(res) {</w:t>
      </w:r>
    </w:p>
    <w:p w14:paraId="4A08E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OverallRiskSummaries(</w:t>
      </w:r>
    </w:p>
    <w:p w14:paraId="3DE87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fit = res$fit_combined,</w:t>
      </w:r>
    </w:p>
    <w:p w14:paraId="4B0ED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qs = seq(0.25, 0.75, 0.01),</w:t>
      </w:r>
    </w:p>
    <w:p w14:paraId="74D88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q.fixed = 0.50,</w:t>
      </w:r>
    </w:p>
    <w:p w14:paraId="74EE6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method = "approx"</w:t>
      </w:r>
    </w:p>
    <w:p w14:paraId="0ACFB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)</w:t>
      </w:r>
    </w:p>
    <w:p w14:paraId="1F8C7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})</w:t>
      </w:r>
    </w:p>
    <w:p w14:paraId="3B720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6C28B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8. Visual and quantitative MCMC convergence diagnostics</w:t>
      </w:r>
    </w:p>
    <w:p w14:paraId="13B97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6069A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Example for one city; repeat or loop over cities as needed.</w:t>
      </w:r>
    </w:p>
    <w:p w14:paraId="6F76D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example_city &lt;- names(city_results)[1]</w:t>
      </w:r>
    </w:p>
    <w:p w14:paraId="4BCAC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fit_parallel &lt;- city_results[[example_city]]$fit_parallel</w:t>
      </w:r>
    </w:p>
    <w:p w14:paraId="1D9F9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mcmc_list &lt;- as.mcmc.list(fit_parallel)</w:t>
      </w:r>
    </w:p>
    <w:p w14:paraId="26182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Trace and density plots for beta parameters</w:t>
      </w:r>
    </w:p>
    <w:p w14:paraId="61C4D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param_names &lt;- colnames(mcmc_list[[1]])</w:t>
      </w:r>
    </w:p>
    <w:p w14:paraId="6DB53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beta_idx &lt;- grep("^beta", param_names)</w:t>
      </w:r>
    </w:p>
    <w:p w14:paraId="1A033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if (length(beta_idx) &gt; 0) {</w:t>
      </w:r>
    </w:p>
    <w:p w14:paraId="5CE1A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traceplot(mcmc_list[, beta_idx])</w:t>
      </w:r>
    </w:p>
    <w:p w14:paraId="24826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densplot(mcmc_list[, beta_idx])</w:t>
      </w:r>
    </w:p>
    <w:p w14:paraId="16F94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# Gelman-Rubin R-hat</w:t>
      </w:r>
    </w:p>
    <w:p w14:paraId="6AF86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gelman_result &lt;- gelman.diag(</w:t>
      </w:r>
    </w:p>
    <w:p w14:paraId="6E58E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mcmc_list[, beta_idx],</w:t>
      </w:r>
    </w:p>
    <w:p w14:paraId="4868B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multivariate = FALSE)</w:t>
      </w:r>
    </w:p>
    <w:p w14:paraId="5865F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rhat_beta &lt;- gelman_result$psrf[, 1]</w:t>
      </w:r>
    </w:p>
    <w:p w14:paraId="376AA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}</w:t>
      </w:r>
    </w:p>
    <w:p w14:paraId="61ABD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ESS and R-hat summaries from bkmrhat are available in the diagnostics object</w:t>
      </w:r>
    </w:p>
    <w:p w14:paraId="7CB47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returned by kmbayes_diagnose().</w:t>
      </w:r>
    </w:p>
    <w:p w14:paraId="55235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1BD36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9. Bivariate response surfaces and formal interaction contrasts</w:t>
      </w:r>
    </w:p>
    <w:p w14:paraId="08DA4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># -----------------------------------------------------------------------------</w:t>
      </w:r>
    </w:p>
    <w:p w14:paraId="4E268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>pred_resp_bivar &lt;- PredictorResponseBivar(</w:t>
      </w:r>
    </w:p>
    <w:p w14:paraId="6A9E6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fit = fit_combined, min.plot.dist = 1)</w:t>
      </w:r>
    </w:p>
    <w:p w14:paraId="5057B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># Evaluate conditional exposure-response functions</w:t>
      </w:r>
    </w:p>
    <w:p w14:paraId="776AA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># with the second exposure fixed at its 25th, 50th,</w:t>
      </w:r>
    </w:p>
    <w:p w14:paraId="3B74C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># and 75th percentiles</w:t>
      </w:r>
    </w:p>
    <w:p w14:paraId="170E9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>pred_resp_bivar_levels &lt;- PredictorResponseBivarLevels(</w:t>
      </w:r>
    </w:p>
    <w:p w14:paraId="4C426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pred.resp.df = pred_resp_bivar,</w:t>
      </w:r>
    </w:p>
    <w:p w14:paraId="386DD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Z = Z_scaled,qs = c(0.25, 0.50, 0.75))</w:t>
      </w:r>
    </w:p>
    <w:p w14:paraId="4B961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># Plot conditional exposure-response curves</w:t>
      </w:r>
    </w:p>
    <w:p w14:paraId="4FF6A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>ggplot(pred_resp_bivar_levels,</w:t>
      </w:r>
    </w:p>
    <w:p w14:paraId="28CBB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aes(x = z1, y = est, color = quantile)) +</w:t>
      </w:r>
    </w:p>
    <w:p w14:paraId="3CC9A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geom_smooth(stat = "identity") +</w:t>
      </w:r>
    </w:p>
    <w:p w14:paraId="53AEB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facet_grid(variable2 ~ variable1) +</w:t>
      </w:r>
    </w:p>
    <w:p w14:paraId="54DC2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labs(title = paste( "Conditional bivariate exposure-response functions -", city_name),</w:t>
      </w:r>
    </w:p>
    <w:p w14:paraId="6776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eastAsia="Courier New" w:cs="Times New Roman"/>
          <w:sz w:val="15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  x = "Exposure 1", y = "Estimated response",color = "Exposure 2 quantile") +</w:t>
      </w:r>
    </w:p>
    <w:p w14:paraId="40294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2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Courier New" w:cs="Times New Roman"/>
          <w:sz w:val="15"/>
        </w:rPr>
        <w:t xml:space="preserve">  theme_bw()</w:t>
      </w:r>
    </w:p>
    <w:p w14:paraId="6C1DDA7B">
      <w:pP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br w:type="page"/>
      </w:r>
    </w:p>
    <w:p w14:paraId="283D73AA">
      <w:pPr>
        <w:jc w:val="left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t>References</w:t>
      </w:r>
    </w:p>
    <w:p w14:paraId="4CD8D3D8">
      <w:pPr>
        <w:pStyle w:val="22"/>
        <w:bidi w:val="0"/>
        <w:ind w:left="500" w:hanging="500"/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instrText xml:space="preserve"> ADDIN EN.REFLIST </w:instrText>
      </w: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fldChar w:fldCharType="separate"/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1.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Yang Y, Ren J, Qin G, Lu Y, Liu Y, Sun J, Yao Y, Liu Y: </w:t>
      </w:r>
      <w:r>
        <w:rPr>
          <w:rFonts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Environmental, climatic, and social risk factors of severe fever with thrombocytopenia syndrome and the implications of climate change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. </w:t>
      </w:r>
      <w:r>
        <w:rPr>
          <w:rFonts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One health-amsterdam 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2026, </w:t>
      </w:r>
      <w:r>
        <w:rPr>
          <w:rFonts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22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:101430.</w:t>
      </w:r>
    </w:p>
    <w:p w14:paraId="253AD209">
      <w:pPr>
        <w:pStyle w:val="22"/>
        <w:bidi w:val="0"/>
        <w:ind w:left="500" w:hanging="500"/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2.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Miao D, Liu MJ, Wang YX, Ren X, Lu QB, Zhao GP, Dai K, Li XL, Li H, Zhang XA</w:t>
      </w:r>
      <w:r>
        <w:rPr>
          <w:rFonts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 et al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: </w:t>
      </w:r>
      <w:r>
        <w:rPr>
          <w:rFonts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Epidemiology and Ecology of Severe Fever With Thrombocytopenia Syndrome in China, 2010‒2018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. </w:t>
      </w:r>
      <w:r>
        <w:rPr>
          <w:rFonts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Clinical infectious diseases 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2021, </w:t>
      </w:r>
      <w:r>
        <w:rPr>
          <w:rFonts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73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(11):e3851-e3858.</w:t>
      </w:r>
    </w:p>
    <w:p w14:paraId="2E7F30DD">
      <w:pPr>
        <w:pStyle w:val="22"/>
        <w:bidi w:val="0"/>
        <w:ind w:left="500" w:hanging="500"/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3.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Duan Q, Tian X, Pang B, Zhang Y, Xiao C, Yao M, Ding S, Zhang X, Jiang X, Kou Z: </w:t>
      </w:r>
      <w:r>
        <w:rPr>
          <w:rFonts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Spatiotemporal distribution and environmental influences of severe fever with thrombocytopenia syndrome in Shandong Province, China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. </w:t>
      </w:r>
      <w:r>
        <w:rPr>
          <w:rFonts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BMC infectious diseases 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2023, </w:t>
      </w:r>
      <w:r>
        <w:rPr>
          <w:rFonts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23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(1):891.</w:t>
      </w:r>
    </w:p>
    <w:p w14:paraId="61A5CDD4">
      <w:pPr>
        <w:pStyle w:val="22"/>
        <w:bidi w:val="0"/>
        <w:ind w:left="500" w:hanging="500"/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</w:pP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4.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ab/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Nam HK, Min KD, Jo S, Cho SI: </w:t>
      </w:r>
      <w:r>
        <w:rPr>
          <w:rFonts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Association of Deforestation With Severe Fever With Thrombocytopenia Syndrome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. </w:t>
      </w:r>
      <w:r>
        <w:rPr>
          <w:rFonts w:ascii="Times New Roman" w:hAnsi="Times New Roman" w:cs="Times New Roman" w:eastAsiaTheme="minorEastAsia"/>
          <w:i/>
          <w:kern w:val="2"/>
          <w:sz w:val="20"/>
          <w:szCs w:val="24"/>
          <w:lang w:val="en-US" w:eastAsia="zh-CN" w:bidi="ar-SA"/>
        </w:rPr>
        <w:t xml:space="preserve">Journal of infectious diseases 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 xml:space="preserve">2023, </w:t>
      </w:r>
      <w:r>
        <w:rPr>
          <w:rFonts w:ascii="Times New Roman" w:hAnsi="Times New Roman" w:cs="Times New Roman" w:eastAsiaTheme="minorEastAsia"/>
          <w:b/>
          <w:kern w:val="2"/>
          <w:sz w:val="20"/>
          <w:szCs w:val="24"/>
          <w:lang w:val="en-US" w:eastAsia="zh-CN" w:bidi="ar-SA"/>
        </w:rPr>
        <w:t>228</w:t>
      </w:r>
      <w:r>
        <w:rPr>
          <w:rFonts w:ascii="Times New Roman" w:hAnsi="Times New Roman" w:cs="Times New Roman" w:eastAsiaTheme="minorEastAsia"/>
          <w:kern w:val="2"/>
          <w:sz w:val="20"/>
          <w:szCs w:val="24"/>
          <w:lang w:val="en-US" w:eastAsia="zh-CN" w:bidi="ar-SA"/>
        </w:rPr>
        <w:t>(12):1730-1738.</w:t>
      </w:r>
    </w:p>
    <w:p w14:paraId="2AAE9CCF">
      <w:pPr>
        <w:jc w:val="left"/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color w:val="auto"/>
          <w:sz w:val="24"/>
          <w:szCs w:val="24"/>
          <w:u w:val="none"/>
          <w:lang w:val="en-US" w:eastAsia="zh-CN"/>
        </w:rPr>
        <w:fldChar w:fldCharType="end"/>
      </w:r>
    </w:p>
    <w:sectPr>
      <w:footerReference r:id="rId3" w:type="default"/>
      <w:pgSz w:w="11906" w:h="16838"/>
      <w:pgMar w:top="850" w:right="1417" w:bottom="850" w:left="141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109477-7094-49B9-85C8-E8676197FC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B851911E-56C9-46CD-808C-01054142419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2EBD0999-6A5D-480C-B959-DD09079015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5F3CB">
    <w:pPr>
      <w:pStyle w:val="3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2F740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2F740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hN2IwYWVhMTQzNDc3MGQ3MTUxNmM5NDFiODRjYWU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51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f2t592rtx9poepf29p92axtzdaea5d9e9s&quot;&gt;交互作用-Anhui&lt;record-ids&gt;&lt;item&gt;53&lt;/item&gt;&lt;item&gt;54&lt;/item&gt;&lt;item&gt;57&lt;/item&gt;&lt;item&gt;58&lt;/item&gt;&lt;item&gt;59&lt;/item&gt;&lt;/record-ids&gt;&lt;/item&gt;&lt;/Libraries&gt;"/>
  </w:docVars>
  <w:rsids>
    <w:rsidRoot w:val="50525E96"/>
    <w:rsid w:val="00292BAB"/>
    <w:rsid w:val="01071EBF"/>
    <w:rsid w:val="0274413B"/>
    <w:rsid w:val="038B57F0"/>
    <w:rsid w:val="038D4988"/>
    <w:rsid w:val="040673D2"/>
    <w:rsid w:val="04820ADC"/>
    <w:rsid w:val="04B23D27"/>
    <w:rsid w:val="04FF1AF7"/>
    <w:rsid w:val="052A7CFA"/>
    <w:rsid w:val="059D4DD4"/>
    <w:rsid w:val="05E627CF"/>
    <w:rsid w:val="06087AF2"/>
    <w:rsid w:val="06956960"/>
    <w:rsid w:val="069C1735"/>
    <w:rsid w:val="06D36649"/>
    <w:rsid w:val="074B7BF8"/>
    <w:rsid w:val="081A31D6"/>
    <w:rsid w:val="081D1247"/>
    <w:rsid w:val="0845254C"/>
    <w:rsid w:val="086C262D"/>
    <w:rsid w:val="08F94060"/>
    <w:rsid w:val="097A0903"/>
    <w:rsid w:val="09CF451B"/>
    <w:rsid w:val="0A0B0A93"/>
    <w:rsid w:val="0A805ABD"/>
    <w:rsid w:val="0AA644A1"/>
    <w:rsid w:val="0AE51896"/>
    <w:rsid w:val="0AFF4706"/>
    <w:rsid w:val="0B4C4D17"/>
    <w:rsid w:val="0B5220F1"/>
    <w:rsid w:val="0B6423BD"/>
    <w:rsid w:val="0C3628D7"/>
    <w:rsid w:val="0C5915EE"/>
    <w:rsid w:val="0CF06F2A"/>
    <w:rsid w:val="0DED346A"/>
    <w:rsid w:val="0E0E4C97"/>
    <w:rsid w:val="0E8B775A"/>
    <w:rsid w:val="0EBE0962"/>
    <w:rsid w:val="0EC56247"/>
    <w:rsid w:val="0F2F1860"/>
    <w:rsid w:val="0F953F6E"/>
    <w:rsid w:val="0FB6062D"/>
    <w:rsid w:val="0FD12D30"/>
    <w:rsid w:val="10285E8F"/>
    <w:rsid w:val="10E05BC8"/>
    <w:rsid w:val="111156C1"/>
    <w:rsid w:val="11987B90"/>
    <w:rsid w:val="11E97B99"/>
    <w:rsid w:val="1299596E"/>
    <w:rsid w:val="12BC6158"/>
    <w:rsid w:val="140E3559"/>
    <w:rsid w:val="1437543F"/>
    <w:rsid w:val="143B638B"/>
    <w:rsid w:val="14565BE9"/>
    <w:rsid w:val="14B74989"/>
    <w:rsid w:val="15087E6F"/>
    <w:rsid w:val="15170DCC"/>
    <w:rsid w:val="157C678C"/>
    <w:rsid w:val="15C56693"/>
    <w:rsid w:val="15E84B54"/>
    <w:rsid w:val="15FF2869"/>
    <w:rsid w:val="162C39BB"/>
    <w:rsid w:val="167C6BF3"/>
    <w:rsid w:val="16D56742"/>
    <w:rsid w:val="17A347F6"/>
    <w:rsid w:val="17B730F8"/>
    <w:rsid w:val="18502BF6"/>
    <w:rsid w:val="19187035"/>
    <w:rsid w:val="19662322"/>
    <w:rsid w:val="196C703C"/>
    <w:rsid w:val="197131A1"/>
    <w:rsid w:val="1A03395A"/>
    <w:rsid w:val="1A420DEA"/>
    <w:rsid w:val="1AA1056B"/>
    <w:rsid w:val="1B5B5761"/>
    <w:rsid w:val="1C073948"/>
    <w:rsid w:val="1C0D1EB4"/>
    <w:rsid w:val="1C707C46"/>
    <w:rsid w:val="1CA87041"/>
    <w:rsid w:val="1CAB4C1C"/>
    <w:rsid w:val="1CBE2FD4"/>
    <w:rsid w:val="1D164D88"/>
    <w:rsid w:val="1D5F4F0D"/>
    <w:rsid w:val="1DB12822"/>
    <w:rsid w:val="1E757C88"/>
    <w:rsid w:val="1FA05FFE"/>
    <w:rsid w:val="1FA80624"/>
    <w:rsid w:val="1FB042F7"/>
    <w:rsid w:val="1FC7052F"/>
    <w:rsid w:val="1FE54F61"/>
    <w:rsid w:val="206375BB"/>
    <w:rsid w:val="20DA3C69"/>
    <w:rsid w:val="228316AC"/>
    <w:rsid w:val="22914245"/>
    <w:rsid w:val="22A8401A"/>
    <w:rsid w:val="22BD4D30"/>
    <w:rsid w:val="22C8735F"/>
    <w:rsid w:val="22EE45DF"/>
    <w:rsid w:val="232A5A28"/>
    <w:rsid w:val="2350125B"/>
    <w:rsid w:val="23CB7951"/>
    <w:rsid w:val="241537C6"/>
    <w:rsid w:val="242F69A3"/>
    <w:rsid w:val="252B1D38"/>
    <w:rsid w:val="2544051C"/>
    <w:rsid w:val="25B35BEF"/>
    <w:rsid w:val="269821F5"/>
    <w:rsid w:val="273477E1"/>
    <w:rsid w:val="28126853"/>
    <w:rsid w:val="28D2798E"/>
    <w:rsid w:val="29514FC6"/>
    <w:rsid w:val="2A461F39"/>
    <w:rsid w:val="2A9A5CD9"/>
    <w:rsid w:val="2AE57DE8"/>
    <w:rsid w:val="2B06212C"/>
    <w:rsid w:val="2B21546A"/>
    <w:rsid w:val="2B5F1DA3"/>
    <w:rsid w:val="2C152862"/>
    <w:rsid w:val="2CC1019D"/>
    <w:rsid w:val="2CE33F5E"/>
    <w:rsid w:val="2CF73998"/>
    <w:rsid w:val="2D7232A0"/>
    <w:rsid w:val="2DAA05D8"/>
    <w:rsid w:val="2E280E71"/>
    <w:rsid w:val="2E737FF3"/>
    <w:rsid w:val="2EBC4A66"/>
    <w:rsid w:val="2F57478F"/>
    <w:rsid w:val="30BA3228"/>
    <w:rsid w:val="30FF6D38"/>
    <w:rsid w:val="32001C4B"/>
    <w:rsid w:val="32051CAD"/>
    <w:rsid w:val="32AB28C0"/>
    <w:rsid w:val="336145C2"/>
    <w:rsid w:val="3363215A"/>
    <w:rsid w:val="33681108"/>
    <w:rsid w:val="340C5F43"/>
    <w:rsid w:val="34B36089"/>
    <w:rsid w:val="35647DC5"/>
    <w:rsid w:val="35A74E30"/>
    <w:rsid w:val="35C16E06"/>
    <w:rsid w:val="35F14077"/>
    <w:rsid w:val="360F36CE"/>
    <w:rsid w:val="3679049C"/>
    <w:rsid w:val="367F3141"/>
    <w:rsid w:val="37250607"/>
    <w:rsid w:val="37691FF5"/>
    <w:rsid w:val="38144FF1"/>
    <w:rsid w:val="38436624"/>
    <w:rsid w:val="38E40B68"/>
    <w:rsid w:val="39981C2C"/>
    <w:rsid w:val="3A021CB9"/>
    <w:rsid w:val="3A1055F3"/>
    <w:rsid w:val="3A332488"/>
    <w:rsid w:val="3B0E5C90"/>
    <w:rsid w:val="3B7C7145"/>
    <w:rsid w:val="3BB84807"/>
    <w:rsid w:val="3C237ED3"/>
    <w:rsid w:val="3C437509"/>
    <w:rsid w:val="3CDA38A5"/>
    <w:rsid w:val="3DF71001"/>
    <w:rsid w:val="3E7C00E1"/>
    <w:rsid w:val="3E846C23"/>
    <w:rsid w:val="3EE31345"/>
    <w:rsid w:val="3F715648"/>
    <w:rsid w:val="3FB654CC"/>
    <w:rsid w:val="3FC75019"/>
    <w:rsid w:val="40276305"/>
    <w:rsid w:val="40DC4023"/>
    <w:rsid w:val="41010419"/>
    <w:rsid w:val="41CF41E8"/>
    <w:rsid w:val="42AE4FF2"/>
    <w:rsid w:val="42ED123B"/>
    <w:rsid w:val="43021E81"/>
    <w:rsid w:val="431317A2"/>
    <w:rsid w:val="43205839"/>
    <w:rsid w:val="435724EB"/>
    <w:rsid w:val="436533AE"/>
    <w:rsid w:val="43715F8A"/>
    <w:rsid w:val="44047A31"/>
    <w:rsid w:val="44235996"/>
    <w:rsid w:val="44585541"/>
    <w:rsid w:val="446A60F8"/>
    <w:rsid w:val="447332F0"/>
    <w:rsid w:val="449F3421"/>
    <w:rsid w:val="44A57033"/>
    <w:rsid w:val="455C0E0C"/>
    <w:rsid w:val="4603273C"/>
    <w:rsid w:val="461E53A0"/>
    <w:rsid w:val="46387A28"/>
    <w:rsid w:val="46701055"/>
    <w:rsid w:val="46C36B78"/>
    <w:rsid w:val="4768372D"/>
    <w:rsid w:val="47E043D5"/>
    <w:rsid w:val="48174664"/>
    <w:rsid w:val="48823491"/>
    <w:rsid w:val="48A64365"/>
    <w:rsid w:val="48D92E5A"/>
    <w:rsid w:val="49106412"/>
    <w:rsid w:val="498B70B7"/>
    <w:rsid w:val="4A655E58"/>
    <w:rsid w:val="4ACC3E46"/>
    <w:rsid w:val="4B2E419E"/>
    <w:rsid w:val="4B552AA6"/>
    <w:rsid w:val="4BCA036B"/>
    <w:rsid w:val="4BFA2679"/>
    <w:rsid w:val="4C0076AC"/>
    <w:rsid w:val="4C44670C"/>
    <w:rsid w:val="4C516F03"/>
    <w:rsid w:val="4C7B4A86"/>
    <w:rsid w:val="4C975D73"/>
    <w:rsid w:val="4CE26E7D"/>
    <w:rsid w:val="4D1D4166"/>
    <w:rsid w:val="4D216CAE"/>
    <w:rsid w:val="4E434473"/>
    <w:rsid w:val="4E9958F8"/>
    <w:rsid w:val="4F2A1121"/>
    <w:rsid w:val="50525E96"/>
    <w:rsid w:val="505A4A62"/>
    <w:rsid w:val="50D54261"/>
    <w:rsid w:val="511D5090"/>
    <w:rsid w:val="51996628"/>
    <w:rsid w:val="51D535C6"/>
    <w:rsid w:val="51DD1AE3"/>
    <w:rsid w:val="530C60F3"/>
    <w:rsid w:val="53117559"/>
    <w:rsid w:val="533B6098"/>
    <w:rsid w:val="539D0113"/>
    <w:rsid w:val="53E915AA"/>
    <w:rsid w:val="54C536DB"/>
    <w:rsid w:val="55B900D0"/>
    <w:rsid w:val="565023B2"/>
    <w:rsid w:val="56CD679B"/>
    <w:rsid w:val="56D57BC4"/>
    <w:rsid w:val="56DC7584"/>
    <w:rsid w:val="57160908"/>
    <w:rsid w:val="5735078A"/>
    <w:rsid w:val="580A157A"/>
    <w:rsid w:val="58C3123D"/>
    <w:rsid w:val="58D33E46"/>
    <w:rsid w:val="5952374E"/>
    <w:rsid w:val="5969475A"/>
    <w:rsid w:val="59AE6F27"/>
    <w:rsid w:val="5A23391F"/>
    <w:rsid w:val="5A751635"/>
    <w:rsid w:val="5AD04698"/>
    <w:rsid w:val="5B557040"/>
    <w:rsid w:val="5B971602"/>
    <w:rsid w:val="5C6A2B05"/>
    <w:rsid w:val="5CFE0151"/>
    <w:rsid w:val="5D261179"/>
    <w:rsid w:val="5E2913F5"/>
    <w:rsid w:val="5E4932D2"/>
    <w:rsid w:val="5F0664A4"/>
    <w:rsid w:val="5F177A55"/>
    <w:rsid w:val="5F2A5ECB"/>
    <w:rsid w:val="5FCE03FB"/>
    <w:rsid w:val="60325735"/>
    <w:rsid w:val="60742F4C"/>
    <w:rsid w:val="60791C30"/>
    <w:rsid w:val="60F4333C"/>
    <w:rsid w:val="610F23B7"/>
    <w:rsid w:val="61E22AA6"/>
    <w:rsid w:val="629E17B2"/>
    <w:rsid w:val="62B37719"/>
    <w:rsid w:val="638C717B"/>
    <w:rsid w:val="63A017E8"/>
    <w:rsid w:val="63D92960"/>
    <w:rsid w:val="64710555"/>
    <w:rsid w:val="6485276B"/>
    <w:rsid w:val="64E32E12"/>
    <w:rsid w:val="66203D89"/>
    <w:rsid w:val="666C44BC"/>
    <w:rsid w:val="66A01F9C"/>
    <w:rsid w:val="671571E5"/>
    <w:rsid w:val="67B9020D"/>
    <w:rsid w:val="68C7159E"/>
    <w:rsid w:val="68F80116"/>
    <w:rsid w:val="6A965284"/>
    <w:rsid w:val="6AA51B98"/>
    <w:rsid w:val="6B7D6F66"/>
    <w:rsid w:val="6B945E48"/>
    <w:rsid w:val="6C606ADC"/>
    <w:rsid w:val="6C952AD4"/>
    <w:rsid w:val="6D205BE5"/>
    <w:rsid w:val="6D816342"/>
    <w:rsid w:val="6D8C6249"/>
    <w:rsid w:val="6DA822F6"/>
    <w:rsid w:val="6DAA0869"/>
    <w:rsid w:val="6E0830F2"/>
    <w:rsid w:val="6E2B791C"/>
    <w:rsid w:val="6E33622E"/>
    <w:rsid w:val="6E61112C"/>
    <w:rsid w:val="6EA33813"/>
    <w:rsid w:val="6EB46748"/>
    <w:rsid w:val="6F254CE6"/>
    <w:rsid w:val="6F4D07E7"/>
    <w:rsid w:val="6F922A75"/>
    <w:rsid w:val="6FF10F37"/>
    <w:rsid w:val="70021FF6"/>
    <w:rsid w:val="70F01D72"/>
    <w:rsid w:val="70FD7FEB"/>
    <w:rsid w:val="715F110D"/>
    <w:rsid w:val="7168781F"/>
    <w:rsid w:val="71902C0D"/>
    <w:rsid w:val="71B66B18"/>
    <w:rsid w:val="72016718"/>
    <w:rsid w:val="72691C43"/>
    <w:rsid w:val="737731E4"/>
    <w:rsid w:val="73DD6B53"/>
    <w:rsid w:val="74061450"/>
    <w:rsid w:val="742825C8"/>
    <w:rsid w:val="74E279D7"/>
    <w:rsid w:val="751402A4"/>
    <w:rsid w:val="751B43A3"/>
    <w:rsid w:val="7546405B"/>
    <w:rsid w:val="76A12312"/>
    <w:rsid w:val="775D45CC"/>
    <w:rsid w:val="77770AF7"/>
    <w:rsid w:val="78144598"/>
    <w:rsid w:val="79030169"/>
    <w:rsid w:val="79921C19"/>
    <w:rsid w:val="7A4F4CB9"/>
    <w:rsid w:val="7A6F3D08"/>
    <w:rsid w:val="7AF95CC7"/>
    <w:rsid w:val="7B1448AF"/>
    <w:rsid w:val="7B914152"/>
    <w:rsid w:val="7C1C1C6D"/>
    <w:rsid w:val="7CE9270B"/>
    <w:rsid w:val="7D3A3E83"/>
    <w:rsid w:val="7D796C4C"/>
    <w:rsid w:val="7E275AB8"/>
    <w:rsid w:val="7E9D2E6E"/>
    <w:rsid w:val="7EA5419C"/>
    <w:rsid w:val="7EC42148"/>
    <w:rsid w:val="7F024C6C"/>
    <w:rsid w:val="7FE411CD"/>
    <w:rsid w:val="7FFB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er"/>
    <w:basedOn w:val="1"/>
    <w:unhideWhenUsed/>
    <w:qFormat/>
    <w:uiPriority w:val="99"/>
    <w:pPr>
      <w:tabs>
        <w:tab w:val="center" w:pos="4252"/>
        <w:tab w:val="right" w:pos="8504"/>
      </w:tabs>
    </w:p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footnote reference"/>
    <w:basedOn w:val="10"/>
    <w:qFormat/>
    <w:uiPriority w:val="0"/>
    <w:rPr>
      <w:vertAlign w:val="superscript"/>
    </w:rPr>
  </w:style>
  <w:style w:type="character" w:customStyle="1" w:styleId="15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paragraph" w:customStyle="1" w:styleId="16">
    <w:name w:val="TableTitle"/>
    <w:basedOn w:val="1"/>
    <w:qFormat/>
    <w:uiPriority w:val="0"/>
  </w:style>
  <w:style w:type="paragraph" w:customStyle="1" w:styleId="17">
    <w:name w:val="TableHeader"/>
    <w:basedOn w:val="18"/>
    <w:qFormat/>
    <w:uiPriority w:val="0"/>
    <w:pPr>
      <w:spacing w:before="120" w:line="240" w:lineRule="auto"/>
      <w:ind w:firstLine="0"/>
    </w:pPr>
    <w:rPr>
      <w:b/>
    </w:rPr>
  </w:style>
  <w:style w:type="paragraph" w:customStyle="1" w:styleId="18">
    <w:name w:val="Para"/>
    <w:basedOn w:val="1"/>
    <w:qFormat/>
    <w:uiPriority w:val="0"/>
    <w:pPr>
      <w:spacing w:line="360" w:lineRule="auto"/>
      <w:ind w:firstLine="288"/>
    </w:pPr>
  </w:style>
  <w:style w:type="paragraph" w:customStyle="1" w:styleId="19">
    <w:name w:val="TableSubHead"/>
    <w:basedOn w:val="17"/>
    <w:qFormat/>
    <w:uiPriority w:val="0"/>
  </w:style>
  <w:style w:type="paragraph" w:customStyle="1" w:styleId="20">
    <w:name w:val="TableNote"/>
    <w:basedOn w:val="1"/>
    <w:qFormat/>
    <w:uiPriority w:val="0"/>
  </w:style>
  <w:style w:type="paragraph" w:customStyle="1" w:styleId="21">
    <w:name w:val="EndNote Bibliography Title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ascii="Times New Roman" w:hAnsi="Times New Roman" w:cs="Times New Roman" w:eastAsiaTheme="minorEastAsia"/>
      <w:kern w:val="2"/>
      <w:sz w:val="20"/>
      <w:szCs w:val="24"/>
      <w:lang w:val="en-US" w:eastAsia="zh-CN" w:bidi="ar-SA"/>
    </w:rPr>
  </w:style>
  <w:style w:type="paragraph" w:customStyle="1" w:styleId="22">
    <w:name w:val="EndNote Bibliograph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cs="Times New Roman" w:eastAsiaTheme="minorEastAsia"/>
      <w:kern w:val="2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0.tiff"/><Relationship Id="rId23" Type="http://schemas.openxmlformats.org/officeDocument/2006/relationships/image" Target="media/image19.tiff"/><Relationship Id="rId22" Type="http://schemas.openxmlformats.org/officeDocument/2006/relationships/image" Target="media/image18.tiff"/><Relationship Id="rId21" Type="http://schemas.openxmlformats.org/officeDocument/2006/relationships/image" Target="media/image17.tiff"/><Relationship Id="rId20" Type="http://schemas.openxmlformats.org/officeDocument/2006/relationships/image" Target="media/image16.tiff"/><Relationship Id="rId2" Type="http://schemas.openxmlformats.org/officeDocument/2006/relationships/settings" Target="settings.xml"/><Relationship Id="rId19" Type="http://schemas.openxmlformats.org/officeDocument/2006/relationships/image" Target="media/image15.tiff"/><Relationship Id="rId18" Type="http://schemas.openxmlformats.org/officeDocument/2006/relationships/image" Target="media/image14.tiff"/><Relationship Id="rId17" Type="http://schemas.openxmlformats.org/officeDocument/2006/relationships/image" Target="media/image13.tiff"/><Relationship Id="rId16" Type="http://schemas.openxmlformats.org/officeDocument/2006/relationships/image" Target="media/image12.tiff"/><Relationship Id="rId15" Type="http://schemas.openxmlformats.org/officeDocument/2006/relationships/image" Target="media/image11.png"/><Relationship Id="rId14" Type="http://schemas.openxmlformats.org/officeDocument/2006/relationships/image" Target="media/image10.tiff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703</Words>
  <Characters>4123</Characters>
  <Lines>0</Lines>
  <Paragraphs>0</Paragraphs>
  <TotalTime>5</TotalTime>
  <ScaleCrop>false</ScaleCrop>
  <LinksUpToDate>false</LinksUpToDate>
  <CharactersWithSpaces>4775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2024-04-25T03:30:00Z</dcterms:created>
  <dc:creator>Gj M</dc:creator>
  <cp:lastModifiedBy>M</cp:lastModifiedBy>
  <dcterms:modified xsi:type="dcterms:W3CDTF">2026-09-03T08:23:03Z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FD8120CC3C534DB08C76827DC7EFBDB1_11</vt:lpwstr>
  </property>
  <property fmtid="{D5CDD505-2E9C-101B-9397-08002B2CF9AE}" pid="4" name="KSOTemplateDocerSaveRecord">
    <vt:lpwstr>eyJoZGlkIjoiMjFhN2IwYWVhMTQzNDc3MGQ3MTUxNmM5NDFiODRjYWUiLCJ1c2VySWQiOiIyNzU2NjE5MzMifQ==</vt:lpwstr>
  </property>
</Properties>
</file>