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94145" w14:textId="3156E326" w:rsidR="00AE0E78" w:rsidRPr="009C1449" w:rsidRDefault="003724A2" w:rsidP="000A765C">
      <w:pPr>
        <w:jc w:val="center"/>
        <w:rPr>
          <w:b/>
          <w:bCs/>
          <w:sz w:val="24"/>
          <w:szCs w:val="24"/>
          <w:lang w:val="en-US"/>
        </w:rPr>
      </w:pPr>
      <w:r w:rsidRPr="009C1449">
        <w:rPr>
          <w:b/>
          <w:bCs/>
          <w:sz w:val="24"/>
          <w:szCs w:val="24"/>
          <w:lang w:val="en-US"/>
        </w:rPr>
        <w:t>Supplement Material</w:t>
      </w:r>
    </w:p>
    <w:p w14:paraId="2B717740" w14:textId="3BA587FE" w:rsidR="000A765C" w:rsidRDefault="000A765C" w:rsidP="000A765C">
      <w:pPr>
        <w:spacing w:line="360" w:lineRule="auto"/>
        <w:rPr>
          <w:rFonts w:ascii="Times New Roman" w:eastAsia="Calibri" w:hAnsi="Times New Roman" w:cs="Times New Roman"/>
          <w:b/>
          <w:color w:val="000000"/>
          <w:sz w:val="24"/>
          <w:szCs w:val="24"/>
          <w:shd w:val="clear" w:color="auto" w:fill="FFFFFF"/>
          <w:lang w:val="en-US"/>
        </w:rPr>
      </w:pPr>
      <w:r>
        <w:rPr>
          <w:rFonts w:ascii="Times New Roman" w:eastAsia="Calibri" w:hAnsi="Times New Roman" w:cs="Times New Roman"/>
          <w:b/>
          <w:color w:val="000000"/>
          <w:sz w:val="24"/>
          <w:szCs w:val="24"/>
          <w:shd w:val="clear" w:color="auto" w:fill="FFFFFF"/>
          <w:lang w:val="en-US"/>
        </w:rPr>
        <w:t>Veracity Memory Model with coded variable classification</w:t>
      </w:r>
    </w:p>
    <w:p w14:paraId="3AF8A964" w14:textId="77777777" w:rsidR="000A765C" w:rsidRDefault="000A765C" w:rsidP="000A765C">
      <w:pPr>
        <w:spacing w:after="0" w:line="480" w:lineRule="auto"/>
        <w:textAlignment w:val="baseline"/>
        <w:rPr>
          <w:rFonts w:ascii="Times New Roman" w:eastAsia="Calibri" w:hAnsi="Times New Roman" w:cs="Times New Roman"/>
          <w:b/>
          <w:color w:val="000000"/>
          <w:sz w:val="24"/>
          <w:szCs w:val="24"/>
          <w:highlight w:val="white"/>
          <w:lang w:val="en-US"/>
        </w:rPr>
      </w:pPr>
      <w:r>
        <w:rPr>
          <w:rFonts w:ascii="Times New Roman" w:eastAsia="Calibri" w:hAnsi="Times New Roman" w:cs="Times New Roman"/>
          <w:color w:val="000000"/>
          <w:sz w:val="24"/>
          <w:szCs w:val="24"/>
          <w:shd w:val="clear" w:color="auto" w:fill="FFFFFF"/>
          <w:lang w:val="en-US"/>
        </w:rPr>
        <w:t>We additionally preregistered the analysis in which the correct answer was separated by classification following Pantazi and colleagues.</w:t>
      </w:r>
    </w:p>
    <w:p w14:paraId="708744AE" w14:textId="623CE9A1" w:rsidR="000A765C" w:rsidRDefault="000A765C" w:rsidP="000A765C">
      <w:pPr>
        <w:spacing w:after="0" w:line="480" w:lineRule="auto"/>
        <w:ind w:firstLine="708"/>
        <w:textAlignment w:val="baseline"/>
        <w:rPr>
          <w:rFonts w:ascii="Times New Roman" w:eastAsia="Calibri" w:hAnsi="Times New Roman" w:cs="Times New Roman"/>
          <w:color w:val="000000"/>
          <w:sz w:val="24"/>
          <w:szCs w:val="24"/>
          <w:shd w:val="clear" w:color="auto" w:fill="FFFFFF"/>
          <w:lang w:val="en-US"/>
        </w:rPr>
      </w:pPr>
      <w:r>
        <w:rPr>
          <w:rFonts w:ascii="Times New Roman" w:eastAsia="Calibri" w:hAnsi="Times New Roman" w:cs="Times New Roman"/>
          <w:color w:val="000000"/>
          <w:sz w:val="24"/>
          <w:szCs w:val="24"/>
          <w:shd w:val="clear" w:color="auto" w:fill="FFFFFF"/>
          <w:lang w:val="en-US"/>
        </w:rPr>
        <w:t>Participants could correctly identify each sentence as true</w:t>
      </w:r>
      <w:r w:rsidR="009C1449">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or false</w:t>
      </w:r>
      <w:r w:rsidR="009C1449">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or misidentify it as new. Additionally, true</w:t>
      </w:r>
      <w:r w:rsidR="009C1449">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sentences could be confused as false and false</w:t>
      </w:r>
      <w:r w:rsidR="009C1449">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sentences as true. Thus, responses can be sorted into three classifications: correct, confused, and misidentified. We treated this classification factor as repeated measurement equivalent to the analysis procedure of Pantazi and colleagues. Thus, every item was in the data set three times for all participants, and the response was transferred to 1 based on their answer in that classification factor. For example, if a sentence had the veracity </w:t>
      </w:r>
      <w:r w:rsidR="009C1449">
        <w:rPr>
          <w:rFonts w:ascii="Times New Roman" w:eastAsia="Calibri" w:hAnsi="Times New Roman" w:cs="Times New Roman"/>
          <w:color w:val="000000"/>
          <w:sz w:val="24"/>
          <w:szCs w:val="24"/>
          <w:shd w:val="clear" w:color="auto" w:fill="FFFFFF"/>
          <w:lang w:val="en-US"/>
        </w:rPr>
        <w:t xml:space="preserve">cue </w:t>
      </w:r>
      <w:r w:rsidRPr="00336A21">
        <w:rPr>
          <w:rFonts w:ascii="Times New Roman" w:eastAsia="Calibri" w:hAnsi="Times New Roman" w:cs="Times New Roman"/>
          <w:i/>
          <w:iCs/>
          <w:color w:val="000000"/>
          <w:sz w:val="24"/>
          <w:szCs w:val="24"/>
          <w:shd w:val="clear" w:color="auto" w:fill="FFFFFF"/>
          <w:lang w:val="en-US"/>
        </w:rPr>
        <w:t>false</w:t>
      </w:r>
      <w:r w:rsidDel="00963D1B">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color w:val="000000"/>
          <w:sz w:val="24"/>
          <w:szCs w:val="24"/>
          <w:shd w:val="clear" w:color="auto" w:fill="FFFFFF"/>
          <w:lang w:val="en-US"/>
        </w:rPr>
        <w:t xml:space="preserve">and the participant responded </w:t>
      </w:r>
      <w:r w:rsidRPr="00336A21">
        <w:rPr>
          <w:rFonts w:ascii="Times New Roman" w:eastAsia="Calibri" w:hAnsi="Times New Roman" w:cs="Times New Roman"/>
          <w:i/>
          <w:iCs/>
          <w:color w:val="000000"/>
          <w:sz w:val="24"/>
          <w:szCs w:val="24"/>
          <w:shd w:val="clear" w:color="auto" w:fill="FFFFFF"/>
          <w:lang w:val="en-US"/>
        </w:rPr>
        <w:t>true</w:t>
      </w:r>
      <w:r w:rsidDel="00963D1B">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color w:val="000000"/>
          <w:sz w:val="24"/>
          <w:szCs w:val="24"/>
          <w:shd w:val="clear" w:color="auto" w:fill="FFFFFF"/>
          <w:lang w:val="en-US"/>
        </w:rPr>
        <w:t>the</w:t>
      </w:r>
      <w:r w:rsidR="001E31C9">
        <w:rPr>
          <w:rFonts w:ascii="Times New Roman" w:eastAsia="Calibri" w:hAnsi="Times New Roman" w:cs="Times New Roman"/>
          <w:color w:val="000000"/>
          <w:sz w:val="24"/>
          <w:szCs w:val="24"/>
          <w:shd w:val="clear" w:color="auto" w:fill="FFFFFF"/>
          <w:lang w:val="en-US"/>
        </w:rPr>
        <w:t xml:space="preserve"> response was categorized as 1 on the classification level confused</w:t>
      </w:r>
      <w:r>
        <w:rPr>
          <w:rFonts w:ascii="Times New Roman" w:eastAsia="Calibri" w:hAnsi="Times New Roman" w:cs="Times New Roman"/>
          <w:color w:val="000000"/>
          <w:sz w:val="24"/>
          <w:szCs w:val="24"/>
          <w:shd w:val="clear" w:color="auto" w:fill="FFFFFF"/>
          <w:lang w:val="en-US"/>
        </w:rPr>
        <w:t xml:space="preserve">. In contrast, on the classification levels </w:t>
      </w:r>
      <w:r w:rsidRPr="00336A21">
        <w:rPr>
          <w:rFonts w:ascii="Times New Roman" w:eastAsia="Calibri" w:hAnsi="Times New Roman" w:cs="Times New Roman"/>
          <w:i/>
          <w:iCs/>
          <w:color w:val="000000"/>
          <w:sz w:val="24"/>
          <w:szCs w:val="24"/>
          <w:shd w:val="clear" w:color="auto" w:fill="FFFFFF"/>
          <w:lang w:val="en-US"/>
        </w:rPr>
        <w:t>correct</w:t>
      </w:r>
      <w:r w:rsidDel="00963D1B">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color w:val="000000"/>
          <w:sz w:val="24"/>
          <w:szCs w:val="24"/>
          <w:shd w:val="clear" w:color="auto" w:fill="FFFFFF"/>
          <w:lang w:val="en-US"/>
        </w:rPr>
        <w:t xml:space="preserve">or </w:t>
      </w:r>
      <w:r w:rsidRPr="00336A21">
        <w:rPr>
          <w:rFonts w:ascii="Times New Roman" w:eastAsia="Calibri" w:hAnsi="Times New Roman" w:cs="Times New Roman"/>
          <w:i/>
          <w:iCs/>
          <w:color w:val="000000"/>
          <w:sz w:val="24"/>
          <w:szCs w:val="24"/>
          <w:shd w:val="clear" w:color="auto" w:fill="FFFFFF"/>
          <w:lang w:val="en-US"/>
        </w:rPr>
        <w:t>misidentified</w:t>
      </w:r>
      <w:r w:rsidDel="00963D1B">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color w:val="000000"/>
          <w:sz w:val="24"/>
          <w:szCs w:val="24"/>
          <w:shd w:val="clear" w:color="auto" w:fill="FFFFFF"/>
          <w:lang w:val="en-US"/>
        </w:rPr>
        <w:t xml:space="preserve">it was </w:t>
      </w:r>
      <w:r w:rsidR="001E31C9">
        <w:rPr>
          <w:rFonts w:ascii="Times New Roman" w:eastAsia="Calibri" w:hAnsi="Times New Roman" w:cs="Times New Roman"/>
          <w:color w:val="000000"/>
          <w:sz w:val="24"/>
          <w:szCs w:val="24"/>
          <w:shd w:val="clear" w:color="auto" w:fill="FFFFFF"/>
          <w:lang w:val="en-US"/>
        </w:rPr>
        <w:t>categorized</w:t>
      </w:r>
      <w:r>
        <w:rPr>
          <w:rFonts w:ascii="Times New Roman" w:eastAsia="Calibri" w:hAnsi="Times New Roman" w:cs="Times New Roman"/>
          <w:color w:val="000000"/>
          <w:sz w:val="24"/>
          <w:szCs w:val="24"/>
          <w:shd w:val="clear" w:color="auto" w:fill="FFFFFF"/>
          <w:lang w:val="en-US"/>
        </w:rPr>
        <w:t xml:space="preserve"> as 0. </w:t>
      </w:r>
    </w:p>
    <w:p w14:paraId="1062C1DF" w14:textId="77777777" w:rsidR="000A765C" w:rsidRPr="00C57795" w:rsidRDefault="000A765C" w:rsidP="000A765C">
      <w:pPr>
        <w:spacing w:after="0" w:line="480" w:lineRule="auto"/>
        <w:ind w:firstLine="708"/>
        <w:textAlignment w:val="baseline"/>
        <w:rPr>
          <w:rFonts w:ascii="Times New Roman" w:eastAsia="Calibri" w:hAnsi="Times New Roman" w:cs="Times New Roman"/>
          <w:color w:val="000000"/>
          <w:sz w:val="24"/>
          <w:szCs w:val="24"/>
          <w:shd w:val="clear" w:color="auto" w:fill="FFFFFF"/>
          <w:lang w:val="en-US"/>
        </w:rPr>
      </w:pPr>
      <w:r w:rsidRPr="00917677">
        <w:rPr>
          <w:rFonts w:ascii="Times New Roman" w:eastAsia="Calibri" w:hAnsi="Times New Roman" w:cs="Times New Roman"/>
          <w:bCs/>
          <w:color w:val="000000"/>
          <w:sz w:val="24"/>
          <w:szCs w:val="24"/>
          <w:shd w:val="clear" w:color="auto" w:fill="FFFFFF"/>
          <w:lang w:val="en-US"/>
        </w:rPr>
        <w:t xml:space="preserve">To account for individual variations, </w:t>
      </w:r>
      <w:r>
        <w:rPr>
          <w:rFonts w:ascii="Times New Roman" w:eastAsia="Calibri" w:hAnsi="Times New Roman" w:cs="Times New Roman"/>
          <w:bCs/>
          <w:color w:val="000000"/>
          <w:sz w:val="24"/>
          <w:szCs w:val="24"/>
          <w:shd w:val="clear" w:color="auto" w:fill="FFFFFF"/>
          <w:lang w:val="en-US"/>
        </w:rPr>
        <w:t xml:space="preserve">we included </w:t>
      </w:r>
      <w:r w:rsidRPr="00917677" w:rsidDel="00963D1B">
        <w:rPr>
          <w:rFonts w:ascii="Times New Roman" w:eastAsia="Calibri" w:hAnsi="Times New Roman" w:cs="Times New Roman"/>
          <w:bCs/>
          <w:color w:val="000000"/>
          <w:sz w:val="24"/>
          <w:szCs w:val="24"/>
          <w:shd w:val="clear" w:color="auto" w:fill="FFFFFF"/>
          <w:lang w:val="en-US"/>
        </w:rPr>
        <w:t xml:space="preserve">participants' </w:t>
      </w:r>
      <w:r w:rsidRPr="00917677">
        <w:rPr>
          <w:rFonts w:ascii="Times New Roman" w:eastAsia="Calibri" w:hAnsi="Times New Roman" w:cs="Times New Roman"/>
          <w:bCs/>
          <w:color w:val="000000"/>
          <w:sz w:val="24"/>
          <w:szCs w:val="24"/>
          <w:shd w:val="clear" w:color="auto" w:fill="FFFFFF"/>
          <w:lang w:val="en-US"/>
        </w:rPr>
        <w:t>and item IDs</w:t>
      </w:r>
      <w:r>
        <w:rPr>
          <w:rFonts w:ascii="Times New Roman" w:eastAsia="Calibri" w:hAnsi="Times New Roman" w:cs="Times New Roman"/>
          <w:bCs/>
          <w:color w:val="000000"/>
          <w:sz w:val="24"/>
          <w:szCs w:val="24"/>
          <w:shd w:val="clear" w:color="auto" w:fill="FFFFFF"/>
          <w:lang w:val="en-US"/>
        </w:rPr>
        <w:t xml:space="preserve"> </w:t>
      </w:r>
      <w:r w:rsidRPr="00917677">
        <w:rPr>
          <w:rFonts w:ascii="Times New Roman" w:eastAsia="Calibri" w:hAnsi="Times New Roman" w:cs="Times New Roman"/>
          <w:bCs/>
          <w:color w:val="000000"/>
          <w:sz w:val="24"/>
          <w:szCs w:val="24"/>
          <w:shd w:val="clear" w:color="auto" w:fill="FFFFFF"/>
          <w:lang w:val="en-US"/>
        </w:rPr>
        <w:t xml:space="preserve">as random intercepts in </w:t>
      </w:r>
      <w:r>
        <w:rPr>
          <w:rFonts w:ascii="Times New Roman" w:eastAsia="Calibri" w:hAnsi="Times New Roman" w:cs="Times New Roman"/>
          <w:bCs/>
          <w:color w:val="000000"/>
          <w:sz w:val="24"/>
          <w:szCs w:val="24"/>
          <w:shd w:val="clear" w:color="auto" w:fill="FFFFFF"/>
          <w:lang w:val="en-US"/>
        </w:rPr>
        <w:t>the</w:t>
      </w:r>
      <w:r w:rsidRPr="00917677">
        <w:rPr>
          <w:rFonts w:ascii="Times New Roman" w:eastAsia="Calibri" w:hAnsi="Times New Roman" w:cs="Times New Roman"/>
          <w:bCs/>
          <w:color w:val="000000"/>
          <w:sz w:val="24"/>
          <w:szCs w:val="24"/>
          <w:shd w:val="clear" w:color="auto" w:fill="FFFFFF"/>
          <w:lang w:val="en-US"/>
        </w:rPr>
        <w:t xml:space="preserve"> models. Both resultant models </w:t>
      </w:r>
      <w:r>
        <w:rPr>
          <w:rFonts w:ascii="Times New Roman" w:eastAsia="Calibri" w:hAnsi="Times New Roman" w:cs="Times New Roman"/>
          <w:bCs/>
          <w:color w:val="000000"/>
          <w:sz w:val="24"/>
          <w:szCs w:val="24"/>
          <w:shd w:val="clear" w:color="auto" w:fill="FFFFFF"/>
          <w:lang w:val="en-US"/>
        </w:rPr>
        <w:t xml:space="preserve">(for veracity memory and confidence) were </w:t>
      </w:r>
      <w:r w:rsidRPr="00917677">
        <w:rPr>
          <w:rFonts w:ascii="Times New Roman" w:eastAsia="Calibri" w:hAnsi="Times New Roman" w:cs="Times New Roman"/>
          <w:bCs/>
          <w:color w:val="000000"/>
          <w:sz w:val="24"/>
          <w:szCs w:val="24"/>
          <w:shd w:val="clear" w:color="auto" w:fill="FFFFFF"/>
          <w:lang w:val="en-US"/>
        </w:rPr>
        <w:t>submit</w:t>
      </w:r>
      <w:r>
        <w:rPr>
          <w:rFonts w:ascii="Times New Roman" w:eastAsia="Calibri" w:hAnsi="Times New Roman" w:cs="Times New Roman"/>
          <w:bCs/>
          <w:color w:val="000000"/>
          <w:sz w:val="24"/>
          <w:szCs w:val="24"/>
          <w:shd w:val="clear" w:color="auto" w:fill="FFFFFF"/>
          <w:lang w:val="en-US"/>
        </w:rPr>
        <w:t>ted</w:t>
      </w:r>
      <w:r w:rsidRPr="00917677">
        <w:rPr>
          <w:rFonts w:ascii="Times New Roman" w:eastAsia="Calibri" w:hAnsi="Times New Roman" w:cs="Times New Roman"/>
          <w:bCs/>
          <w:color w:val="000000"/>
          <w:sz w:val="24"/>
          <w:szCs w:val="24"/>
          <w:shd w:val="clear" w:color="auto" w:fill="FFFFFF"/>
          <w:lang w:val="en-US"/>
        </w:rPr>
        <w:t xml:space="preserve"> to a Type II </w:t>
      </w:r>
      <w:r>
        <w:rPr>
          <w:rFonts w:ascii="Times New Roman" w:eastAsia="Calibri" w:hAnsi="Times New Roman" w:cs="Times New Roman"/>
          <w:bCs/>
          <w:color w:val="000000"/>
          <w:sz w:val="24"/>
          <w:szCs w:val="24"/>
          <w:shd w:val="clear" w:color="auto" w:fill="FFFFFF"/>
          <w:lang w:val="en-US"/>
        </w:rPr>
        <w:t>ANOVA</w:t>
      </w:r>
      <w:r w:rsidRPr="00917677">
        <w:rPr>
          <w:rFonts w:ascii="Times New Roman" w:eastAsia="Calibri" w:hAnsi="Times New Roman" w:cs="Times New Roman"/>
          <w:bCs/>
          <w:color w:val="000000"/>
          <w:sz w:val="24"/>
          <w:szCs w:val="24"/>
          <w:shd w:val="clear" w:color="auto" w:fill="FFFFFF"/>
          <w:lang w:val="en-US"/>
        </w:rPr>
        <w:t xml:space="preserve"> for analysis.</w:t>
      </w:r>
    </w:p>
    <w:p w14:paraId="37B448D3" w14:textId="5E2B4B8B" w:rsidR="000A765C" w:rsidRDefault="000A765C" w:rsidP="000A765C">
      <w:pPr>
        <w:spacing w:after="0" w:line="480" w:lineRule="auto"/>
        <w:ind w:firstLine="708"/>
        <w:textAlignment w:val="baseline"/>
        <w:rPr>
          <w:rFonts w:ascii="Times New Roman" w:eastAsia="Calibri" w:hAnsi="Times New Roman" w:cs="Times New Roman"/>
          <w:color w:val="000000"/>
          <w:sz w:val="24"/>
          <w:szCs w:val="24"/>
          <w:shd w:val="clear" w:color="auto" w:fill="FFFFFF"/>
          <w:lang w:val="en-US"/>
        </w:rPr>
      </w:pPr>
      <w:r>
        <w:rPr>
          <w:rFonts w:ascii="Times New Roman" w:eastAsia="Calibri" w:hAnsi="Times New Roman" w:cs="Times New Roman"/>
          <w:b/>
          <w:color w:val="000000"/>
          <w:sz w:val="24"/>
          <w:szCs w:val="24"/>
          <w:shd w:val="clear" w:color="auto" w:fill="FFFFFF"/>
          <w:lang w:val="en-US"/>
        </w:rPr>
        <w:t>Veracity memory</w:t>
      </w:r>
      <w:r>
        <w:rPr>
          <w:rFonts w:ascii="Times New Roman" w:eastAsia="Calibri" w:hAnsi="Times New Roman" w:cs="Times New Roman"/>
          <w:b/>
          <w:color w:val="000000"/>
          <w:sz w:val="24"/>
          <w:szCs w:val="24"/>
          <w:lang w:val="en-US"/>
        </w:rPr>
        <w:t xml:space="preserve">. </w:t>
      </w:r>
      <w:r>
        <w:rPr>
          <w:rFonts w:ascii="Times New Roman" w:eastAsia="Calibri" w:hAnsi="Times New Roman" w:cs="Times New Roman"/>
          <w:color w:val="000000"/>
          <w:sz w:val="24"/>
          <w:szCs w:val="24"/>
          <w:lang w:val="en-US"/>
        </w:rPr>
        <w:t>As a first analysis, w</w:t>
      </w:r>
      <w:r>
        <w:rPr>
          <w:rFonts w:ascii="Times New Roman" w:eastAsia="Calibri" w:hAnsi="Times New Roman" w:cs="Times New Roman"/>
          <w:color w:val="000000"/>
          <w:sz w:val="24"/>
          <w:szCs w:val="24"/>
          <w:shd w:val="clear" w:color="auto" w:fill="FFFFFF"/>
          <w:lang w:val="en-US"/>
        </w:rPr>
        <w:t>e tested how veracity memory is affected by discriminability, veracity</w:t>
      </w:r>
      <w:r w:rsidR="001E31C9">
        <w:rPr>
          <w:rFonts w:ascii="Times New Roman" w:eastAsia="Calibri" w:hAnsi="Times New Roman" w:cs="Times New Roman"/>
          <w:color w:val="000000"/>
          <w:sz w:val="24"/>
          <w:szCs w:val="24"/>
          <w:shd w:val="clear" w:color="auto" w:fill="FFFFFF"/>
          <w:lang w:val="en-US"/>
        </w:rPr>
        <w:t xml:space="preserve"> cue</w:t>
      </w:r>
      <w:r>
        <w:rPr>
          <w:rFonts w:ascii="Times New Roman" w:eastAsia="Calibri" w:hAnsi="Times New Roman" w:cs="Times New Roman"/>
          <w:color w:val="000000"/>
          <w:sz w:val="24"/>
          <w:szCs w:val="24"/>
          <w:shd w:val="clear" w:color="auto" w:fill="FFFFFF"/>
          <w:lang w:val="en-US"/>
        </w:rPr>
        <w:t>, and classification. However, we did not find a three-way interaction between classification, discriminability, and veracity</w:t>
      </w:r>
      <w:r w:rsidR="001E31C9">
        <w:rPr>
          <w:rFonts w:ascii="Times New Roman" w:eastAsia="Calibri" w:hAnsi="Times New Roman" w:cs="Times New Roman"/>
          <w:color w:val="000000"/>
          <w:sz w:val="24"/>
          <w:szCs w:val="24"/>
          <w:shd w:val="clear" w:color="auto" w:fill="FFFFFF"/>
          <w:lang w:val="en-US"/>
        </w:rPr>
        <w:t xml:space="preserve"> cue</w:t>
      </w:r>
      <w:r>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i/>
          <w:color w:val="000000"/>
          <w:sz w:val="24"/>
          <w:szCs w:val="24"/>
          <w:shd w:val="clear" w:color="auto" w:fill="FFFFFF"/>
          <w:lang w:val="en-US"/>
        </w:rPr>
        <w:t>χ</w:t>
      </w:r>
      <w:r>
        <w:rPr>
          <w:rFonts w:ascii="Times New Roman" w:eastAsia="Calibri" w:hAnsi="Times New Roman" w:cs="Times New Roman"/>
          <w:i/>
          <w:color w:val="000000"/>
          <w:sz w:val="24"/>
          <w:szCs w:val="24"/>
          <w:shd w:val="clear" w:color="auto" w:fill="FFFFFF"/>
          <w:vertAlign w:val="superscript"/>
          <w:lang w:val="en-US"/>
        </w:rPr>
        <w:t>2</w:t>
      </w:r>
      <w:r w:rsidRPr="00DE0BDE">
        <w:rPr>
          <w:rFonts w:ascii="Times New Roman" w:eastAsia="Calibri" w:hAnsi="Times New Roman" w:cs="Times New Roman"/>
          <w:color w:val="000000"/>
          <w:sz w:val="24"/>
          <w:szCs w:val="24"/>
          <w:shd w:val="clear" w:color="auto" w:fill="FFFFFF"/>
          <w:lang w:val="en-US"/>
        </w:rPr>
        <w:t>(2)</w:t>
      </w:r>
      <w:r w:rsidRPr="00DE4E7B">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color w:val="000000"/>
          <w:sz w:val="24"/>
          <w:szCs w:val="24"/>
          <w:shd w:val="clear" w:color="auto" w:fill="FFFFFF"/>
          <w:lang w:val="en-US"/>
        </w:rPr>
        <w:t xml:space="preserve">= 2.17, </w:t>
      </w:r>
      <w:r>
        <w:rPr>
          <w:rFonts w:ascii="Times New Roman" w:eastAsia="Calibri" w:hAnsi="Times New Roman" w:cs="Times New Roman"/>
          <w:i/>
          <w:color w:val="000000"/>
          <w:sz w:val="24"/>
          <w:szCs w:val="24"/>
          <w:shd w:val="clear" w:color="auto" w:fill="FFFFFF"/>
          <w:lang w:val="en-US"/>
        </w:rPr>
        <w:t>p</w:t>
      </w:r>
      <w:r>
        <w:rPr>
          <w:rFonts w:ascii="Times New Roman" w:eastAsia="Calibri" w:hAnsi="Times New Roman" w:cs="Times New Roman"/>
          <w:color w:val="000000"/>
          <w:sz w:val="24"/>
          <w:szCs w:val="24"/>
          <w:shd w:val="clear" w:color="auto" w:fill="FFFFFF"/>
          <w:lang w:val="en-US"/>
        </w:rPr>
        <w:t xml:space="preserve"> = .338. Thus, the classification pattern for true</w:t>
      </w:r>
      <w:r w:rsidR="00EA5471">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and false</w:t>
      </w:r>
      <w:r w:rsidR="00EA5471">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sentences did not differ between the low and high discriminability conditions. However, the model showed a significant interaction effect between veracity </w:t>
      </w:r>
      <w:r w:rsidR="00EA5471">
        <w:rPr>
          <w:rFonts w:ascii="Times New Roman" w:eastAsia="Calibri" w:hAnsi="Times New Roman" w:cs="Times New Roman"/>
          <w:color w:val="000000"/>
          <w:sz w:val="24"/>
          <w:szCs w:val="24"/>
          <w:shd w:val="clear" w:color="auto" w:fill="FFFFFF"/>
          <w:lang w:val="en-US"/>
        </w:rPr>
        <w:t xml:space="preserve">cue </w:t>
      </w:r>
      <w:r>
        <w:rPr>
          <w:rFonts w:ascii="Times New Roman" w:eastAsia="Calibri" w:hAnsi="Times New Roman" w:cs="Times New Roman"/>
          <w:color w:val="000000"/>
          <w:sz w:val="24"/>
          <w:szCs w:val="24"/>
          <w:shd w:val="clear" w:color="auto" w:fill="FFFFFF"/>
          <w:lang w:val="en-US"/>
        </w:rPr>
        <w:t xml:space="preserve">and classification, </w:t>
      </w:r>
      <w:r>
        <w:rPr>
          <w:rFonts w:ascii="Times New Roman" w:eastAsia="Calibri" w:hAnsi="Times New Roman" w:cs="Times New Roman"/>
          <w:i/>
          <w:color w:val="000000"/>
          <w:sz w:val="24"/>
          <w:szCs w:val="24"/>
          <w:shd w:val="clear" w:color="auto" w:fill="FFFFFF"/>
          <w:lang w:val="en-US"/>
        </w:rPr>
        <w:t>χ</w:t>
      </w:r>
      <w:r>
        <w:rPr>
          <w:rFonts w:ascii="Times New Roman" w:eastAsia="Calibri" w:hAnsi="Times New Roman" w:cs="Times New Roman"/>
          <w:i/>
          <w:color w:val="000000"/>
          <w:sz w:val="24"/>
          <w:szCs w:val="24"/>
          <w:shd w:val="clear" w:color="auto" w:fill="FFFFFF"/>
          <w:vertAlign w:val="superscript"/>
          <w:lang w:val="en-US"/>
        </w:rPr>
        <w:t>2</w:t>
      </w:r>
      <w:r w:rsidRPr="00DE0BDE">
        <w:rPr>
          <w:rFonts w:ascii="Times New Roman" w:eastAsia="Calibri" w:hAnsi="Times New Roman" w:cs="Times New Roman"/>
          <w:color w:val="000000"/>
          <w:sz w:val="24"/>
          <w:szCs w:val="24"/>
          <w:shd w:val="clear" w:color="auto" w:fill="FFFFFF"/>
          <w:lang w:val="en-US"/>
        </w:rPr>
        <w:t>(2)</w:t>
      </w:r>
      <w:r w:rsidRPr="00DE4E7B">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color w:val="000000"/>
          <w:sz w:val="24"/>
          <w:szCs w:val="24"/>
          <w:shd w:val="clear" w:color="auto" w:fill="FFFFFF"/>
          <w:lang w:val="en-US"/>
        </w:rPr>
        <w:t xml:space="preserve">= 1612.97, </w:t>
      </w:r>
      <w:r>
        <w:rPr>
          <w:rFonts w:ascii="Times New Roman" w:eastAsia="Calibri" w:hAnsi="Times New Roman" w:cs="Times New Roman"/>
          <w:i/>
          <w:color w:val="000000"/>
          <w:sz w:val="24"/>
          <w:szCs w:val="24"/>
          <w:shd w:val="clear" w:color="auto" w:fill="FFFFFF"/>
          <w:lang w:val="en-US"/>
        </w:rPr>
        <w:t>p</w:t>
      </w:r>
      <w:r>
        <w:rPr>
          <w:rFonts w:ascii="Times New Roman" w:eastAsia="Calibri" w:hAnsi="Times New Roman" w:cs="Times New Roman"/>
          <w:color w:val="000000"/>
          <w:sz w:val="24"/>
          <w:szCs w:val="24"/>
          <w:shd w:val="clear" w:color="auto" w:fill="FFFFFF"/>
          <w:lang w:val="en-US"/>
        </w:rPr>
        <w:t xml:space="preserve"> &lt; .001. False</w:t>
      </w:r>
      <w:r w:rsidR="00EA5471">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sentences were significantly less often correctly identified than true</w:t>
      </w:r>
      <w:r w:rsidR="00EA5471">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sentences,</w:t>
      </w:r>
      <w:r w:rsidRPr="005F3DCD">
        <w:rPr>
          <w:rFonts w:ascii="Times New Roman" w:eastAsia="Calibri" w:hAnsi="Times New Roman" w:cs="Times New Roman"/>
          <w:i/>
          <w:iCs/>
          <w:color w:val="000000"/>
          <w:sz w:val="24"/>
          <w:szCs w:val="24"/>
          <w:shd w:val="clear" w:color="auto" w:fill="FFFFFF"/>
          <w:lang w:val="en-US"/>
        </w:rPr>
        <w:t xml:space="preserve"> </w:t>
      </w:r>
      <w:r w:rsidRPr="00E0662B">
        <w:rPr>
          <w:rFonts w:ascii="Times New Roman" w:eastAsia="Calibri" w:hAnsi="Times New Roman" w:cs="Times New Roman"/>
          <w:color w:val="000000"/>
          <w:sz w:val="24"/>
          <w:szCs w:val="24"/>
          <w:shd w:val="clear" w:color="auto" w:fill="FFFFFF"/>
          <w:lang w:val="en-US"/>
        </w:rPr>
        <w:t xml:space="preserve">OR = </w:t>
      </w:r>
      <w:r>
        <w:rPr>
          <w:rFonts w:ascii="Times New Roman" w:eastAsia="Calibri" w:hAnsi="Times New Roman" w:cs="Times New Roman"/>
          <w:color w:val="000000"/>
          <w:sz w:val="24"/>
          <w:szCs w:val="24"/>
          <w:shd w:val="clear" w:color="auto" w:fill="FFFFFF"/>
          <w:lang w:val="en-US"/>
        </w:rPr>
        <w:t>0.29</w:t>
      </w:r>
      <w:r w:rsidRPr="00D15A0C">
        <w:rPr>
          <w:rFonts w:ascii="Times New Roman" w:eastAsia="Calibri" w:hAnsi="Times New Roman" w:cs="Times New Roman"/>
          <w:color w:val="000000"/>
          <w:sz w:val="24"/>
          <w:szCs w:val="24"/>
          <w:shd w:val="clear" w:color="auto" w:fill="FFFFFF"/>
          <w:lang w:val="en-US"/>
        </w:rPr>
        <w:t xml:space="preserve">, 95% CI </w:t>
      </w:r>
      <w:r>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color w:val="000000"/>
          <w:sz w:val="24"/>
          <w:szCs w:val="24"/>
          <w:shd w:val="clear" w:color="auto" w:fill="FFFFFF"/>
          <w:lang w:val="en-US"/>
        </w:rPr>
        <w:t>[-</w:t>
      </w:r>
      <w:r w:rsidRPr="00C94FA2">
        <w:rPr>
          <w:rFonts w:ascii="Times New Roman" w:eastAsia="Calibri" w:hAnsi="Times New Roman" w:cs="Times New Roman"/>
          <w:color w:val="000000"/>
          <w:sz w:val="24"/>
          <w:szCs w:val="24"/>
          <w:shd w:val="clear" w:color="auto" w:fill="FFFFFF"/>
          <w:lang w:val="en-US"/>
        </w:rPr>
        <w:t>0.25</w:t>
      </w:r>
      <w:r>
        <w:rPr>
          <w:rFonts w:ascii="Times New Roman" w:eastAsia="Calibri" w:hAnsi="Times New Roman" w:cs="Times New Roman"/>
          <w:color w:val="000000"/>
          <w:sz w:val="24"/>
          <w:szCs w:val="24"/>
          <w:shd w:val="clear" w:color="auto" w:fill="FFFFFF"/>
          <w:lang w:val="en-US"/>
        </w:rPr>
        <w:t xml:space="preserve">, </w:t>
      </w:r>
      <w:r w:rsidRPr="00C94FA2">
        <w:rPr>
          <w:rFonts w:ascii="Times New Roman" w:eastAsia="Calibri" w:hAnsi="Times New Roman" w:cs="Times New Roman"/>
          <w:color w:val="000000"/>
          <w:sz w:val="24"/>
          <w:szCs w:val="24"/>
          <w:shd w:val="clear" w:color="auto" w:fill="FFFFFF"/>
          <w:lang w:val="en-US"/>
        </w:rPr>
        <w:t>0.33</w:t>
      </w:r>
      <w:r w:rsidRPr="00D15A0C">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i/>
          <w:color w:val="000000"/>
          <w:sz w:val="24"/>
          <w:szCs w:val="24"/>
          <w:shd w:val="clear" w:color="auto" w:fill="FFFFFF"/>
          <w:lang w:val="en-US"/>
        </w:rPr>
        <w:t>p</w:t>
      </w:r>
      <w:r w:rsidRPr="00D15A0C">
        <w:rPr>
          <w:rFonts w:ascii="Times New Roman" w:eastAsia="Calibri" w:hAnsi="Times New Roman" w:cs="Times New Roman"/>
          <w:color w:val="000000"/>
          <w:sz w:val="24"/>
          <w:szCs w:val="24"/>
          <w:shd w:val="clear" w:color="auto" w:fill="FFFFFF"/>
          <w:lang w:val="en-US"/>
        </w:rPr>
        <w:t xml:space="preserve"> &lt; .001</w:t>
      </w:r>
      <w:r>
        <w:rPr>
          <w:rFonts w:ascii="Times New Roman" w:eastAsia="Calibri" w:hAnsi="Times New Roman" w:cs="Times New Roman"/>
          <w:color w:val="000000"/>
          <w:sz w:val="24"/>
          <w:szCs w:val="24"/>
          <w:shd w:val="clear" w:color="auto" w:fill="FFFFFF"/>
          <w:lang w:val="en-US"/>
        </w:rPr>
        <w:t>. Further, false</w:t>
      </w:r>
      <w:r w:rsidR="00EA5471">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sentences were more often confused, </w:t>
      </w:r>
      <w:r w:rsidRPr="00E0662B">
        <w:rPr>
          <w:rFonts w:ascii="Times New Roman" w:eastAsia="Calibri" w:hAnsi="Times New Roman" w:cs="Times New Roman"/>
          <w:color w:val="000000"/>
          <w:sz w:val="24"/>
          <w:szCs w:val="24"/>
          <w:shd w:val="clear" w:color="auto" w:fill="FFFFFF"/>
          <w:lang w:val="en-US"/>
        </w:rPr>
        <w:t xml:space="preserve">OR = </w:t>
      </w:r>
      <w:r>
        <w:rPr>
          <w:rFonts w:ascii="Times New Roman" w:eastAsia="Calibri" w:hAnsi="Times New Roman" w:cs="Times New Roman"/>
          <w:color w:val="000000"/>
          <w:sz w:val="24"/>
          <w:szCs w:val="24"/>
          <w:shd w:val="clear" w:color="auto" w:fill="FFFFFF"/>
          <w:lang w:val="en-US"/>
        </w:rPr>
        <w:t>15.25</w:t>
      </w:r>
      <w:r w:rsidRPr="00D15A0C">
        <w:rPr>
          <w:rFonts w:ascii="Times New Roman" w:eastAsia="Calibri" w:hAnsi="Times New Roman" w:cs="Times New Roman"/>
          <w:color w:val="000000"/>
          <w:sz w:val="24"/>
          <w:szCs w:val="24"/>
          <w:shd w:val="clear" w:color="auto" w:fill="FFFFFF"/>
          <w:lang w:val="en-US"/>
        </w:rPr>
        <w:t xml:space="preserve">, 95% CI </w:t>
      </w:r>
      <w:r>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color w:val="000000"/>
          <w:sz w:val="24"/>
          <w:szCs w:val="24"/>
          <w:shd w:val="clear" w:color="auto" w:fill="FFFFFF"/>
          <w:lang w:val="en-US"/>
        </w:rPr>
        <w:t>[</w:t>
      </w:r>
      <w:r>
        <w:rPr>
          <w:rFonts w:ascii="Times New Roman" w:eastAsia="Calibri" w:hAnsi="Times New Roman" w:cs="Times New Roman"/>
          <w:color w:val="000000"/>
          <w:sz w:val="24"/>
          <w:szCs w:val="24"/>
          <w:shd w:val="clear" w:color="auto" w:fill="FFFFFF"/>
          <w:lang w:val="en-US"/>
        </w:rPr>
        <w:t>12.57, 18.51</w:t>
      </w:r>
      <w:r w:rsidRPr="00D15A0C">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i/>
          <w:color w:val="000000"/>
          <w:sz w:val="24"/>
          <w:szCs w:val="24"/>
          <w:shd w:val="clear" w:color="auto" w:fill="FFFFFF"/>
          <w:lang w:val="en-US"/>
        </w:rPr>
        <w:t>p</w:t>
      </w:r>
      <w:r w:rsidRPr="00D15A0C">
        <w:rPr>
          <w:rFonts w:ascii="Times New Roman" w:eastAsia="Calibri" w:hAnsi="Times New Roman" w:cs="Times New Roman"/>
          <w:color w:val="000000"/>
          <w:sz w:val="24"/>
          <w:szCs w:val="24"/>
          <w:shd w:val="clear" w:color="auto" w:fill="FFFFFF"/>
          <w:lang w:val="en-US"/>
        </w:rPr>
        <w:t xml:space="preserve"> &lt; .001</w:t>
      </w:r>
      <w:r>
        <w:rPr>
          <w:rFonts w:ascii="Times New Roman" w:eastAsia="Calibri" w:hAnsi="Times New Roman" w:cs="Times New Roman"/>
          <w:color w:val="000000"/>
          <w:sz w:val="24"/>
          <w:szCs w:val="24"/>
          <w:shd w:val="clear" w:color="auto" w:fill="FFFFFF"/>
          <w:lang w:val="en-US"/>
        </w:rPr>
        <w:t xml:space="preserve">, and </w:t>
      </w:r>
      <w:r>
        <w:rPr>
          <w:rFonts w:ascii="Times New Roman" w:eastAsia="Calibri" w:hAnsi="Times New Roman" w:cs="Times New Roman"/>
          <w:color w:val="000000"/>
          <w:sz w:val="24"/>
          <w:szCs w:val="24"/>
          <w:shd w:val="clear" w:color="auto" w:fill="FFFFFF"/>
          <w:lang w:val="en-US"/>
        </w:rPr>
        <w:lastRenderedPageBreak/>
        <w:t>more often misidentified compared to true</w:t>
      </w:r>
      <w:r w:rsidR="00EA5471">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sentences,</w:t>
      </w:r>
      <w:r w:rsidRPr="00B0100C">
        <w:rPr>
          <w:rFonts w:ascii="Times New Roman" w:eastAsia="Calibri" w:hAnsi="Times New Roman" w:cs="Times New Roman"/>
          <w:i/>
          <w:iCs/>
          <w:color w:val="000000"/>
          <w:sz w:val="24"/>
          <w:szCs w:val="24"/>
          <w:shd w:val="clear" w:color="auto" w:fill="FFFFFF"/>
          <w:lang w:val="en-US"/>
        </w:rPr>
        <w:t xml:space="preserve"> </w:t>
      </w:r>
      <w:r w:rsidRPr="00E0662B">
        <w:rPr>
          <w:rFonts w:ascii="Times New Roman" w:eastAsia="Calibri" w:hAnsi="Times New Roman" w:cs="Times New Roman"/>
          <w:color w:val="000000"/>
          <w:sz w:val="24"/>
          <w:szCs w:val="24"/>
          <w:shd w:val="clear" w:color="auto" w:fill="FFFFFF"/>
          <w:lang w:val="en-US"/>
        </w:rPr>
        <w:t xml:space="preserve">OR = </w:t>
      </w:r>
      <w:r>
        <w:rPr>
          <w:rFonts w:ascii="Times New Roman" w:eastAsia="Calibri" w:hAnsi="Times New Roman" w:cs="Times New Roman"/>
          <w:color w:val="000000"/>
          <w:sz w:val="24"/>
          <w:szCs w:val="24"/>
          <w:shd w:val="clear" w:color="auto" w:fill="FFFFFF"/>
          <w:lang w:val="en-US"/>
        </w:rPr>
        <w:t>3.36</w:t>
      </w:r>
      <w:r w:rsidRPr="00D15A0C">
        <w:rPr>
          <w:rFonts w:ascii="Times New Roman" w:eastAsia="Calibri" w:hAnsi="Times New Roman" w:cs="Times New Roman"/>
          <w:color w:val="000000"/>
          <w:sz w:val="24"/>
          <w:szCs w:val="24"/>
          <w:shd w:val="clear" w:color="auto" w:fill="FFFFFF"/>
          <w:lang w:val="en-US"/>
        </w:rPr>
        <w:t xml:space="preserve">, 95% CI </w:t>
      </w:r>
      <w:r>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color w:val="000000"/>
          <w:sz w:val="24"/>
          <w:szCs w:val="24"/>
          <w:shd w:val="clear" w:color="auto" w:fill="FFFFFF"/>
          <w:lang w:val="en-US"/>
        </w:rPr>
        <w:t>[</w:t>
      </w:r>
      <w:r>
        <w:rPr>
          <w:rFonts w:ascii="Times New Roman" w:eastAsia="Calibri" w:hAnsi="Times New Roman" w:cs="Times New Roman"/>
          <w:color w:val="000000"/>
          <w:sz w:val="24"/>
          <w:szCs w:val="24"/>
          <w:shd w:val="clear" w:color="auto" w:fill="FFFFFF"/>
          <w:lang w:val="en-US"/>
        </w:rPr>
        <w:t>2.69, 4.19</w:t>
      </w:r>
      <w:r w:rsidRPr="00D15A0C">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i/>
          <w:color w:val="000000"/>
          <w:sz w:val="24"/>
          <w:szCs w:val="24"/>
          <w:shd w:val="clear" w:color="auto" w:fill="FFFFFF"/>
          <w:lang w:val="en-US"/>
        </w:rPr>
        <w:t>p</w:t>
      </w:r>
      <w:r w:rsidRPr="00D15A0C">
        <w:rPr>
          <w:rFonts w:ascii="Times New Roman" w:eastAsia="Calibri" w:hAnsi="Times New Roman" w:cs="Times New Roman"/>
          <w:color w:val="000000"/>
          <w:sz w:val="24"/>
          <w:szCs w:val="24"/>
          <w:shd w:val="clear" w:color="auto" w:fill="FFFFFF"/>
          <w:lang w:val="en-US"/>
        </w:rPr>
        <w:t xml:space="preserve"> &lt; .001</w:t>
      </w:r>
      <w:r>
        <w:rPr>
          <w:rFonts w:ascii="Times New Roman" w:eastAsia="Calibri" w:hAnsi="Times New Roman" w:cs="Times New Roman"/>
          <w:color w:val="000000"/>
          <w:sz w:val="24"/>
          <w:szCs w:val="24"/>
          <w:shd w:val="clear" w:color="auto" w:fill="FFFFFF"/>
          <w:lang w:val="en-US"/>
        </w:rPr>
        <w:t>. These effects were independent of the discriminability condition (</w:t>
      </w:r>
      <w:r w:rsidR="00EA5471">
        <w:rPr>
          <w:rFonts w:ascii="Times New Roman" w:eastAsia="Calibri" w:hAnsi="Times New Roman" w:cs="Times New Roman"/>
          <w:color w:val="000000"/>
          <w:sz w:val="24"/>
          <w:szCs w:val="24"/>
          <w:shd w:val="clear" w:color="auto" w:fill="FFFFFF"/>
          <w:lang w:val="en-US"/>
        </w:rPr>
        <w:t>s</w:t>
      </w:r>
      <w:r>
        <w:rPr>
          <w:rFonts w:ascii="Times New Roman" w:eastAsia="Calibri" w:hAnsi="Times New Roman" w:cs="Times New Roman"/>
          <w:color w:val="000000"/>
          <w:sz w:val="24"/>
          <w:szCs w:val="24"/>
          <w:shd w:val="clear" w:color="auto" w:fill="FFFFFF"/>
          <w:lang w:val="en-US"/>
        </w:rPr>
        <w:t>ee Table S1).</w:t>
      </w:r>
    </w:p>
    <w:p w14:paraId="1E738689" w14:textId="0DF0F51D" w:rsidR="03C1BF83" w:rsidRPr="00EA5471" w:rsidRDefault="000A765C" w:rsidP="00EA5471">
      <w:pPr>
        <w:spacing w:after="0" w:line="480" w:lineRule="auto"/>
        <w:ind w:firstLine="708"/>
        <w:textAlignment w:val="baseline"/>
        <w:rPr>
          <w:rFonts w:ascii="Times New Roman" w:eastAsia="Calibri" w:hAnsi="Times New Roman" w:cs="Times New Roman"/>
          <w:color w:val="000000"/>
          <w:sz w:val="24"/>
          <w:szCs w:val="24"/>
          <w:shd w:val="clear" w:color="auto" w:fill="FFFFFF"/>
          <w:lang w:val="en-US"/>
        </w:rPr>
      </w:pPr>
      <w:r>
        <w:rPr>
          <w:rFonts w:ascii="Times New Roman" w:eastAsia="Calibri" w:hAnsi="Times New Roman" w:cs="Times New Roman"/>
          <w:color w:val="000000"/>
          <w:sz w:val="24"/>
          <w:szCs w:val="24"/>
          <w:shd w:val="clear" w:color="auto" w:fill="FFFFFF"/>
          <w:lang w:val="en-US"/>
        </w:rPr>
        <w:t xml:space="preserve">Additionally, the model showed a significant interaction effect between classification and discriminability, </w:t>
      </w:r>
      <w:r>
        <w:rPr>
          <w:rFonts w:ascii="Times New Roman" w:eastAsia="Calibri" w:hAnsi="Times New Roman" w:cs="Times New Roman"/>
          <w:i/>
          <w:iCs/>
          <w:color w:val="000000"/>
          <w:sz w:val="24"/>
          <w:szCs w:val="24"/>
          <w:shd w:val="clear" w:color="auto" w:fill="FFFFFF"/>
          <w:lang w:val="en-US"/>
        </w:rPr>
        <w:t>χ</w:t>
      </w:r>
      <w:r>
        <w:rPr>
          <w:rFonts w:ascii="Times New Roman" w:eastAsia="Calibri" w:hAnsi="Times New Roman" w:cs="Times New Roman"/>
          <w:i/>
          <w:iCs/>
          <w:color w:val="000000"/>
          <w:sz w:val="24"/>
          <w:szCs w:val="24"/>
          <w:shd w:val="clear" w:color="auto" w:fill="FFFFFF"/>
          <w:vertAlign w:val="superscript"/>
          <w:lang w:val="en-US"/>
        </w:rPr>
        <w:t>2</w:t>
      </w:r>
      <w:r w:rsidRPr="00DE0BDE">
        <w:rPr>
          <w:rFonts w:ascii="Times New Roman" w:eastAsia="Calibri" w:hAnsi="Times New Roman" w:cs="Times New Roman"/>
          <w:color w:val="000000"/>
          <w:sz w:val="24"/>
          <w:szCs w:val="24"/>
          <w:shd w:val="clear" w:color="auto" w:fill="FFFFFF"/>
          <w:lang w:val="en-US"/>
        </w:rPr>
        <w:t>(2)</w:t>
      </w:r>
      <w:r>
        <w:rPr>
          <w:rFonts w:ascii="Times New Roman" w:eastAsia="Calibri" w:hAnsi="Times New Roman" w:cs="Times New Roman"/>
          <w:color w:val="000000"/>
          <w:sz w:val="24"/>
          <w:szCs w:val="24"/>
          <w:shd w:val="clear" w:color="auto" w:fill="FFFFFF"/>
          <w:lang w:val="en-US"/>
        </w:rPr>
        <w:t xml:space="preserve"> = 20.26, </w:t>
      </w:r>
      <w:r>
        <w:rPr>
          <w:rFonts w:ascii="Times New Roman" w:eastAsia="Calibri" w:hAnsi="Times New Roman" w:cs="Times New Roman"/>
          <w:i/>
          <w:iCs/>
          <w:color w:val="000000"/>
          <w:sz w:val="24"/>
          <w:szCs w:val="24"/>
          <w:shd w:val="clear" w:color="auto" w:fill="FFFFFF"/>
          <w:lang w:val="en-US"/>
        </w:rPr>
        <w:t>p</w:t>
      </w:r>
      <w:r>
        <w:rPr>
          <w:rFonts w:ascii="Times New Roman" w:eastAsia="Calibri" w:hAnsi="Times New Roman" w:cs="Times New Roman"/>
          <w:color w:val="000000"/>
          <w:sz w:val="24"/>
          <w:szCs w:val="24"/>
          <w:shd w:val="clear" w:color="auto" w:fill="FFFFFF"/>
          <w:lang w:val="en-US"/>
        </w:rPr>
        <w:t xml:space="preserve"> &lt; .001. Participants in the low discriminability condition more often misidentified sentences, </w:t>
      </w:r>
      <w:r w:rsidRPr="00E0662B">
        <w:rPr>
          <w:rFonts w:ascii="Times New Roman" w:eastAsia="Calibri" w:hAnsi="Times New Roman" w:cs="Times New Roman"/>
          <w:color w:val="000000"/>
          <w:sz w:val="24"/>
          <w:szCs w:val="24"/>
          <w:shd w:val="clear" w:color="auto" w:fill="FFFFFF"/>
          <w:lang w:val="en-US"/>
        </w:rPr>
        <w:t xml:space="preserve">OR = </w:t>
      </w:r>
      <w:r>
        <w:rPr>
          <w:rFonts w:ascii="Times New Roman" w:eastAsia="Calibri" w:hAnsi="Times New Roman" w:cs="Times New Roman"/>
          <w:color w:val="000000"/>
          <w:sz w:val="24"/>
          <w:szCs w:val="24"/>
          <w:shd w:val="clear" w:color="auto" w:fill="FFFFFF"/>
          <w:lang w:val="en-US"/>
        </w:rPr>
        <w:t>1.33</w:t>
      </w:r>
      <w:r w:rsidRPr="00D15A0C">
        <w:rPr>
          <w:rFonts w:ascii="Times New Roman" w:eastAsia="Calibri" w:hAnsi="Times New Roman" w:cs="Times New Roman"/>
          <w:color w:val="000000"/>
          <w:sz w:val="24"/>
          <w:szCs w:val="24"/>
          <w:shd w:val="clear" w:color="auto" w:fill="FFFFFF"/>
          <w:lang w:val="en-US"/>
        </w:rPr>
        <w:t xml:space="preserve">, 95% CI </w:t>
      </w:r>
      <w:r>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color w:val="000000"/>
          <w:sz w:val="24"/>
          <w:szCs w:val="24"/>
          <w:shd w:val="clear" w:color="auto" w:fill="FFFFFF"/>
          <w:lang w:val="en-US"/>
        </w:rPr>
        <w:t>[</w:t>
      </w:r>
      <w:r>
        <w:rPr>
          <w:rFonts w:ascii="Times New Roman" w:eastAsia="Calibri" w:hAnsi="Times New Roman" w:cs="Times New Roman"/>
          <w:color w:val="000000"/>
          <w:sz w:val="24"/>
          <w:szCs w:val="24"/>
          <w:shd w:val="clear" w:color="auto" w:fill="FFFFFF"/>
          <w:lang w:val="en-US"/>
        </w:rPr>
        <w:t>1.13, 1.55</w:t>
      </w:r>
      <w:r w:rsidRPr="00D15A0C">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i/>
          <w:color w:val="000000"/>
          <w:sz w:val="24"/>
          <w:szCs w:val="24"/>
          <w:shd w:val="clear" w:color="auto" w:fill="FFFFFF"/>
          <w:lang w:val="en-US"/>
        </w:rPr>
        <w:t>p</w:t>
      </w:r>
      <w:r w:rsidRPr="00D15A0C">
        <w:rPr>
          <w:rFonts w:ascii="Times New Roman" w:eastAsia="Calibri" w:hAnsi="Times New Roman" w:cs="Times New Roman"/>
          <w:color w:val="000000"/>
          <w:sz w:val="24"/>
          <w:szCs w:val="24"/>
          <w:shd w:val="clear" w:color="auto" w:fill="FFFFFF"/>
          <w:lang w:val="en-US"/>
        </w:rPr>
        <w:t xml:space="preserve"> &lt; .001</w:t>
      </w:r>
      <w:r>
        <w:rPr>
          <w:rFonts w:ascii="Times New Roman" w:eastAsia="Calibri" w:hAnsi="Times New Roman" w:cs="Times New Roman"/>
          <w:color w:val="000000"/>
          <w:sz w:val="24"/>
          <w:szCs w:val="24"/>
          <w:shd w:val="clear" w:color="auto" w:fill="FFFFFF"/>
          <w:lang w:val="en-US"/>
        </w:rPr>
        <w:t xml:space="preserve">, and less often correctly identified sentences compared to the high discriminability condition, </w:t>
      </w:r>
      <w:r w:rsidRPr="00E0662B">
        <w:rPr>
          <w:rFonts w:ascii="Times New Roman" w:eastAsia="Calibri" w:hAnsi="Times New Roman" w:cs="Times New Roman"/>
          <w:color w:val="000000"/>
          <w:sz w:val="24"/>
          <w:szCs w:val="24"/>
          <w:shd w:val="clear" w:color="auto" w:fill="FFFFFF"/>
          <w:lang w:val="en-US"/>
        </w:rPr>
        <w:t xml:space="preserve">OR = </w:t>
      </w:r>
      <w:r>
        <w:rPr>
          <w:rFonts w:ascii="Times New Roman" w:eastAsia="Calibri" w:hAnsi="Times New Roman" w:cs="Times New Roman"/>
          <w:color w:val="000000"/>
          <w:sz w:val="24"/>
          <w:szCs w:val="24"/>
          <w:shd w:val="clear" w:color="auto" w:fill="FFFFFF"/>
          <w:lang w:val="en-US"/>
        </w:rPr>
        <w:t>0.89</w:t>
      </w:r>
      <w:r w:rsidRPr="00D15A0C">
        <w:rPr>
          <w:rFonts w:ascii="Times New Roman" w:eastAsia="Calibri" w:hAnsi="Times New Roman" w:cs="Times New Roman"/>
          <w:color w:val="000000"/>
          <w:sz w:val="24"/>
          <w:szCs w:val="24"/>
          <w:shd w:val="clear" w:color="auto" w:fill="FFFFFF"/>
          <w:lang w:val="en-US"/>
        </w:rPr>
        <w:t xml:space="preserve">, 95% CI </w:t>
      </w:r>
      <w:r>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color w:val="000000"/>
          <w:sz w:val="24"/>
          <w:szCs w:val="24"/>
          <w:shd w:val="clear" w:color="auto" w:fill="FFFFFF"/>
          <w:lang w:val="en-US"/>
        </w:rPr>
        <w:t>[</w:t>
      </w:r>
      <w:r>
        <w:rPr>
          <w:rFonts w:ascii="Times New Roman" w:eastAsia="Calibri" w:hAnsi="Times New Roman" w:cs="Times New Roman"/>
          <w:color w:val="000000"/>
          <w:sz w:val="24"/>
          <w:szCs w:val="24"/>
          <w:shd w:val="clear" w:color="auto" w:fill="FFFFFF"/>
          <w:lang w:val="en-US"/>
        </w:rPr>
        <w:t>0.81, 0.98</w:t>
      </w:r>
      <w:r w:rsidRPr="00D15A0C">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i/>
          <w:color w:val="000000"/>
          <w:sz w:val="24"/>
          <w:szCs w:val="24"/>
          <w:shd w:val="clear" w:color="auto" w:fill="FFFFFF"/>
          <w:lang w:val="en-US"/>
        </w:rPr>
        <w:t>p</w:t>
      </w:r>
      <w:r>
        <w:rPr>
          <w:rFonts w:ascii="Times New Roman" w:eastAsia="Calibri" w:hAnsi="Times New Roman" w:cs="Times New Roman"/>
          <w:i/>
          <w:color w:val="000000"/>
          <w:sz w:val="24"/>
          <w:szCs w:val="24"/>
          <w:shd w:val="clear" w:color="auto" w:fill="FFFFFF"/>
          <w:lang w:val="en-US"/>
        </w:rPr>
        <w:t xml:space="preserve"> =</w:t>
      </w:r>
      <w:r w:rsidRPr="00D15A0C">
        <w:rPr>
          <w:rFonts w:ascii="Times New Roman" w:eastAsia="Calibri" w:hAnsi="Times New Roman" w:cs="Times New Roman"/>
          <w:color w:val="000000"/>
          <w:sz w:val="24"/>
          <w:szCs w:val="24"/>
          <w:shd w:val="clear" w:color="auto" w:fill="FFFFFF"/>
          <w:lang w:val="en-US"/>
        </w:rPr>
        <w:t xml:space="preserve"> .01</w:t>
      </w:r>
      <w:r>
        <w:rPr>
          <w:rFonts w:ascii="Times New Roman" w:eastAsia="Calibri" w:hAnsi="Times New Roman" w:cs="Times New Roman"/>
          <w:color w:val="000000"/>
          <w:sz w:val="24"/>
          <w:szCs w:val="24"/>
          <w:shd w:val="clear" w:color="auto" w:fill="FFFFFF"/>
          <w:lang w:val="en-US"/>
        </w:rPr>
        <w:t xml:space="preserve">5. Both conditions equally often confused </w:t>
      </w:r>
      <w:r w:rsidDel="00963D1B">
        <w:rPr>
          <w:rFonts w:ascii="Times New Roman" w:eastAsia="Calibri" w:hAnsi="Times New Roman" w:cs="Times New Roman"/>
          <w:color w:val="000000"/>
          <w:sz w:val="24"/>
          <w:szCs w:val="24"/>
          <w:shd w:val="clear" w:color="auto" w:fill="FFFFFF"/>
          <w:lang w:val="en-US"/>
        </w:rPr>
        <w:t xml:space="preserve">sentences' </w:t>
      </w:r>
      <w:r>
        <w:rPr>
          <w:rFonts w:ascii="Times New Roman" w:eastAsia="Calibri" w:hAnsi="Times New Roman" w:cs="Times New Roman"/>
          <w:color w:val="000000"/>
          <w:sz w:val="24"/>
          <w:szCs w:val="24"/>
          <w:shd w:val="clear" w:color="auto" w:fill="FFFFFF"/>
          <w:lang w:val="en-US"/>
        </w:rPr>
        <w:t>veracity</w:t>
      </w:r>
      <w:r w:rsidRPr="009D373F">
        <w:rPr>
          <w:rFonts w:ascii="Times New Roman" w:eastAsia="Calibri" w:hAnsi="Times New Roman" w:cs="Times New Roman"/>
          <w:color w:val="000000"/>
          <w:sz w:val="24"/>
          <w:szCs w:val="24"/>
          <w:shd w:val="clear" w:color="auto" w:fill="FFFFFF"/>
          <w:lang w:val="en-US"/>
        </w:rPr>
        <w:t xml:space="preserve"> </w:t>
      </w:r>
      <w:r w:rsidRPr="00E0662B">
        <w:rPr>
          <w:rFonts w:ascii="Times New Roman" w:eastAsia="Calibri" w:hAnsi="Times New Roman" w:cs="Times New Roman"/>
          <w:color w:val="000000"/>
          <w:sz w:val="24"/>
          <w:szCs w:val="24"/>
          <w:shd w:val="clear" w:color="auto" w:fill="FFFFFF"/>
          <w:lang w:val="en-US"/>
        </w:rPr>
        <w:t xml:space="preserve">OR = </w:t>
      </w:r>
      <w:r>
        <w:rPr>
          <w:rFonts w:ascii="Times New Roman" w:eastAsia="Calibri" w:hAnsi="Times New Roman" w:cs="Times New Roman"/>
          <w:color w:val="000000"/>
          <w:sz w:val="24"/>
          <w:szCs w:val="24"/>
          <w:shd w:val="clear" w:color="auto" w:fill="FFFFFF"/>
          <w:lang w:val="en-US"/>
        </w:rPr>
        <w:t>1.16</w:t>
      </w:r>
      <w:r w:rsidRPr="00D15A0C">
        <w:rPr>
          <w:rFonts w:ascii="Times New Roman" w:eastAsia="Calibri" w:hAnsi="Times New Roman" w:cs="Times New Roman"/>
          <w:color w:val="000000"/>
          <w:sz w:val="24"/>
          <w:szCs w:val="24"/>
          <w:shd w:val="clear" w:color="auto" w:fill="FFFFFF"/>
          <w:lang w:val="en-US"/>
        </w:rPr>
        <w:t xml:space="preserve">, 95% CI </w:t>
      </w:r>
      <w:r>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color w:val="000000"/>
          <w:sz w:val="24"/>
          <w:szCs w:val="24"/>
          <w:shd w:val="clear" w:color="auto" w:fill="FFFFFF"/>
          <w:lang w:val="en-US"/>
        </w:rPr>
        <w:t>[</w:t>
      </w:r>
      <w:r>
        <w:rPr>
          <w:rFonts w:ascii="Times New Roman" w:eastAsia="Calibri" w:hAnsi="Times New Roman" w:cs="Times New Roman"/>
          <w:color w:val="000000"/>
          <w:sz w:val="24"/>
          <w:szCs w:val="24"/>
          <w:shd w:val="clear" w:color="auto" w:fill="FFFFFF"/>
          <w:lang w:val="en-US"/>
        </w:rPr>
        <w:t>0.99, 1.13</w:t>
      </w:r>
      <w:r w:rsidRPr="00D15A0C">
        <w:rPr>
          <w:rFonts w:ascii="Times New Roman" w:eastAsia="Calibri" w:hAnsi="Times New Roman" w:cs="Times New Roman"/>
          <w:color w:val="000000"/>
          <w:sz w:val="24"/>
          <w:szCs w:val="24"/>
          <w:shd w:val="clear" w:color="auto" w:fill="FFFFFF"/>
          <w:lang w:val="en-US"/>
        </w:rPr>
        <w:t xml:space="preserve">], </w:t>
      </w:r>
      <w:r w:rsidRPr="00D15A0C">
        <w:rPr>
          <w:rFonts w:ascii="Times New Roman" w:eastAsia="Calibri" w:hAnsi="Times New Roman" w:cs="Times New Roman"/>
          <w:i/>
          <w:color w:val="000000"/>
          <w:sz w:val="24"/>
          <w:szCs w:val="24"/>
          <w:shd w:val="clear" w:color="auto" w:fill="FFFFFF"/>
          <w:lang w:val="en-US"/>
        </w:rPr>
        <w:t>p</w:t>
      </w:r>
      <w:r w:rsidRPr="00D15A0C">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color w:val="000000"/>
          <w:sz w:val="24"/>
          <w:szCs w:val="24"/>
          <w:shd w:val="clear" w:color="auto" w:fill="FFFFFF"/>
          <w:lang w:val="en-US"/>
        </w:rPr>
        <w:t>=</w:t>
      </w:r>
      <w:r w:rsidRPr="00D15A0C">
        <w:rPr>
          <w:rFonts w:ascii="Times New Roman" w:eastAsia="Calibri" w:hAnsi="Times New Roman" w:cs="Times New Roman"/>
          <w:color w:val="000000"/>
          <w:sz w:val="24"/>
          <w:szCs w:val="24"/>
          <w:shd w:val="clear" w:color="auto" w:fill="FFFFFF"/>
          <w:lang w:val="en-US"/>
        </w:rPr>
        <w:t xml:space="preserve"> .0</w:t>
      </w:r>
      <w:r>
        <w:rPr>
          <w:rFonts w:ascii="Times New Roman" w:eastAsia="Calibri" w:hAnsi="Times New Roman" w:cs="Times New Roman"/>
          <w:color w:val="000000"/>
          <w:sz w:val="24"/>
          <w:szCs w:val="24"/>
          <w:shd w:val="clear" w:color="auto" w:fill="FFFFFF"/>
          <w:lang w:val="en-US"/>
        </w:rPr>
        <w:t>61. Thus, the increased difficulty to discriminate true</w:t>
      </w:r>
      <w:r w:rsidR="00EA5471">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and false</w:t>
      </w:r>
      <w:r w:rsidR="00EA5471">
        <w:rPr>
          <w:rFonts w:ascii="Times New Roman" w:eastAsia="Calibri" w:hAnsi="Times New Roman" w:cs="Times New Roman"/>
          <w:color w:val="000000"/>
          <w:sz w:val="24"/>
          <w:szCs w:val="24"/>
          <w:shd w:val="clear" w:color="auto" w:fill="FFFFFF"/>
          <w:lang w:val="en-US"/>
        </w:rPr>
        <w:t>-labeled</w:t>
      </w:r>
      <w:r>
        <w:rPr>
          <w:rFonts w:ascii="Times New Roman" w:eastAsia="Calibri" w:hAnsi="Times New Roman" w:cs="Times New Roman"/>
          <w:color w:val="000000"/>
          <w:sz w:val="24"/>
          <w:szCs w:val="24"/>
          <w:shd w:val="clear" w:color="auto" w:fill="FFFFFF"/>
          <w:lang w:val="en-US"/>
        </w:rPr>
        <w:t xml:space="preserve"> sentences affected the general memory performance but did not result in a higher confusion rate of the veracity </w:t>
      </w:r>
      <w:r w:rsidR="00EA5471">
        <w:rPr>
          <w:rFonts w:ascii="Times New Roman" w:eastAsia="Calibri" w:hAnsi="Times New Roman" w:cs="Times New Roman"/>
          <w:color w:val="000000"/>
          <w:sz w:val="24"/>
          <w:szCs w:val="24"/>
          <w:shd w:val="clear" w:color="auto" w:fill="FFFFFF"/>
          <w:lang w:val="en-US"/>
        </w:rPr>
        <w:t>cue</w:t>
      </w:r>
      <w:r>
        <w:rPr>
          <w:rFonts w:ascii="Times New Roman" w:eastAsia="Calibri" w:hAnsi="Times New Roman" w:cs="Times New Roman"/>
          <w:color w:val="000000"/>
          <w:sz w:val="24"/>
          <w:szCs w:val="24"/>
          <w:shd w:val="clear" w:color="auto" w:fill="FFFFFF"/>
          <w:lang w:val="en-US"/>
        </w:rPr>
        <w:t xml:space="preserve">. </w:t>
      </w:r>
      <w:r>
        <w:rPr>
          <w:rFonts w:ascii="Times New Roman" w:eastAsia="Calibri" w:hAnsi="Times New Roman" w:cs="Times New Roman"/>
          <w:b/>
          <w:color w:val="000000"/>
          <w:sz w:val="24"/>
          <w:szCs w:val="24"/>
          <w:highlight w:val="white"/>
          <w:lang w:val="en-US"/>
        </w:rPr>
        <w:br w:type="page"/>
      </w:r>
    </w:p>
    <w:p w14:paraId="7484382E" w14:textId="07B1A4A9" w:rsidR="172E7790" w:rsidRDefault="172E7790" w:rsidP="03C1BF83">
      <w:pPr>
        <w:spacing w:after="0" w:line="240" w:lineRule="auto"/>
        <w:rPr>
          <w:rFonts w:ascii="Times New Roman" w:eastAsia="Calibri" w:hAnsi="Times New Roman" w:cs="Times New Roman"/>
          <w:color w:val="000000" w:themeColor="text1"/>
          <w:sz w:val="24"/>
          <w:szCs w:val="24"/>
          <w:highlight w:val="white"/>
          <w:lang w:val="en-US"/>
        </w:rPr>
      </w:pPr>
      <w:r w:rsidRPr="03C1BF83">
        <w:rPr>
          <w:rFonts w:ascii="Times New Roman" w:eastAsia="Calibri" w:hAnsi="Times New Roman" w:cs="Times New Roman"/>
          <w:b/>
          <w:bCs/>
          <w:color w:val="000000" w:themeColor="text1"/>
          <w:sz w:val="24"/>
          <w:szCs w:val="24"/>
          <w:highlight w:val="white"/>
          <w:lang w:val="en-US"/>
        </w:rPr>
        <w:lastRenderedPageBreak/>
        <w:t>Table S1.</w:t>
      </w:r>
    </w:p>
    <w:p w14:paraId="438528A5" w14:textId="77777777" w:rsidR="03C1BF83" w:rsidRDefault="03C1BF83" w:rsidP="03C1BF83">
      <w:pPr>
        <w:spacing w:after="0" w:line="240" w:lineRule="auto"/>
        <w:rPr>
          <w:rFonts w:ascii="Times New Roman" w:eastAsia="Calibri" w:hAnsi="Times New Roman" w:cs="Times New Roman"/>
          <w:color w:val="000000" w:themeColor="text1"/>
          <w:sz w:val="24"/>
          <w:szCs w:val="24"/>
          <w:highlight w:val="white"/>
          <w:lang w:val="en-US"/>
        </w:rPr>
      </w:pPr>
    </w:p>
    <w:p w14:paraId="5C8FE35D" w14:textId="77777777" w:rsidR="172E7790" w:rsidRDefault="172E7790" w:rsidP="03C1BF83">
      <w:pPr>
        <w:spacing w:after="0" w:line="240" w:lineRule="auto"/>
        <w:rPr>
          <w:rFonts w:ascii="Times New Roman" w:eastAsia="Calibri" w:hAnsi="Times New Roman" w:cs="Times New Roman"/>
          <w:i/>
          <w:iCs/>
          <w:color w:val="000000" w:themeColor="text1"/>
          <w:sz w:val="24"/>
          <w:szCs w:val="24"/>
          <w:lang w:val="en-US"/>
        </w:rPr>
      </w:pPr>
      <w:r w:rsidRPr="03C1BF83">
        <w:rPr>
          <w:rFonts w:ascii="Times New Roman" w:eastAsia="Calibri" w:hAnsi="Times New Roman" w:cs="Times New Roman"/>
          <w:i/>
          <w:iCs/>
          <w:color w:val="000000" w:themeColor="text1"/>
          <w:sz w:val="24"/>
          <w:szCs w:val="24"/>
          <w:highlight w:val="white"/>
          <w:lang w:val="en-US"/>
        </w:rPr>
        <w:t>Results of the Generalized Linear Model fitted to Study 2: Veracity Memory.</w:t>
      </w:r>
    </w:p>
    <w:p w14:paraId="053706D2" w14:textId="499D72FB" w:rsidR="03C1BF83" w:rsidRDefault="03C1BF83" w:rsidP="03C1BF83">
      <w:pPr>
        <w:spacing w:after="0" w:line="240" w:lineRule="auto"/>
        <w:rPr>
          <w:rFonts w:ascii="Times New Roman" w:eastAsia="Calibri" w:hAnsi="Times New Roman" w:cs="Times New Roman"/>
          <w:b/>
          <w:bCs/>
          <w:color w:val="000000" w:themeColor="text1"/>
          <w:sz w:val="24"/>
          <w:szCs w:val="24"/>
          <w:lang w:val="en-US"/>
        </w:rPr>
      </w:pPr>
    </w:p>
    <w:tbl>
      <w:tblPr>
        <w:tblStyle w:val="Tabellenraster"/>
        <w:tblpPr w:leftFromText="141" w:rightFromText="141" w:vertAnchor="page" w:horzAnchor="margin" w:tblpY="3015"/>
        <w:tblW w:w="9406" w:type="dxa"/>
        <w:tblLayout w:type="fixed"/>
        <w:tblLook w:val="04A0" w:firstRow="1" w:lastRow="0" w:firstColumn="1" w:lastColumn="0" w:noHBand="0" w:noVBand="1"/>
      </w:tblPr>
      <w:tblGrid>
        <w:gridCol w:w="1950"/>
        <w:gridCol w:w="1189"/>
        <w:gridCol w:w="1187"/>
        <w:gridCol w:w="1430"/>
        <w:gridCol w:w="1474"/>
        <w:gridCol w:w="1189"/>
        <w:gridCol w:w="987"/>
      </w:tblGrid>
      <w:tr w:rsidR="000A765C" w:rsidRPr="00CC69B2" w14:paraId="5A923E4C" w14:textId="77777777" w:rsidTr="03C1BF83">
        <w:trPr>
          <w:trHeight w:val="561"/>
        </w:trPr>
        <w:tc>
          <w:tcPr>
            <w:tcW w:w="1950" w:type="dxa"/>
            <w:tcBorders>
              <w:top w:val="single" w:sz="4" w:space="0" w:color="auto"/>
              <w:left w:val="nil"/>
              <w:bottom w:val="single" w:sz="4" w:space="0" w:color="auto"/>
              <w:right w:val="nil"/>
            </w:tcBorders>
            <w:vAlign w:val="center"/>
          </w:tcPr>
          <w:p w14:paraId="5464C568"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r w:rsidRPr="00CC69B2">
              <w:rPr>
                <w:rFonts w:eastAsia="Calibri" w:cstheme="minorHAnsi"/>
                <w:b/>
                <w:bCs/>
                <w:color w:val="000000"/>
                <w:sz w:val="18"/>
                <w:szCs w:val="18"/>
                <w:shd w:val="clear" w:color="auto" w:fill="FFFFFF"/>
                <w:lang w:val="en-US"/>
              </w:rPr>
              <w:t>Predictor</w:t>
            </w:r>
          </w:p>
        </w:tc>
        <w:tc>
          <w:tcPr>
            <w:tcW w:w="1189" w:type="dxa"/>
            <w:tcBorders>
              <w:top w:val="single" w:sz="4" w:space="0" w:color="auto"/>
              <w:left w:val="nil"/>
              <w:bottom w:val="single" w:sz="4" w:space="0" w:color="auto"/>
              <w:right w:val="nil"/>
            </w:tcBorders>
            <w:vAlign w:val="center"/>
          </w:tcPr>
          <w:p w14:paraId="38F61B12"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r w:rsidRPr="00CC69B2">
              <w:rPr>
                <w:rFonts w:eastAsia="Calibri" w:cstheme="minorHAnsi"/>
                <w:b/>
                <w:bCs/>
                <w:color w:val="000000"/>
                <w:sz w:val="18"/>
                <w:szCs w:val="18"/>
                <w:shd w:val="clear" w:color="auto" w:fill="FFFFFF"/>
                <w:lang w:val="en-US"/>
              </w:rPr>
              <w:t>Odds ratio</w:t>
            </w:r>
          </w:p>
        </w:tc>
        <w:tc>
          <w:tcPr>
            <w:tcW w:w="1187" w:type="dxa"/>
            <w:tcBorders>
              <w:top w:val="single" w:sz="4" w:space="0" w:color="auto"/>
              <w:left w:val="nil"/>
              <w:bottom w:val="single" w:sz="4" w:space="0" w:color="auto"/>
              <w:right w:val="nil"/>
            </w:tcBorders>
            <w:vAlign w:val="center"/>
          </w:tcPr>
          <w:p w14:paraId="547957C8"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r w:rsidRPr="00CC69B2">
              <w:rPr>
                <w:rFonts w:eastAsia="Calibri" w:cstheme="minorHAnsi"/>
                <w:b/>
                <w:bCs/>
                <w:color w:val="000000"/>
                <w:sz w:val="18"/>
                <w:szCs w:val="18"/>
                <w:shd w:val="clear" w:color="auto" w:fill="FFFFFF"/>
                <w:lang w:val="en-US"/>
              </w:rPr>
              <w:t>β</w:t>
            </w:r>
          </w:p>
        </w:tc>
        <w:tc>
          <w:tcPr>
            <w:tcW w:w="1430" w:type="dxa"/>
            <w:tcBorders>
              <w:top w:val="single" w:sz="4" w:space="0" w:color="auto"/>
              <w:left w:val="nil"/>
              <w:bottom w:val="single" w:sz="4" w:space="0" w:color="auto"/>
              <w:right w:val="nil"/>
            </w:tcBorders>
            <w:vAlign w:val="center"/>
          </w:tcPr>
          <w:p w14:paraId="4E29701E"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r w:rsidRPr="00CC69B2">
              <w:rPr>
                <w:rFonts w:eastAsia="Calibri" w:cstheme="minorHAnsi"/>
                <w:b/>
                <w:bCs/>
                <w:color w:val="000000"/>
                <w:sz w:val="18"/>
                <w:szCs w:val="18"/>
                <w:shd w:val="clear" w:color="auto" w:fill="FFFFFF"/>
                <w:lang w:val="en-US"/>
              </w:rPr>
              <w:t>95% CI</w:t>
            </w:r>
          </w:p>
        </w:tc>
        <w:tc>
          <w:tcPr>
            <w:tcW w:w="1474" w:type="dxa"/>
            <w:tcBorders>
              <w:top w:val="single" w:sz="4" w:space="0" w:color="auto"/>
              <w:left w:val="nil"/>
              <w:bottom w:val="single" w:sz="4" w:space="0" w:color="auto"/>
              <w:right w:val="nil"/>
            </w:tcBorders>
            <w:vAlign w:val="center"/>
          </w:tcPr>
          <w:p w14:paraId="26BF0E49"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r w:rsidRPr="00CC69B2">
              <w:rPr>
                <w:rFonts w:eastAsia="Calibri" w:cstheme="minorHAnsi"/>
                <w:b/>
                <w:bCs/>
                <w:color w:val="000000"/>
                <w:sz w:val="18"/>
                <w:szCs w:val="18"/>
                <w:shd w:val="clear" w:color="auto" w:fill="FFFFFF"/>
                <w:lang w:val="en-US"/>
              </w:rPr>
              <w:t>Standardized CI</w:t>
            </w:r>
          </w:p>
        </w:tc>
        <w:tc>
          <w:tcPr>
            <w:tcW w:w="1189" w:type="dxa"/>
            <w:tcBorders>
              <w:top w:val="single" w:sz="4" w:space="0" w:color="auto"/>
              <w:left w:val="nil"/>
              <w:bottom w:val="single" w:sz="4" w:space="0" w:color="auto"/>
              <w:right w:val="nil"/>
            </w:tcBorders>
            <w:vAlign w:val="center"/>
          </w:tcPr>
          <w:p w14:paraId="0A93C2C4" w14:textId="77777777" w:rsidR="000A765C" w:rsidRPr="00CC69B2" w:rsidRDefault="000A765C" w:rsidP="00F40C0E">
            <w:pPr>
              <w:jc w:val="center"/>
              <w:textAlignment w:val="baseline"/>
              <w:rPr>
                <w:rFonts w:eastAsia="Calibri" w:cstheme="minorHAnsi"/>
                <w:b/>
                <w:bCs/>
                <w:i/>
                <w:iCs/>
                <w:color w:val="000000"/>
                <w:sz w:val="18"/>
                <w:szCs w:val="18"/>
                <w:shd w:val="clear" w:color="auto" w:fill="FFFFFF"/>
                <w:lang w:val="en-US"/>
              </w:rPr>
            </w:pPr>
            <w:r w:rsidRPr="00CC69B2">
              <w:rPr>
                <w:rFonts w:eastAsia="Calibri" w:cstheme="minorHAnsi"/>
                <w:b/>
                <w:bCs/>
                <w:i/>
                <w:iCs/>
                <w:color w:val="000000"/>
                <w:sz w:val="18"/>
                <w:szCs w:val="18"/>
                <w:shd w:val="clear" w:color="auto" w:fill="FFFFFF"/>
                <w:lang w:val="en-US"/>
              </w:rPr>
              <w:t>z</w:t>
            </w:r>
          </w:p>
        </w:tc>
        <w:tc>
          <w:tcPr>
            <w:tcW w:w="987" w:type="dxa"/>
            <w:tcBorders>
              <w:top w:val="single" w:sz="4" w:space="0" w:color="auto"/>
              <w:left w:val="nil"/>
              <w:bottom w:val="single" w:sz="4" w:space="0" w:color="auto"/>
              <w:right w:val="nil"/>
            </w:tcBorders>
            <w:vAlign w:val="center"/>
          </w:tcPr>
          <w:p w14:paraId="61A38E2D" w14:textId="77777777" w:rsidR="000A765C" w:rsidRPr="00CC69B2" w:rsidRDefault="000A765C" w:rsidP="00F40C0E">
            <w:pPr>
              <w:jc w:val="center"/>
              <w:textAlignment w:val="baseline"/>
              <w:rPr>
                <w:rFonts w:eastAsia="Calibri" w:cstheme="minorHAnsi"/>
                <w:b/>
                <w:bCs/>
                <w:i/>
                <w:iCs/>
                <w:color w:val="000000"/>
                <w:sz w:val="18"/>
                <w:szCs w:val="18"/>
                <w:shd w:val="clear" w:color="auto" w:fill="FFFFFF"/>
                <w:lang w:val="en-US"/>
              </w:rPr>
            </w:pPr>
            <w:r w:rsidRPr="00CC69B2">
              <w:rPr>
                <w:rFonts w:eastAsia="Calibri" w:cstheme="minorHAnsi"/>
                <w:b/>
                <w:bCs/>
                <w:i/>
                <w:iCs/>
                <w:color w:val="000000"/>
                <w:sz w:val="18"/>
                <w:szCs w:val="18"/>
                <w:shd w:val="clear" w:color="auto" w:fill="FFFFFF"/>
                <w:lang w:val="en-US"/>
              </w:rPr>
              <w:t>p</w:t>
            </w:r>
          </w:p>
        </w:tc>
      </w:tr>
      <w:tr w:rsidR="000A765C" w:rsidRPr="00CC69B2" w14:paraId="0FA74F26" w14:textId="77777777" w:rsidTr="03C1BF83">
        <w:trPr>
          <w:trHeight w:val="381"/>
        </w:trPr>
        <w:tc>
          <w:tcPr>
            <w:tcW w:w="1950" w:type="dxa"/>
            <w:tcBorders>
              <w:top w:val="single" w:sz="4" w:space="0" w:color="auto"/>
              <w:left w:val="nil"/>
              <w:bottom w:val="nil"/>
              <w:right w:val="nil"/>
            </w:tcBorders>
            <w:vAlign w:val="center"/>
          </w:tcPr>
          <w:p w14:paraId="376CBD4E" w14:textId="77777777" w:rsidR="000A765C" w:rsidRPr="00CC69B2" w:rsidRDefault="000A765C" w:rsidP="00F40C0E">
            <w:pPr>
              <w:textAlignment w:val="baseline"/>
              <w:rPr>
                <w:rFonts w:eastAsia="Calibri" w:cstheme="minorHAnsi"/>
                <w:b/>
                <w:bCs/>
                <w:color w:val="000000"/>
                <w:sz w:val="18"/>
                <w:szCs w:val="18"/>
                <w:shd w:val="clear" w:color="auto" w:fill="FFFFFF"/>
                <w:lang w:val="en-US"/>
              </w:rPr>
            </w:pPr>
            <w:r>
              <w:rPr>
                <w:rFonts w:eastAsia="Calibri" w:cstheme="minorHAnsi"/>
                <w:b/>
                <w:bCs/>
                <w:color w:val="000000"/>
                <w:sz w:val="18"/>
                <w:szCs w:val="18"/>
                <w:shd w:val="clear" w:color="auto" w:fill="FFFFFF"/>
                <w:lang w:val="en-US"/>
              </w:rPr>
              <w:t>Fixed effects</w:t>
            </w:r>
          </w:p>
        </w:tc>
        <w:tc>
          <w:tcPr>
            <w:tcW w:w="1189" w:type="dxa"/>
            <w:tcBorders>
              <w:top w:val="single" w:sz="4" w:space="0" w:color="auto"/>
              <w:left w:val="nil"/>
              <w:bottom w:val="nil"/>
              <w:right w:val="nil"/>
            </w:tcBorders>
            <w:vAlign w:val="center"/>
          </w:tcPr>
          <w:p w14:paraId="61A72F0D"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p>
        </w:tc>
        <w:tc>
          <w:tcPr>
            <w:tcW w:w="1187" w:type="dxa"/>
            <w:tcBorders>
              <w:top w:val="single" w:sz="4" w:space="0" w:color="auto"/>
              <w:left w:val="nil"/>
              <w:bottom w:val="nil"/>
              <w:right w:val="nil"/>
            </w:tcBorders>
            <w:vAlign w:val="center"/>
          </w:tcPr>
          <w:p w14:paraId="65C4FE21"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p>
        </w:tc>
        <w:tc>
          <w:tcPr>
            <w:tcW w:w="1430" w:type="dxa"/>
            <w:tcBorders>
              <w:top w:val="single" w:sz="4" w:space="0" w:color="auto"/>
              <w:left w:val="nil"/>
              <w:bottom w:val="nil"/>
              <w:right w:val="nil"/>
            </w:tcBorders>
            <w:vAlign w:val="center"/>
          </w:tcPr>
          <w:p w14:paraId="51563438"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p>
        </w:tc>
        <w:tc>
          <w:tcPr>
            <w:tcW w:w="1474" w:type="dxa"/>
            <w:tcBorders>
              <w:top w:val="single" w:sz="4" w:space="0" w:color="auto"/>
              <w:left w:val="nil"/>
              <w:bottom w:val="nil"/>
              <w:right w:val="nil"/>
            </w:tcBorders>
            <w:vAlign w:val="center"/>
          </w:tcPr>
          <w:p w14:paraId="731E2853" w14:textId="77777777" w:rsidR="000A765C" w:rsidRPr="00CC69B2" w:rsidRDefault="000A765C" w:rsidP="00F40C0E">
            <w:pPr>
              <w:jc w:val="center"/>
              <w:textAlignment w:val="baseline"/>
              <w:rPr>
                <w:rFonts w:eastAsia="Calibri" w:cstheme="minorHAnsi"/>
                <w:b/>
                <w:bCs/>
                <w:color w:val="000000"/>
                <w:sz w:val="18"/>
                <w:szCs w:val="18"/>
                <w:shd w:val="clear" w:color="auto" w:fill="FFFFFF"/>
                <w:lang w:val="en-US"/>
              </w:rPr>
            </w:pPr>
          </w:p>
        </w:tc>
        <w:tc>
          <w:tcPr>
            <w:tcW w:w="1189" w:type="dxa"/>
            <w:tcBorders>
              <w:top w:val="single" w:sz="4" w:space="0" w:color="auto"/>
              <w:left w:val="nil"/>
              <w:bottom w:val="nil"/>
              <w:right w:val="nil"/>
            </w:tcBorders>
            <w:vAlign w:val="center"/>
          </w:tcPr>
          <w:p w14:paraId="66FDEC24" w14:textId="77777777" w:rsidR="000A765C" w:rsidRPr="00CC69B2" w:rsidRDefault="000A765C" w:rsidP="00F40C0E">
            <w:pPr>
              <w:jc w:val="center"/>
              <w:textAlignment w:val="baseline"/>
              <w:rPr>
                <w:rFonts w:eastAsia="Calibri" w:cstheme="minorHAnsi"/>
                <w:b/>
                <w:bCs/>
                <w:i/>
                <w:iCs/>
                <w:color w:val="000000"/>
                <w:sz w:val="18"/>
                <w:szCs w:val="18"/>
                <w:shd w:val="clear" w:color="auto" w:fill="FFFFFF"/>
                <w:lang w:val="en-US"/>
              </w:rPr>
            </w:pPr>
          </w:p>
        </w:tc>
        <w:tc>
          <w:tcPr>
            <w:tcW w:w="987" w:type="dxa"/>
            <w:tcBorders>
              <w:top w:val="single" w:sz="4" w:space="0" w:color="auto"/>
              <w:left w:val="nil"/>
              <w:bottom w:val="nil"/>
              <w:right w:val="nil"/>
            </w:tcBorders>
            <w:vAlign w:val="center"/>
          </w:tcPr>
          <w:p w14:paraId="365901D0" w14:textId="77777777" w:rsidR="000A765C" w:rsidRPr="00CC69B2" w:rsidRDefault="000A765C" w:rsidP="00F40C0E">
            <w:pPr>
              <w:jc w:val="center"/>
              <w:textAlignment w:val="baseline"/>
              <w:rPr>
                <w:rFonts w:eastAsia="Calibri" w:cstheme="minorHAnsi"/>
                <w:b/>
                <w:bCs/>
                <w:i/>
                <w:iCs/>
                <w:color w:val="000000"/>
                <w:sz w:val="18"/>
                <w:szCs w:val="18"/>
                <w:shd w:val="clear" w:color="auto" w:fill="FFFFFF"/>
                <w:lang w:val="en-US"/>
              </w:rPr>
            </w:pPr>
          </w:p>
        </w:tc>
      </w:tr>
      <w:tr w:rsidR="000A765C" w:rsidRPr="00CC69B2" w14:paraId="4183B487" w14:textId="77777777" w:rsidTr="03C1BF83">
        <w:trPr>
          <w:trHeight w:val="436"/>
        </w:trPr>
        <w:tc>
          <w:tcPr>
            <w:tcW w:w="1950" w:type="dxa"/>
            <w:tcBorders>
              <w:top w:val="nil"/>
              <w:left w:val="nil"/>
              <w:bottom w:val="nil"/>
              <w:right w:val="nil"/>
            </w:tcBorders>
            <w:vAlign w:val="center"/>
          </w:tcPr>
          <w:p w14:paraId="20941C54" w14:textId="77777777" w:rsidR="000A765C" w:rsidRPr="00CC69B2" w:rsidRDefault="000A765C" w:rsidP="00F40C0E">
            <w:pPr>
              <w:textAlignment w:val="baseline"/>
              <w:rPr>
                <w:rFonts w:eastAsia="Calibri" w:cstheme="minorHAnsi"/>
                <w:color w:val="000000"/>
                <w:sz w:val="18"/>
                <w:szCs w:val="18"/>
                <w:shd w:val="clear" w:color="auto" w:fill="FFFFFF"/>
                <w:lang w:val="en-US"/>
              </w:rPr>
            </w:pPr>
            <w:r>
              <w:t>(</w:t>
            </w:r>
            <w:proofErr w:type="spellStart"/>
            <w:r>
              <w:t>Intercept</w:t>
            </w:r>
            <w:proofErr w:type="spellEnd"/>
            <w:r>
              <w:t>)</w:t>
            </w:r>
          </w:p>
        </w:tc>
        <w:tc>
          <w:tcPr>
            <w:tcW w:w="1189" w:type="dxa"/>
            <w:tcBorders>
              <w:top w:val="nil"/>
              <w:left w:val="nil"/>
              <w:bottom w:val="nil"/>
              <w:right w:val="nil"/>
            </w:tcBorders>
            <w:vAlign w:val="center"/>
          </w:tcPr>
          <w:p w14:paraId="6D0F8CD8"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2.12</w:t>
            </w:r>
          </w:p>
        </w:tc>
        <w:tc>
          <w:tcPr>
            <w:tcW w:w="1187" w:type="dxa"/>
            <w:tcBorders>
              <w:top w:val="nil"/>
              <w:left w:val="nil"/>
              <w:bottom w:val="nil"/>
              <w:right w:val="nil"/>
            </w:tcBorders>
            <w:vAlign w:val="center"/>
          </w:tcPr>
          <w:p w14:paraId="089B1B8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2.12</w:t>
            </w:r>
          </w:p>
        </w:tc>
        <w:tc>
          <w:tcPr>
            <w:tcW w:w="1430" w:type="dxa"/>
            <w:tcBorders>
              <w:top w:val="nil"/>
              <w:left w:val="nil"/>
              <w:bottom w:val="nil"/>
              <w:right w:val="nil"/>
            </w:tcBorders>
            <w:vAlign w:val="center"/>
          </w:tcPr>
          <w:p w14:paraId="417AE008"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1.98 – 2.27</w:t>
            </w:r>
          </w:p>
        </w:tc>
        <w:tc>
          <w:tcPr>
            <w:tcW w:w="1474" w:type="dxa"/>
            <w:tcBorders>
              <w:top w:val="nil"/>
              <w:left w:val="nil"/>
              <w:bottom w:val="nil"/>
              <w:right w:val="nil"/>
            </w:tcBorders>
            <w:vAlign w:val="center"/>
          </w:tcPr>
          <w:p w14:paraId="21F16747"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1.98 – 2.27</w:t>
            </w:r>
          </w:p>
        </w:tc>
        <w:tc>
          <w:tcPr>
            <w:tcW w:w="1189" w:type="dxa"/>
            <w:tcBorders>
              <w:top w:val="nil"/>
              <w:left w:val="nil"/>
              <w:bottom w:val="nil"/>
              <w:right w:val="nil"/>
            </w:tcBorders>
            <w:vAlign w:val="center"/>
          </w:tcPr>
          <w:p w14:paraId="4513D680"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21.43</w:t>
            </w:r>
          </w:p>
        </w:tc>
        <w:tc>
          <w:tcPr>
            <w:tcW w:w="987" w:type="dxa"/>
            <w:tcBorders>
              <w:top w:val="nil"/>
              <w:left w:val="nil"/>
              <w:bottom w:val="nil"/>
              <w:right w:val="nil"/>
            </w:tcBorders>
            <w:vAlign w:val="center"/>
          </w:tcPr>
          <w:p w14:paraId="2518BFD2"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Style w:val="Fett"/>
              </w:rPr>
              <w:t>&lt;0.001</w:t>
            </w:r>
          </w:p>
        </w:tc>
      </w:tr>
      <w:tr w:rsidR="000A765C" w:rsidRPr="00CC69B2" w14:paraId="3FAB9AB4" w14:textId="77777777" w:rsidTr="03C1BF83">
        <w:trPr>
          <w:trHeight w:val="544"/>
        </w:trPr>
        <w:tc>
          <w:tcPr>
            <w:tcW w:w="1950" w:type="dxa"/>
            <w:tcBorders>
              <w:top w:val="nil"/>
              <w:left w:val="nil"/>
              <w:bottom w:val="nil"/>
              <w:right w:val="nil"/>
            </w:tcBorders>
            <w:vAlign w:val="center"/>
          </w:tcPr>
          <w:p w14:paraId="74B185B1" w14:textId="77777777" w:rsidR="000A765C" w:rsidRPr="00CC69B2" w:rsidRDefault="000A765C" w:rsidP="00F40C0E">
            <w:pPr>
              <w:textAlignment w:val="baseline"/>
              <w:rPr>
                <w:rFonts w:eastAsia="Calibri" w:cstheme="minorHAnsi"/>
                <w:color w:val="000000"/>
                <w:sz w:val="18"/>
                <w:szCs w:val="18"/>
                <w:shd w:val="clear" w:color="auto" w:fill="FFFFFF"/>
                <w:lang w:val="en-US"/>
              </w:rPr>
            </w:pPr>
            <w:r>
              <w:t>Classification</w:t>
            </w:r>
            <w:r>
              <w:br/>
              <w:t>[</w:t>
            </w:r>
            <w:proofErr w:type="spellStart"/>
            <w:r>
              <w:t>confused</w:t>
            </w:r>
            <w:proofErr w:type="spellEnd"/>
            <w:r>
              <w:t>]</w:t>
            </w:r>
          </w:p>
        </w:tc>
        <w:tc>
          <w:tcPr>
            <w:tcW w:w="1189" w:type="dxa"/>
            <w:tcBorders>
              <w:top w:val="nil"/>
              <w:left w:val="nil"/>
              <w:bottom w:val="nil"/>
              <w:right w:val="nil"/>
            </w:tcBorders>
            <w:vAlign w:val="center"/>
          </w:tcPr>
          <w:p w14:paraId="5962D1A8"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0.09</w:t>
            </w:r>
          </w:p>
        </w:tc>
        <w:tc>
          <w:tcPr>
            <w:tcW w:w="1187" w:type="dxa"/>
            <w:tcBorders>
              <w:top w:val="nil"/>
              <w:left w:val="nil"/>
              <w:bottom w:val="nil"/>
              <w:right w:val="nil"/>
            </w:tcBorders>
            <w:vAlign w:val="center"/>
          </w:tcPr>
          <w:p w14:paraId="3F120BB3"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0.09</w:t>
            </w:r>
          </w:p>
        </w:tc>
        <w:tc>
          <w:tcPr>
            <w:tcW w:w="1430" w:type="dxa"/>
            <w:tcBorders>
              <w:top w:val="nil"/>
              <w:left w:val="nil"/>
              <w:bottom w:val="nil"/>
              <w:right w:val="nil"/>
            </w:tcBorders>
            <w:vAlign w:val="center"/>
          </w:tcPr>
          <w:p w14:paraId="32579A8F"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0.08 – 0.10</w:t>
            </w:r>
          </w:p>
        </w:tc>
        <w:tc>
          <w:tcPr>
            <w:tcW w:w="1474" w:type="dxa"/>
            <w:tcBorders>
              <w:top w:val="nil"/>
              <w:left w:val="nil"/>
              <w:bottom w:val="nil"/>
              <w:right w:val="nil"/>
            </w:tcBorders>
            <w:vAlign w:val="center"/>
          </w:tcPr>
          <w:p w14:paraId="65D1333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0.08 – 0.10</w:t>
            </w:r>
          </w:p>
        </w:tc>
        <w:tc>
          <w:tcPr>
            <w:tcW w:w="1189" w:type="dxa"/>
            <w:tcBorders>
              <w:top w:val="nil"/>
              <w:left w:val="nil"/>
              <w:bottom w:val="nil"/>
              <w:right w:val="nil"/>
            </w:tcBorders>
            <w:vAlign w:val="center"/>
          </w:tcPr>
          <w:p w14:paraId="25A5D770"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-42.20</w:t>
            </w:r>
          </w:p>
        </w:tc>
        <w:tc>
          <w:tcPr>
            <w:tcW w:w="987" w:type="dxa"/>
            <w:tcBorders>
              <w:top w:val="nil"/>
              <w:left w:val="nil"/>
              <w:bottom w:val="nil"/>
              <w:right w:val="nil"/>
            </w:tcBorders>
            <w:vAlign w:val="center"/>
          </w:tcPr>
          <w:p w14:paraId="6646A818"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Style w:val="Fett"/>
              </w:rPr>
              <w:t>&lt;0.001</w:t>
            </w:r>
          </w:p>
        </w:tc>
      </w:tr>
      <w:tr w:rsidR="000A765C" w:rsidRPr="00CC69B2" w14:paraId="6F506EFE" w14:textId="77777777" w:rsidTr="03C1BF83">
        <w:trPr>
          <w:trHeight w:val="544"/>
        </w:trPr>
        <w:tc>
          <w:tcPr>
            <w:tcW w:w="1950" w:type="dxa"/>
            <w:tcBorders>
              <w:top w:val="nil"/>
              <w:left w:val="nil"/>
              <w:bottom w:val="nil"/>
              <w:right w:val="nil"/>
            </w:tcBorders>
            <w:vAlign w:val="center"/>
          </w:tcPr>
          <w:p w14:paraId="355ABA24" w14:textId="77777777" w:rsidR="000A765C" w:rsidRPr="00CC69B2" w:rsidRDefault="000A765C" w:rsidP="00F40C0E">
            <w:pPr>
              <w:textAlignment w:val="baseline"/>
              <w:rPr>
                <w:rFonts w:eastAsia="Calibri" w:cstheme="minorHAnsi"/>
                <w:color w:val="000000"/>
                <w:sz w:val="18"/>
                <w:szCs w:val="18"/>
                <w:shd w:val="clear" w:color="auto" w:fill="FFFFFF"/>
                <w:lang w:val="en-US"/>
              </w:rPr>
            </w:pPr>
            <w:r>
              <w:t>Classification</w:t>
            </w:r>
            <w:r>
              <w:br/>
              <w:t>[</w:t>
            </w:r>
            <w:proofErr w:type="spellStart"/>
            <w:r>
              <w:t>misidentified</w:t>
            </w:r>
            <w:proofErr w:type="spellEnd"/>
            <w:r>
              <w:t>]</w:t>
            </w:r>
          </w:p>
        </w:tc>
        <w:tc>
          <w:tcPr>
            <w:tcW w:w="1189" w:type="dxa"/>
            <w:tcBorders>
              <w:top w:val="nil"/>
              <w:left w:val="nil"/>
              <w:bottom w:val="nil"/>
              <w:right w:val="nil"/>
            </w:tcBorders>
            <w:vAlign w:val="center"/>
          </w:tcPr>
          <w:p w14:paraId="74A3CD3E"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0.09</w:t>
            </w:r>
          </w:p>
        </w:tc>
        <w:tc>
          <w:tcPr>
            <w:tcW w:w="1187" w:type="dxa"/>
            <w:tcBorders>
              <w:top w:val="nil"/>
              <w:left w:val="nil"/>
              <w:bottom w:val="nil"/>
              <w:right w:val="nil"/>
            </w:tcBorders>
            <w:vAlign w:val="center"/>
          </w:tcPr>
          <w:p w14:paraId="4B05BF6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0.09</w:t>
            </w:r>
          </w:p>
        </w:tc>
        <w:tc>
          <w:tcPr>
            <w:tcW w:w="1430" w:type="dxa"/>
            <w:tcBorders>
              <w:top w:val="nil"/>
              <w:left w:val="nil"/>
              <w:bottom w:val="nil"/>
              <w:right w:val="nil"/>
            </w:tcBorders>
            <w:vAlign w:val="center"/>
          </w:tcPr>
          <w:p w14:paraId="368BCFD2"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0.08 – 0.10</w:t>
            </w:r>
          </w:p>
        </w:tc>
        <w:tc>
          <w:tcPr>
            <w:tcW w:w="1474" w:type="dxa"/>
            <w:tcBorders>
              <w:top w:val="nil"/>
              <w:left w:val="nil"/>
              <w:bottom w:val="nil"/>
              <w:right w:val="nil"/>
            </w:tcBorders>
            <w:vAlign w:val="center"/>
          </w:tcPr>
          <w:p w14:paraId="2CB06E20"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0.08 – 0.10</w:t>
            </w:r>
          </w:p>
        </w:tc>
        <w:tc>
          <w:tcPr>
            <w:tcW w:w="1189" w:type="dxa"/>
            <w:tcBorders>
              <w:top w:val="nil"/>
              <w:left w:val="nil"/>
              <w:bottom w:val="nil"/>
              <w:right w:val="nil"/>
            </w:tcBorders>
            <w:vAlign w:val="center"/>
          </w:tcPr>
          <w:p w14:paraId="077D9C5E"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-42.76</w:t>
            </w:r>
          </w:p>
        </w:tc>
        <w:tc>
          <w:tcPr>
            <w:tcW w:w="987" w:type="dxa"/>
            <w:tcBorders>
              <w:top w:val="nil"/>
              <w:left w:val="nil"/>
              <w:bottom w:val="nil"/>
              <w:right w:val="nil"/>
            </w:tcBorders>
            <w:vAlign w:val="center"/>
          </w:tcPr>
          <w:p w14:paraId="78E47459"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Style w:val="Fett"/>
              </w:rPr>
              <w:t>&lt;0.001</w:t>
            </w:r>
          </w:p>
        </w:tc>
      </w:tr>
      <w:tr w:rsidR="000A765C" w:rsidRPr="00CC69B2" w14:paraId="6E54EB34" w14:textId="77777777" w:rsidTr="03C1BF83">
        <w:trPr>
          <w:trHeight w:val="544"/>
        </w:trPr>
        <w:tc>
          <w:tcPr>
            <w:tcW w:w="1950" w:type="dxa"/>
            <w:tcBorders>
              <w:top w:val="nil"/>
              <w:left w:val="nil"/>
              <w:bottom w:val="nil"/>
              <w:right w:val="nil"/>
            </w:tcBorders>
            <w:vAlign w:val="center"/>
          </w:tcPr>
          <w:p w14:paraId="7BBEFF6E" w14:textId="7FEFF3A4" w:rsidR="000A765C" w:rsidRPr="00CC69B2" w:rsidRDefault="000A765C" w:rsidP="00F40C0E">
            <w:pPr>
              <w:textAlignment w:val="baseline"/>
              <w:rPr>
                <w:rFonts w:eastAsia="Calibri" w:cstheme="minorHAnsi"/>
                <w:color w:val="000000"/>
                <w:sz w:val="18"/>
                <w:szCs w:val="18"/>
                <w:shd w:val="clear" w:color="auto" w:fill="FFFFFF"/>
                <w:lang w:val="en-US"/>
              </w:rPr>
            </w:pPr>
            <w:proofErr w:type="spellStart"/>
            <w:r>
              <w:t>Veracity</w:t>
            </w:r>
            <w:proofErr w:type="spellEnd"/>
            <w:r w:rsidR="00EA5471">
              <w:t xml:space="preserve"> </w:t>
            </w:r>
            <w:proofErr w:type="spellStart"/>
            <w:r w:rsidR="00EA5471">
              <w:t>cue</w:t>
            </w:r>
            <w:proofErr w:type="spellEnd"/>
            <w:r>
              <w:t xml:space="preserve"> [</w:t>
            </w:r>
            <w:proofErr w:type="spellStart"/>
            <w:r>
              <w:t>false</w:t>
            </w:r>
            <w:proofErr w:type="spellEnd"/>
            <w:r>
              <w:t>]</w:t>
            </w:r>
          </w:p>
        </w:tc>
        <w:tc>
          <w:tcPr>
            <w:tcW w:w="1189" w:type="dxa"/>
            <w:tcBorders>
              <w:top w:val="nil"/>
              <w:left w:val="nil"/>
              <w:bottom w:val="nil"/>
              <w:right w:val="nil"/>
            </w:tcBorders>
            <w:vAlign w:val="center"/>
          </w:tcPr>
          <w:p w14:paraId="695A1439"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0.29</w:t>
            </w:r>
          </w:p>
        </w:tc>
        <w:tc>
          <w:tcPr>
            <w:tcW w:w="1187" w:type="dxa"/>
            <w:tcBorders>
              <w:top w:val="nil"/>
              <w:left w:val="nil"/>
              <w:bottom w:val="nil"/>
              <w:right w:val="nil"/>
            </w:tcBorders>
            <w:vAlign w:val="center"/>
          </w:tcPr>
          <w:p w14:paraId="3FC6B2E3"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0.29</w:t>
            </w:r>
          </w:p>
        </w:tc>
        <w:tc>
          <w:tcPr>
            <w:tcW w:w="1430" w:type="dxa"/>
            <w:tcBorders>
              <w:top w:val="nil"/>
              <w:left w:val="nil"/>
              <w:bottom w:val="nil"/>
              <w:right w:val="nil"/>
            </w:tcBorders>
            <w:vAlign w:val="center"/>
          </w:tcPr>
          <w:p w14:paraId="44C982AF"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0.25 – 0.33</w:t>
            </w:r>
          </w:p>
        </w:tc>
        <w:tc>
          <w:tcPr>
            <w:tcW w:w="1474" w:type="dxa"/>
            <w:tcBorders>
              <w:top w:val="nil"/>
              <w:left w:val="nil"/>
              <w:bottom w:val="nil"/>
              <w:right w:val="nil"/>
            </w:tcBorders>
            <w:vAlign w:val="center"/>
          </w:tcPr>
          <w:p w14:paraId="01A753B6"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0.25 – 0.33</w:t>
            </w:r>
          </w:p>
        </w:tc>
        <w:tc>
          <w:tcPr>
            <w:tcW w:w="1189" w:type="dxa"/>
            <w:tcBorders>
              <w:top w:val="nil"/>
              <w:left w:val="nil"/>
              <w:bottom w:val="nil"/>
              <w:right w:val="nil"/>
            </w:tcBorders>
            <w:vAlign w:val="center"/>
          </w:tcPr>
          <w:p w14:paraId="0B432252"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-18.21</w:t>
            </w:r>
          </w:p>
        </w:tc>
        <w:tc>
          <w:tcPr>
            <w:tcW w:w="987" w:type="dxa"/>
            <w:tcBorders>
              <w:top w:val="nil"/>
              <w:left w:val="nil"/>
              <w:bottom w:val="nil"/>
              <w:right w:val="nil"/>
            </w:tcBorders>
            <w:vAlign w:val="center"/>
          </w:tcPr>
          <w:p w14:paraId="298855EB"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Style w:val="Fett"/>
              </w:rPr>
              <w:t>&lt;0.001</w:t>
            </w:r>
          </w:p>
        </w:tc>
      </w:tr>
      <w:tr w:rsidR="000A765C" w:rsidRPr="00CC69B2" w14:paraId="0F4BDA86" w14:textId="77777777" w:rsidTr="03C1BF83">
        <w:trPr>
          <w:trHeight w:val="544"/>
        </w:trPr>
        <w:tc>
          <w:tcPr>
            <w:tcW w:w="1950" w:type="dxa"/>
            <w:tcBorders>
              <w:top w:val="nil"/>
              <w:left w:val="nil"/>
              <w:bottom w:val="nil"/>
              <w:right w:val="nil"/>
            </w:tcBorders>
            <w:vAlign w:val="center"/>
          </w:tcPr>
          <w:p w14:paraId="4AD00F61" w14:textId="77777777" w:rsidR="000A765C" w:rsidRPr="00CC69B2" w:rsidRDefault="000A765C" w:rsidP="00F40C0E">
            <w:pPr>
              <w:textAlignment w:val="baseline"/>
              <w:rPr>
                <w:rFonts w:eastAsia="Calibri" w:cstheme="minorHAnsi"/>
                <w:color w:val="000000"/>
                <w:sz w:val="18"/>
                <w:szCs w:val="18"/>
                <w:shd w:val="clear" w:color="auto" w:fill="FFFFFF"/>
                <w:lang w:val="en-US"/>
              </w:rPr>
            </w:pPr>
            <w:proofErr w:type="spellStart"/>
            <w:r>
              <w:t>Discriminability</w:t>
            </w:r>
            <w:proofErr w:type="spellEnd"/>
            <w:r>
              <w:t xml:space="preserve"> [</w:t>
            </w:r>
            <w:proofErr w:type="spellStart"/>
            <w:r>
              <w:t>low</w:t>
            </w:r>
            <w:proofErr w:type="spellEnd"/>
            <w:r>
              <w:t>]</w:t>
            </w:r>
          </w:p>
        </w:tc>
        <w:tc>
          <w:tcPr>
            <w:tcW w:w="1189" w:type="dxa"/>
            <w:tcBorders>
              <w:top w:val="nil"/>
              <w:left w:val="nil"/>
              <w:bottom w:val="nil"/>
              <w:right w:val="nil"/>
            </w:tcBorders>
            <w:vAlign w:val="center"/>
          </w:tcPr>
          <w:p w14:paraId="2AEAEA9C"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0.89</w:t>
            </w:r>
          </w:p>
        </w:tc>
        <w:tc>
          <w:tcPr>
            <w:tcW w:w="1187" w:type="dxa"/>
            <w:tcBorders>
              <w:top w:val="nil"/>
              <w:left w:val="nil"/>
              <w:bottom w:val="nil"/>
              <w:right w:val="nil"/>
            </w:tcBorders>
            <w:vAlign w:val="center"/>
          </w:tcPr>
          <w:p w14:paraId="11372B8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0.89</w:t>
            </w:r>
          </w:p>
        </w:tc>
        <w:tc>
          <w:tcPr>
            <w:tcW w:w="1430" w:type="dxa"/>
            <w:tcBorders>
              <w:top w:val="nil"/>
              <w:left w:val="nil"/>
              <w:bottom w:val="nil"/>
              <w:right w:val="nil"/>
            </w:tcBorders>
            <w:vAlign w:val="center"/>
          </w:tcPr>
          <w:p w14:paraId="0C8CBC9F"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0.81 – 0.98</w:t>
            </w:r>
          </w:p>
        </w:tc>
        <w:tc>
          <w:tcPr>
            <w:tcW w:w="1474" w:type="dxa"/>
            <w:tcBorders>
              <w:top w:val="nil"/>
              <w:left w:val="nil"/>
              <w:bottom w:val="nil"/>
              <w:right w:val="nil"/>
            </w:tcBorders>
            <w:vAlign w:val="center"/>
          </w:tcPr>
          <w:p w14:paraId="0E2CE18D"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0.81 – 0.98</w:t>
            </w:r>
          </w:p>
        </w:tc>
        <w:tc>
          <w:tcPr>
            <w:tcW w:w="1189" w:type="dxa"/>
            <w:tcBorders>
              <w:top w:val="nil"/>
              <w:left w:val="nil"/>
              <w:bottom w:val="nil"/>
              <w:right w:val="nil"/>
            </w:tcBorders>
            <w:vAlign w:val="center"/>
          </w:tcPr>
          <w:p w14:paraId="6AD5A42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-2.43</w:t>
            </w:r>
          </w:p>
        </w:tc>
        <w:tc>
          <w:tcPr>
            <w:tcW w:w="987" w:type="dxa"/>
            <w:tcBorders>
              <w:top w:val="nil"/>
              <w:left w:val="nil"/>
              <w:bottom w:val="nil"/>
              <w:right w:val="nil"/>
            </w:tcBorders>
            <w:vAlign w:val="center"/>
          </w:tcPr>
          <w:p w14:paraId="210671E3"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Style w:val="Fett"/>
              </w:rPr>
              <w:t>0.015</w:t>
            </w:r>
          </w:p>
        </w:tc>
      </w:tr>
      <w:tr w:rsidR="000A765C" w:rsidRPr="00CC69B2" w14:paraId="592F980B" w14:textId="77777777" w:rsidTr="03C1BF83">
        <w:trPr>
          <w:trHeight w:val="980"/>
        </w:trPr>
        <w:tc>
          <w:tcPr>
            <w:tcW w:w="1950" w:type="dxa"/>
            <w:tcBorders>
              <w:top w:val="nil"/>
              <w:left w:val="nil"/>
              <w:bottom w:val="nil"/>
              <w:right w:val="nil"/>
            </w:tcBorders>
            <w:vAlign w:val="center"/>
          </w:tcPr>
          <w:p w14:paraId="6C0AFDF9" w14:textId="2DC9903D" w:rsidR="000A765C" w:rsidRPr="00CC69B2" w:rsidRDefault="000A765C" w:rsidP="00F40C0E">
            <w:pPr>
              <w:textAlignment w:val="baseline"/>
              <w:rPr>
                <w:rFonts w:eastAsia="Calibri" w:cstheme="minorHAnsi"/>
                <w:color w:val="000000"/>
                <w:sz w:val="18"/>
                <w:szCs w:val="18"/>
                <w:shd w:val="clear" w:color="auto" w:fill="FFFFFF"/>
                <w:lang w:val="en-US"/>
              </w:rPr>
            </w:pPr>
            <w:r w:rsidRPr="00EA5471">
              <w:rPr>
                <w:lang w:val="en-US"/>
              </w:rPr>
              <w:t>Classification</w:t>
            </w:r>
            <w:r w:rsidRPr="00EA5471">
              <w:rPr>
                <w:lang w:val="en-US"/>
              </w:rPr>
              <w:br/>
              <w:t xml:space="preserve">[confused] × Veracity </w:t>
            </w:r>
            <w:r w:rsidR="00EA5471" w:rsidRPr="00EA5471">
              <w:rPr>
                <w:lang w:val="en-US"/>
              </w:rPr>
              <w:t xml:space="preserve">cue </w:t>
            </w:r>
            <w:r w:rsidRPr="00EA5471">
              <w:rPr>
                <w:lang w:val="en-US"/>
              </w:rPr>
              <w:t>[false]</w:t>
            </w:r>
          </w:p>
        </w:tc>
        <w:tc>
          <w:tcPr>
            <w:tcW w:w="1189" w:type="dxa"/>
            <w:tcBorders>
              <w:top w:val="nil"/>
              <w:left w:val="nil"/>
              <w:bottom w:val="nil"/>
              <w:right w:val="nil"/>
            </w:tcBorders>
            <w:vAlign w:val="center"/>
          </w:tcPr>
          <w:p w14:paraId="7CBE3B9B"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15.25</w:t>
            </w:r>
          </w:p>
        </w:tc>
        <w:tc>
          <w:tcPr>
            <w:tcW w:w="1187" w:type="dxa"/>
            <w:tcBorders>
              <w:top w:val="nil"/>
              <w:left w:val="nil"/>
              <w:bottom w:val="nil"/>
              <w:right w:val="nil"/>
            </w:tcBorders>
            <w:vAlign w:val="center"/>
          </w:tcPr>
          <w:p w14:paraId="290196C8"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15.25</w:t>
            </w:r>
          </w:p>
        </w:tc>
        <w:tc>
          <w:tcPr>
            <w:tcW w:w="1430" w:type="dxa"/>
            <w:tcBorders>
              <w:top w:val="nil"/>
              <w:left w:val="nil"/>
              <w:bottom w:val="nil"/>
              <w:right w:val="nil"/>
            </w:tcBorders>
            <w:vAlign w:val="center"/>
          </w:tcPr>
          <w:p w14:paraId="3D0238AB"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12.57 – 18.51</w:t>
            </w:r>
          </w:p>
        </w:tc>
        <w:tc>
          <w:tcPr>
            <w:tcW w:w="1474" w:type="dxa"/>
            <w:tcBorders>
              <w:top w:val="nil"/>
              <w:left w:val="nil"/>
              <w:bottom w:val="nil"/>
              <w:right w:val="nil"/>
            </w:tcBorders>
            <w:vAlign w:val="center"/>
          </w:tcPr>
          <w:p w14:paraId="1944D2F0"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12.57 – 18.51</w:t>
            </w:r>
          </w:p>
        </w:tc>
        <w:tc>
          <w:tcPr>
            <w:tcW w:w="1189" w:type="dxa"/>
            <w:tcBorders>
              <w:top w:val="nil"/>
              <w:left w:val="nil"/>
              <w:bottom w:val="nil"/>
              <w:right w:val="nil"/>
            </w:tcBorders>
            <w:vAlign w:val="center"/>
          </w:tcPr>
          <w:p w14:paraId="005CFA5D"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27.58</w:t>
            </w:r>
          </w:p>
        </w:tc>
        <w:tc>
          <w:tcPr>
            <w:tcW w:w="987" w:type="dxa"/>
            <w:tcBorders>
              <w:top w:val="nil"/>
              <w:left w:val="nil"/>
              <w:bottom w:val="nil"/>
              <w:right w:val="nil"/>
            </w:tcBorders>
            <w:vAlign w:val="center"/>
          </w:tcPr>
          <w:p w14:paraId="09FD659B"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Style w:val="Fett"/>
              </w:rPr>
              <w:t>&lt;0.001</w:t>
            </w:r>
          </w:p>
        </w:tc>
      </w:tr>
      <w:tr w:rsidR="000A765C" w:rsidRPr="00CC69B2" w14:paraId="116762BF" w14:textId="77777777" w:rsidTr="03C1BF83">
        <w:trPr>
          <w:trHeight w:val="926"/>
        </w:trPr>
        <w:tc>
          <w:tcPr>
            <w:tcW w:w="1950" w:type="dxa"/>
            <w:tcBorders>
              <w:top w:val="nil"/>
              <w:left w:val="nil"/>
              <w:bottom w:val="nil"/>
              <w:right w:val="nil"/>
            </w:tcBorders>
            <w:vAlign w:val="center"/>
          </w:tcPr>
          <w:p w14:paraId="11E8B0B6" w14:textId="7E63CC16" w:rsidR="000A765C" w:rsidRPr="00CC69B2" w:rsidRDefault="000A765C" w:rsidP="00F40C0E">
            <w:pPr>
              <w:textAlignment w:val="baseline"/>
              <w:rPr>
                <w:rFonts w:eastAsia="Calibri" w:cstheme="minorHAnsi"/>
                <w:color w:val="000000"/>
                <w:sz w:val="18"/>
                <w:szCs w:val="18"/>
                <w:shd w:val="clear" w:color="auto" w:fill="FFFFFF"/>
                <w:lang w:val="en-US"/>
              </w:rPr>
            </w:pPr>
            <w:r w:rsidRPr="00EA5471">
              <w:rPr>
                <w:lang w:val="en-US"/>
              </w:rPr>
              <w:t>Classification</w:t>
            </w:r>
            <w:r w:rsidRPr="00EA5471">
              <w:rPr>
                <w:lang w:val="en-US"/>
              </w:rPr>
              <w:br/>
              <w:t>[misidentified] ×</w:t>
            </w:r>
            <w:r w:rsidRPr="00EA5471">
              <w:rPr>
                <w:lang w:val="en-US"/>
              </w:rPr>
              <w:br/>
              <w:t xml:space="preserve">Veracity </w:t>
            </w:r>
            <w:r w:rsidR="00EA5471" w:rsidRPr="00EA5471">
              <w:rPr>
                <w:lang w:val="en-US"/>
              </w:rPr>
              <w:t xml:space="preserve">cue </w:t>
            </w:r>
            <w:r w:rsidRPr="00EA5471">
              <w:rPr>
                <w:lang w:val="en-US"/>
              </w:rPr>
              <w:t>[false]</w:t>
            </w:r>
          </w:p>
        </w:tc>
        <w:tc>
          <w:tcPr>
            <w:tcW w:w="1189" w:type="dxa"/>
            <w:tcBorders>
              <w:top w:val="nil"/>
              <w:left w:val="nil"/>
              <w:bottom w:val="nil"/>
              <w:right w:val="nil"/>
            </w:tcBorders>
            <w:vAlign w:val="center"/>
          </w:tcPr>
          <w:p w14:paraId="26CFEEB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3.36</w:t>
            </w:r>
          </w:p>
        </w:tc>
        <w:tc>
          <w:tcPr>
            <w:tcW w:w="1187" w:type="dxa"/>
            <w:tcBorders>
              <w:top w:val="nil"/>
              <w:left w:val="nil"/>
              <w:bottom w:val="nil"/>
              <w:right w:val="nil"/>
            </w:tcBorders>
            <w:vAlign w:val="center"/>
          </w:tcPr>
          <w:p w14:paraId="1204B519"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3.36</w:t>
            </w:r>
          </w:p>
        </w:tc>
        <w:tc>
          <w:tcPr>
            <w:tcW w:w="1430" w:type="dxa"/>
            <w:tcBorders>
              <w:top w:val="nil"/>
              <w:left w:val="nil"/>
              <w:bottom w:val="nil"/>
              <w:right w:val="nil"/>
            </w:tcBorders>
            <w:vAlign w:val="center"/>
          </w:tcPr>
          <w:p w14:paraId="59A44DC8"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2.69 – 4.19</w:t>
            </w:r>
          </w:p>
        </w:tc>
        <w:tc>
          <w:tcPr>
            <w:tcW w:w="1474" w:type="dxa"/>
            <w:tcBorders>
              <w:top w:val="nil"/>
              <w:left w:val="nil"/>
              <w:bottom w:val="nil"/>
              <w:right w:val="nil"/>
            </w:tcBorders>
            <w:vAlign w:val="center"/>
          </w:tcPr>
          <w:p w14:paraId="0F48D95C"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2.69 – 4.19</w:t>
            </w:r>
          </w:p>
        </w:tc>
        <w:tc>
          <w:tcPr>
            <w:tcW w:w="1189" w:type="dxa"/>
            <w:tcBorders>
              <w:top w:val="nil"/>
              <w:left w:val="nil"/>
              <w:bottom w:val="nil"/>
              <w:right w:val="nil"/>
            </w:tcBorders>
            <w:vAlign w:val="center"/>
          </w:tcPr>
          <w:p w14:paraId="78C760E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10.72</w:t>
            </w:r>
          </w:p>
        </w:tc>
        <w:tc>
          <w:tcPr>
            <w:tcW w:w="987" w:type="dxa"/>
            <w:tcBorders>
              <w:top w:val="nil"/>
              <w:left w:val="nil"/>
              <w:bottom w:val="nil"/>
              <w:right w:val="nil"/>
            </w:tcBorders>
            <w:vAlign w:val="center"/>
          </w:tcPr>
          <w:p w14:paraId="13DC9C5D"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Style w:val="Fett"/>
              </w:rPr>
              <w:t>&lt;0.001</w:t>
            </w:r>
          </w:p>
        </w:tc>
      </w:tr>
      <w:tr w:rsidR="000A765C" w:rsidRPr="00CC69B2" w14:paraId="51155CC7" w14:textId="77777777" w:rsidTr="03C1BF83">
        <w:trPr>
          <w:trHeight w:val="926"/>
        </w:trPr>
        <w:tc>
          <w:tcPr>
            <w:tcW w:w="1950" w:type="dxa"/>
            <w:tcBorders>
              <w:top w:val="nil"/>
              <w:left w:val="nil"/>
              <w:bottom w:val="nil"/>
              <w:right w:val="nil"/>
            </w:tcBorders>
            <w:vAlign w:val="center"/>
          </w:tcPr>
          <w:p w14:paraId="4643ED63" w14:textId="15326569" w:rsidR="000A765C" w:rsidRDefault="000A765C" w:rsidP="00F40C0E">
            <w:pPr>
              <w:textAlignment w:val="baseline"/>
              <w:rPr>
                <w:rFonts w:eastAsia="Calibri" w:cstheme="minorHAnsi"/>
                <w:color w:val="000000"/>
                <w:sz w:val="18"/>
                <w:szCs w:val="18"/>
                <w:shd w:val="clear" w:color="auto" w:fill="FFFFFF"/>
                <w:lang w:val="en-US"/>
              </w:rPr>
            </w:pPr>
            <w:r>
              <w:t>Classification</w:t>
            </w:r>
            <w:r>
              <w:br/>
              <w:t>[</w:t>
            </w:r>
            <w:proofErr w:type="spellStart"/>
            <w:r>
              <w:t>confused</w:t>
            </w:r>
            <w:proofErr w:type="spellEnd"/>
            <w:r>
              <w:t xml:space="preserve">] × </w:t>
            </w:r>
            <w:proofErr w:type="spellStart"/>
            <w:r w:rsidR="00EA5471">
              <w:t>d</w:t>
            </w:r>
            <w:r>
              <w:t>iscriminability</w:t>
            </w:r>
            <w:proofErr w:type="spellEnd"/>
            <w:r>
              <w:t xml:space="preserve"> [</w:t>
            </w:r>
            <w:proofErr w:type="spellStart"/>
            <w:r>
              <w:t>low</w:t>
            </w:r>
            <w:proofErr w:type="spellEnd"/>
            <w:r>
              <w:t>]</w:t>
            </w:r>
          </w:p>
        </w:tc>
        <w:tc>
          <w:tcPr>
            <w:tcW w:w="1189" w:type="dxa"/>
            <w:tcBorders>
              <w:top w:val="nil"/>
              <w:left w:val="nil"/>
              <w:bottom w:val="nil"/>
              <w:right w:val="nil"/>
            </w:tcBorders>
            <w:vAlign w:val="center"/>
          </w:tcPr>
          <w:p w14:paraId="36F6CB0D"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1.16</w:t>
            </w:r>
          </w:p>
        </w:tc>
        <w:tc>
          <w:tcPr>
            <w:tcW w:w="1187" w:type="dxa"/>
            <w:tcBorders>
              <w:top w:val="nil"/>
              <w:left w:val="nil"/>
              <w:bottom w:val="nil"/>
              <w:right w:val="nil"/>
            </w:tcBorders>
            <w:vAlign w:val="center"/>
          </w:tcPr>
          <w:p w14:paraId="34D894A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1.16</w:t>
            </w:r>
          </w:p>
        </w:tc>
        <w:tc>
          <w:tcPr>
            <w:tcW w:w="1430" w:type="dxa"/>
            <w:tcBorders>
              <w:top w:val="nil"/>
              <w:left w:val="nil"/>
              <w:bottom w:val="nil"/>
              <w:right w:val="nil"/>
            </w:tcBorders>
            <w:vAlign w:val="center"/>
          </w:tcPr>
          <w:p w14:paraId="73CAB555" w14:textId="77777777" w:rsidR="000A765C" w:rsidRPr="00CC69B2" w:rsidRDefault="000A765C" w:rsidP="00F40C0E">
            <w:pPr>
              <w:jc w:val="center"/>
              <w:textAlignment w:val="baseline"/>
              <w:rPr>
                <w:rFonts w:cstheme="minorHAnsi"/>
                <w:sz w:val="18"/>
                <w:szCs w:val="18"/>
              </w:rPr>
            </w:pPr>
            <w:r>
              <w:t>0.99 – 1.36</w:t>
            </w:r>
          </w:p>
        </w:tc>
        <w:tc>
          <w:tcPr>
            <w:tcW w:w="1474" w:type="dxa"/>
            <w:tcBorders>
              <w:top w:val="nil"/>
              <w:left w:val="nil"/>
              <w:bottom w:val="nil"/>
              <w:right w:val="nil"/>
            </w:tcBorders>
            <w:vAlign w:val="center"/>
          </w:tcPr>
          <w:p w14:paraId="429B7DB5" w14:textId="77777777" w:rsidR="000A765C" w:rsidRPr="00CC69B2" w:rsidRDefault="000A765C" w:rsidP="00F40C0E">
            <w:pPr>
              <w:jc w:val="center"/>
              <w:textAlignment w:val="baseline"/>
              <w:rPr>
                <w:rFonts w:cstheme="minorHAnsi"/>
                <w:sz w:val="18"/>
                <w:szCs w:val="18"/>
              </w:rPr>
            </w:pPr>
            <w:r>
              <w:t>0.99 – 1.36</w:t>
            </w:r>
          </w:p>
        </w:tc>
        <w:tc>
          <w:tcPr>
            <w:tcW w:w="1189" w:type="dxa"/>
            <w:tcBorders>
              <w:top w:val="nil"/>
              <w:left w:val="nil"/>
              <w:bottom w:val="nil"/>
              <w:right w:val="nil"/>
            </w:tcBorders>
            <w:vAlign w:val="center"/>
          </w:tcPr>
          <w:p w14:paraId="62325E18" w14:textId="77777777" w:rsidR="000A765C" w:rsidRPr="00CC69B2" w:rsidRDefault="000A765C" w:rsidP="00F40C0E">
            <w:pPr>
              <w:jc w:val="center"/>
              <w:textAlignment w:val="baseline"/>
              <w:rPr>
                <w:rFonts w:cstheme="minorHAnsi"/>
                <w:sz w:val="18"/>
                <w:szCs w:val="18"/>
              </w:rPr>
            </w:pPr>
            <w:r>
              <w:t>1.88</w:t>
            </w:r>
          </w:p>
        </w:tc>
        <w:tc>
          <w:tcPr>
            <w:tcW w:w="987" w:type="dxa"/>
            <w:tcBorders>
              <w:top w:val="nil"/>
              <w:left w:val="nil"/>
              <w:bottom w:val="nil"/>
              <w:right w:val="nil"/>
            </w:tcBorders>
            <w:vAlign w:val="center"/>
          </w:tcPr>
          <w:p w14:paraId="4150BAA6"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0.061</w:t>
            </w:r>
          </w:p>
        </w:tc>
      </w:tr>
      <w:tr w:rsidR="000A765C" w:rsidRPr="00CC69B2" w14:paraId="791B324F" w14:textId="77777777" w:rsidTr="03C1BF83">
        <w:trPr>
          <w:trHeight w:val="763"/>
        </w:trPr>
        <w:tc>
          <w:tcPr>
            <w:tcW w:w="1950" w:type="dxa"/>
            <w:tcBorders>
              <w:top w:val="nil"/>
              <w:left w:val="nil"/>
              <w:bottom w:val="nil"/>
              <w:right w:val="nil"/>
            </w:tcBorders>
            <w:vAlign w:val="center"/>
          </w:tcPr>
          <w:p w14:paraId="3B951C67" w14:textId="77777777" w:rsidR="000A765C" w:rsidRDefault="000A765C" w:rsidP="00F40C0E">
            <w:pPr>
              <w:textAlignment w:val="baseline"/>
              <w:rPr>
                <w:rFonts w:eastAsia="Calibri" w:cstheme="minorHAnsi"/>
                <w:color w:val="000000"/>
                <w:sz w:val="18"/>
                <w:szCs w:val="18"/>
                <w:shd w:val="clear" w:color="auto" w:fill="FFFFFF"/>
                <w:lang w:val="en-US"/>
              </w:rPr>
            </w:pPr>
            <w:r>
              <w:t>Classification</w:t>
            </w:r>
            <w:r>
              <w:br/>
              <w:t>[</w:t>
            </w:r>
            <w:proofErr w:type="spellStart"/>
            <w:r>
              <w:t>misidentified</w:t>
            </w:r>
            <w:proofErr w:type="spellEnd"/>
            <w:r>
              <w:t>] ×</w:t>
            </w:r>
            <w:r>
              <w:br/>
            </w:r>
            <w:proofErr w:type="spellStart"/>
            <w:r>
              <w:t>Discriminability</w:t>
            </w:r>
            <w:proofErr w:type="spellEnd"/>
            <w:r>
              <w:t xml:space="preserve"> [</w:t>
            </w:r>
            <w:proofErr w:type="spellStart"/>
            <w:r>
              <w:t>low</w:t>
            </w:r>
            <w:proofErr w:type="spellEnd"/>
            <w:r>
              <w:t>]</w:t>
            </w:r>
          </w:p>
        </w:tc>
        <w:tc>
          <w:tcPr>
            <w:tcW w:w="1189" w:type="dxa"/>
            <w:tcBorders>
              <w:top w:val="nil"/>
              <w:left w:val="nil"/>
              <w:bottom w:val="nil"/>
              <w:right w:val="nil"/>
            </w:tcBorders>
            <w:vAlign w:val="center"/>
          </w:tcPr>
          <w:p w14:paraId="626F7AA6"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1.33</w:t>
            </w:r>
          </w:p>
        </w:tc>
        <w:tc>
          <w:tcPr>
            <w:tcW w:w="1187" w:type="dxa"/>
            <w:tcBorders>
              <w:top w:val="nil"/>
              <w:left w:val="nil"/>
              <w:bottom w:val="nil"/>
              <w:right w:val="nil"/>
            </w:tcBorders>
            <w:vAlign w:val="center"/>
          </w:tcPr>
          <w:p w14:paraId="69C12D56"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1.33</w:t>
            </w:r>
          </w:p>
        </w:tc>
        <w:tc>
          <w:tcPr>
            <w:tcW w:w="1430" w:type="dxa"/>
            <w:tcBorders>
              <w:top w:val="nil"/>
              <w:left w:val="nil"/>
              <w:bottom w:val="nil"/>
              <w:right w:val="nil"/>
            </w:tcBorders>
            <w:vAlign w:val="center"/>
          </w:tcPr>
          <w:p w14:paraId="32F51FD3" w14:textId="77777777" w:rsidR="000A765C" w:rsidRPr="00CC69B2" w:rsidRDefault="000A765C" w:rsidP="00F40C0E">
            <w:pPr>
              <w:jc w:val="center"/>
              <w:textAlignment w:val="baseline"/>
              <w:rPr>
                <w:rFonts w:cstheme="minorHAnsi"/>
                <w:sz w:val="18"/>
                <w:szCs w:val="18"/>
              </w:rPr>
            </w:pPr>
            <w:r>
              <w:t>1.13 – 1.55</w:t>
            </w:r>
          </w:p>
        </w:tc>
        <w:tc>
          <w:tcPr>
            <w:tcW w:w="1474" w:type="dxa"/>
            <w:tcBorders>
              <w:top w:val="nil"/>
              <w:left w:val="nil"/>
              <w:bottom w:val="nil"/>
              <w:right w:val="nil"/>
            </w:tcBorders>
            <w:vAlign w:val="center"/>
          </w:tcPr>
          <w:p w14:paraId="00D2A47E" w14:textId="77777777" w:rsidR="000A765C" w:rsidRPr="00CC69B2" w:rsidRDefault="000A765C" w:rsidP="00F40C0E">
            <w:pPr>
              <w:jc w:val="center"/>
              <w:textAlignment w:val="baseline"/>
              <w:rPr>
                <w:rFonts w:cstheme="minorHAnsi"/>
                <w:sz w:val="18"/>
                <w:szCs w:val="18"/>
              </w:rPr>
            </w:pPr>
            <w:r>
              <w:t>1.13 – 1.55</w:t>
            </w:r>
          </w:p>
        </w:tc>
        <w:tc>
          <w:tcPr>
            <w:tcW w:w="1189" w:type="dxa"/>
            <w:tcBorders>
              <w:top w:val="nil"/>
              <w:left w:val="nil"/>
              <w:bottom w:val="nil"/>
              <w:right w:val="nil"/>
            </w:tcBorders>
            <w:vAlign w:val="center"/>
          </w:tcPr>
          <w:p w14:paraId="2BFD2A26" w14:textId="77777777" w:rsidR="000A765C" w:rsidRPr="00CC69B2" w:rsidRDefault="000A765C" w:rsidP="00F40C0E">
            <w:pPr>
              <w:jc w:val="center"/>
              <w:textAlignment w:val="baseline"/>
              <w:rPr>
                <w:rFonts w:cstheme="minorHAnsi"/>
                <w:sz w:val="18"/>
                <w:szCs w:val="18"/>
              </w:rPr>
            </w:pPr>
            <w:r>
              <w:t>3.56</w:t>
            </w:r>
          </w:p>
        </w:tc>
        <w:tc>
          <w:tcPr>
            <w:tcW w:w="987" w:type="dxa"/>
            <w:tcBorders>
              <w:top w:val="nil"/>
              <w:left w:val="nil"/>
              <w:bottom w:val="nil"/>
              <w:right w:val="nil"/>
            </w:tcBorders>
            <w:vAlign w:val="center"/>
          </w:tcPr>
          <w:p w14:paraId="2A46CC5F"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Style w:val="Fett"/>
              </w:rPr>
              <w:t>&lt;0.001</w:t>
            </w:r>
          </w:p>
        </w:tc>
      </w:tr>
      <w:tr w:rsidR="000A765C" w:rsidRPr="00CC69B2" w14:paraId="23474C35" w14:textId="77777777" w:rsidTr="03C1BF83">
        <w:trPr>
          <w:trHeight w:val="763"/>
        </w:trPr>
        <w:tc>
          <w:tcPr>
            <w:tcW w:w="1950" w:type="dxa"/>
            <w:tcBorders>
              <w:top w:val="nil"/>
              <w:left w:val="nil"/>
              <w:bottom w:val="nil"/>
              <w:right w:val="nil"/>
            </w:tcBorders>
            <w:vAlign w:val="center"/>
          </w:tcPr>
          <w:p w14:paraId="2366086F" w14:textId="679C7090" w:rsidR="000A765C" w:rsidRDefault="000A765C" w:rsidP="00F40C0E">
            <w:pPr>
              <w:textAlignment w:val="baseline"/>
              <w:rPr>
                <w:rFonts w:eastAsia="Calibri" w:cstheme="minorHAnsi"/>
                <w:color w:val="000000"/>
                <w:sz w:val="18"/>
                <w:szCs w:val="18"/>
                <w:shd w:val="clear" w:color="auto" w:fill="FFFFFF"/>
                <w:lang w:val="en-US"/>
              </w:rPr>
            </w:pPr>
            <w:r w:rsidRPr="00EA5471">
              <w:rPr>
                <w:lang w:val="en-US"/>
              </w:rPr>
              <w:t>Veracity</w:t>
            </w:r>
            <w:r w:rsidR="00EA5471" w:rsidRPr="00EA5471">
              <w:rPr>
                <w:lang w:val="en-US"/>
              </w:rPr>
              <w:t xml:space="preserve"> cue</w:t>
            </w:r>
            <w:r w:rsidRPr="00EA5471">
              <w:rPr>
                <w:lang w:val="en-US"/>
              </w:rPr>
              <w:t xml:space="preserve"> [false] ×</w:t>
            </w:r>
            <w:r w:rsidRPr="00EA5471">
              <w:rPr>
                <w:lang w:val="en-US"/>
              </w:rPr>
              <w:br/>
              <w:t>Discriminability [low]</w:t>
            </w:r>
          </w:p>
        </w:tc>
        <w:tc>
          <w:tcPr>
            <w:tcW w:w="1189" w:type="dxa"/>
            <w:tcBorders>
              <w:top w:val="nil"/>
              <w:left w:val="nil"/>
              <w:bottom w:val="nil"/>
              <w:right w:val="nil"/>
            </w:tcBorders>
            <w:vAlign w:val="center"/>
          </w:tcPr>
          <w:p w14:paraId="1C5E52A2"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0.92</w:t>
            </w:r>
          </w:p>
        </w:tc>
        <w:tc>
          <w:tcPr>
            <w:tcW w:w="1187" w:type="dxa"/>
            <w:tcBorders>
              <w:top w:val="nil"/>
              <w:left w:val="nil"/>
              <w:bottom w:val="nil"/>
              <w:right w:val="nil"/>
            </w:tcBorders>
            <w:vAlign w:val="center"/>
          </w:tcPr>
          <w:p w14:paraId="6994CF3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0.92</w:t>
            </w:r>
          </w:p>
        </w:tc>
        <w:tc>
          <w:tcPr>
            <w:tcW w:w="1430" w:type="dxa"/>
            <w:tcBorders>
              <w:top w:val="nil"/>
              <w:left w:val="nil"/>
              <w:bottom w:val="nil"/>
              <w:right w:val="nil"/>
            </w:tcBorders>
            <w:vAlign w:val="center"/>
          </w:tcPr>
          <w:p w14:paraId="0CDD6970" w14:textId="77777777" w:rsidR="000A765C" w:rsidRPr="00CC69B2" w:rsidRDefault="000A765C" w:rsidP="00F40C0E">
            <w:pPr>
              <w:jc w:val="center"/>
              <w:textAlignment w:val="baseline"/>
              <w:rPr>
                <w:rFonts w:cstheme="minorHAnsi"/>
                <w:sz w:val="18"/>
                <w:szCs w:val="18"/>
              </w:rPr>
            </w:pPr>
            <w:r>
              <w:t>0.76 – 1.11</w:t>
            </w:r>
          </w:p>
        </w:tc>
        <w:tc>
          <w:tcPr>
            <w:tcW w:w="1474" w:type="dxa"/>
            <w:tcBorders>
              <w:top w:val="nil"/>
              <w:left w:val="nil"/>
              <w:bottom w:val="nil"/>
              <w:right w:val="nil"/>
            </w:tcBorders>
            <w:vAlign w:val="center"/>
          </w:tcPr>
          <w:p w14:paraId="2522B0FA" w14:textId="77777777" w:rsidR="000A765C" w:rsidRPr="00CC69B2" w:rsidRDefault="000A765C" w:rsidP="00F40C0E">
            <w:pPr>
              <w:jc w:val="center"/>
              <w:textAlignment w:val="baseline"/>
              <w:rPr>
                <w:rFonts w:cstheme="minorHAnsi"/>
                <w:sz w:val="18"/>
                <w:szCs w:val="18"/>
              </w:rPr>
            </w:pPr>
            <w:r>
              <w:t>0.76 – 1.11</w:t>
            </w:r>
          </w:p>
        </w:tc>
        <w:tc>
          <w:tcPr>
            <w:tcW w:w="1189" w:type="dxa"/>
            <w:tcBorders>
              <w:top w:val="nil"/>
              <w:left w:val="nil"/>
              <w:bottom w:val="nil"/>
              <w:right w:val="nil"/>
            </w:tcBorders>
            <w:vAlign w:val="center"/>
          </w:tcPr>
          <w:p w14:paraId="3EEC1EA4" w14:textId="77777777" w:rsidR="000A765C" w:rsidRPr="00CC69B2" w:rsidRDefault="000A765C" w:rsidP="00F40C0E">
            <w:pPr>
              <w:jc w:val="center"/>
              <w:textAlignment w:val="baseline"/>
              <w:rPr>
                <w:rFonts w:cstheme="minorHAnsi"/>
                <w:sz w:val="18"/>
                <w:szCs w:val="18"/>
              </w:rPr>
            </w:pPr>
            <w:r>
              <w:t>-0.86</w:t>
            </w:r>
          </w:p>
        </w:tc>
        <w:tc>
          <w:tcPr>
            <w:tcW w:w="987" w:type="dxa"/>
            <w:tcBorders>
              <w:top w:val="nil"/>
              <w:left w:val="nil"/>
              <w:bottom w:val="nil"/>
              <w:right w:val="nil"/>
            </w:tcBorders>
            <w:vAlign w:val="center"/>
          </w:tcPr>
          <w:p w14:paraId="03605FC9"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0.390</w:t>
            </w:r>
          </w:p>
        </w:tc>
      </w:tr>
      <w:tr w:rsidR="000A765C" w:rsidRPr="00CC69B2" w14:paraId="5D80508F" w14:textId="77777777" w:rsidTr="03C1BF83">
        <w:trPr>
          <w:trHeight w:val="1307"/>
        </w:trPr>
        <w:tc>
          <w:tcPr>
            <w:tcW w:w="1950" w:type="dxa"/>
            <w:tcBorders>
              <w:top w:val="nil"/>
              <w:left w:val="nil"/>
              <w:bottom w:val="nil"/>
              <w:right w:val="nil"/>
            </w:tcBorders>
            <w:vAlign w:val="center"/>
          </w:tcPr>
          <w:p w14:paraId="01434AD9" w14:textId="120B24A7" w:rsidR="000A765C" w:rsidRDefault="000A765C" w:rsidP="00F40C0E">
            <w:pPr>
              <w:textAlignment w:val="baseline"/>
              <w:rPr>
                <w:rFonts w:eastAsia="Calibri" w:cstheme="minorHAnsi"/>
                <w:color w:val="000000"/>
                <w:sz w:val="18"/>
                <w:szCs w:val="18"/>
                <w:shd w:val="clear" w:color="auto" w:fill="FFFFFF"/>
                <w:lang w:val="en-US"/>
              </w:rPr>
            </w:pPr>
            <w:r w:rsidRPr="00D81963">
              <w:rPr>
                <w:lang w:val="en-US"/>
              </w:rPr>
              <w:t>(</w:t>
            </w:r>
            <w:r>
              <w:rPr>
                <w:lang w:val="en-US"/>
              </w:rPr>
              <w:t>C</w:t>
            </w:r>
            <w:r w:rsidRPr="00D81963">
              <w:rPr>
                <w:lang w:val="en-US"/>
              </w:rPr>
              <w:t>lassification</w:t>
            </w:r>
            <w:r w:rsidRPr="00D81963">
              <w:rPr>
                <w:lang w:val="en-US"/>
              </w:rPr>
              <w:br/>
              <w:t>[</w:t>
            </w:r>
            <w:r>
              <w:rPr>
                <w:lang w:val="en-US"/>
              </w:rPr>
              <w:t>confus</w:t>
            </w:r>
            <w:r w:rsidRPr="00D81963">
              <w:rPr>
                <w:lang w:val="en-US"/>
              </w:rPr>
              <w:t xml:space="preserve">ed] × </w:t>
            </w:r>
            <w:r>
              <w:rPr>
                <w:lang w:val="en-US"/>
              </w:rPr>
              <w:t xml:space="preserve">Veracity </w:t>
            </w:r>
            <w:r w:rsidR="00EA5471">
              <w:rPr>
                <w:lang w:val="en-US"/>
              </w:rPr>
              <w:t xml:space="preserve">cue </w:t>
            </w:r>
            <w:r w:rsidRPr="00D81963">
              <w:rPr>
                <w:lang w:val="en-US"/>
              </w:rPr>
              <w:t xml:space="preserve">[false]) × </w:t>
            </w:r>
            <w:r w:rsidR="00EA5471">
              <w:rPr>
                <w:lang w:val="en-US"/>
              </w:rPr>
              <w:t>d</w:t>
            </w:r>
            <w:r>
              <w:rPr>
                <w:lang w:val="en-US"/>
              </w:rPr>
              <w:t xml:space="preserve">iscriminability </w:t>
            </w:r>
            <w:r w:rsidRPr="00D81963">
              <w:rPr>
                <w:lang w:val="en-US"/>
              </w:rPr>
              <w:t>[low]</w:t>
            </w:r>
          </w:p>
        </w:tc>
        <w:tc>
          <w:tcPr>
            <w:tcW w:w="1189" w:type="dxa"/>
            <w:tcBorders>
              <w:top w:val="nil"/>
              <w:left w:val="nil"/>
              <w:bottom w:val="nil"/>
              <w:right w:val="nil"/>
            </w:tcBorders>
            <w:vAlign w:val="center"/>
          </w:tcPr>
          <w:p w14:paraId="0D9B2626"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1.21</w:t>
            </w:r>
          </w:p>
        </w:tc>
        <w:tc>
          <w:tcPr>
            <w:tcW w:w="1187" w:type="dxa"/>
            <w:tcBorders>
              <w:top w:val="nil"/>
              <w:left w:val="nil"/>
              <w:bottom w:val="nil"/>
              <w:right w:val="nil"/>
            </w:tcBorders>
            <w:vAlign w:val="center"/>
          </w:tcPr>
          <w:p w14:paraId="141345F1"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1.21</w:t>
            </w:r>
          </w:p>
        </w:tc>
        <w:tc>
          <w:tcPr>
            <w:tcW w:w="1430" w:type="dxa"/>
            <w:tcBorders>
              <w:top w:val="nil"/>
              <w:left w:val="nil"/>
              <w:bottom w:val="nil"/>
              <w:right w:val="nil"/>
            </w:tcBorders>
            <w:vAlign w:val="center"/>
          </w:tcPr>
          <w:p w14:paraId="426EEE21" w14:textId="77777777" w:rsidR="000A765C" w:rsidRPr="00CC69B2" w:rsidRDefault="000A765C" w:rsidP="00F40C0E">
            <w:pPr>
              <w:jc w:val="center"/>
              <w:textAlignment w:val="baseline"/>
              <w:rPr>
                <w:rFonts w:cstheme="minorHAnsi"/>
                <w:sz w:val="18"/>
                <w:szCs w:val="18"/>
              </w:rPr>
            </w:pPr>
            <w:r>
              <w:t>0.92 – 1.60</w:t>
            </w:r>
          </w:p>
        </w:tc>
        <w:tc>
          <w:tcPr>
            <w:tcW w:w="1474" w:type="dxa"/>
            <w:tcBorders>
              <w:top w:val="nil"/>
              <w:left w:val="nil"/>
              <w:bottom w:val="nil"/>
              <w:right w:val="nil"/>
            </w:tcBorders>
            <w:vAlign w:val="center"/>
          </w:tcPr>
          <w:p w14:paraId="34B23354" w14:textId="77777777" w:rsidR="000A765C" w:rsidRPr="00CC69B2" w:rsidRDefault="000A765C" w:rsidP="00F40C0E">
            <w:pPr>
              <w:jc w:val="center"/>
              <w:textAlignment w:val="baseline"/>
              <w:rPr>
                <w:rFonts w:cstheme="minorHAnsi"/>
                <w:sz w:val="18"/>
                <w:szCs w:val="18"/>
              </w:rPr>
            </w:pPr>
            <w:r>
              <w:t>0.92 – 1.60</w:t>
            </w:r>
          </w:p>
        </w:tc>
        <w:tc>
          <w:tcPr>
            <w:tcW w:w="1189" w:type="dxa"/>
            <w:tcBorders>
              <w:top w:val="nil"/>
              <w:left w:val="nil"/>
              <w:bottom w:val="nil"/>
              <w:right w:val="nil"/>
            </w:tcBorders>
            <w:vAlign w:val="center"/>
          </w:tcPr>
          <w:p w14:paraId="3367FCAD" w14:textId="77777777" w:rsidR="000A765C" w:rsidRPr="00CC69B2" w:rsidRDefault="000A765C" w:rsidP="00F40C0E">
            <w:pPr>
              <w:jc w:val="center"/>
              <w:textAlignment w:val="baseline"/>
              <w:rPr>
                <w:rFonts w:cstheme="minorHAnsi"/>
                <w:sz w:val="18"/>
                <w:szCs w:val="18"/>
              </w:rPr>
            </w:pPr>
            <w:r>
              <w:t>1.37</w:t>
            </w:r>
          </w:p>
        </w:tc>
        <w:tc>
          <w:tcPr>
            <w:tcW w:w="987" w:type="dxa"/>
            <w:tcBorders>
              <w:top w:val="nil"/>
              <w:left w:val="nil"/>
              <w:bottom w:val="nil"/>
              <w:right w:val="nil"/>
            </w:tcBorders>
            <w:vAlign w:val="center"/>
          </w:tcPr>
          <w:p w14:paraId="3755468D"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0.171</w:t>
            </w:r>
          </w:p>
        </w:tc>
      </w:tr>
      <w:tr w:rsidR="000A765C" w:rsidRPr="00CC69B2" w14:paraId="6C58CF98" w14:textId="77777777" w:rsidTr="03C1BF83">
        <w:trPr>
          <w:trHeight w:val="763"/>
        </w:trPr>
        <w:tc>
          <w:tcPr>
            <w:tcW w:w="1950" w:type="dxa"/>
            <w:tcBorders>
              <w:top w:val="nil"/>
              <w:left w:val="nil"/>
              <w:bottom w:val="single" w:sz="4" w:space="0" w:color="auto"/>
              <w:right w:val="nil"/>
            </w:tcBorders>
            <w:vAlign w:val="center"/>
          </w:tcPr>
          <w:p w14:paraId="1E9F66C7" w14:textId="614A3CF5" w:rsidR="000A765C" w:rsidRDefault="000A765C" w:rsidP="00F40C0E">
            <w:pPr>
              <w:textAlignment w:val="baseline"/>
              <w:rPr>
                <w:rFonts w:eastAsia="Calibri" w:cstheme="minorHAnsi"/>
                <w:color w:val="000000"/>
                <w:sz w:val="18"/>
                <w:szCs w:val="18"/>
                <w:shd w:val="clear" w:color="auto" w:fill="FFFFFF"/>
                <w:lang w:val="en-US"/>
              </w:rPr>
            </w:pPr>
            <w:r w:rsidRPr="00D81963">
              <w:rPr>
                <w:lang w:val="en-US"/>
              </w:rPr>
              <w:t>(</w:t>
            </w:r>
            <w:r>
              <w:rPr>
                <w:lang w:val="en-US"/>
              </w:rPr>
              <w:t>C</w:t>
            </w:r>
            <w:r w:rsidRPr="00D81963">
              <w:rPr>
                <w:lang w:val="en-US"/>
              </w:rPr>
              <w:t>lassification</w:t>
            </w:r>
            <w:r w:rsidRPr="00D81963">
              <w:rPr>
                <w:lang w:val="en-US"/>
              </w:rPr>
              <w:br/>
              <w:t>[misidentified] ×</w:t>
            </w:r>
            <w:r w:rsidRPr="00D81963">
              <w:rPr>
                <w:lang w:val="en-US"/>
              </w:rPr>
              <w:br/>
            </w:r>
            <w:r>
              <w:rPr>
                <w:lang w:val="en-US"/>
              </w:rPr>
              <w:t>Veracity</w:t>
            </w:r>
            <w:r w:rsidRPr="00D81963">
              <w:rPr>
                <w:lang w:val="en-US"/>
              </w:rPr>
              <w:t xml:space="preserve"> </w:t>
            </w:r>
            <w:r w:rsidR="00EA5471">
              <w:rPr>
                <w:lang w:val="en-US"/>
              </w:rPr>
              <w:t xml:space="preserve">cue </w:t>
            </w:r>
            <w:r w:rsidRPr="00D81963">
              <w:rPr>
                <w:lang w:val="en-US"/>
              </w:rPr>
              <w:t>[false]) ×</w:t>
            </w:r>
            <w:r w:rsidRPr="00D81963">
              <w:rPr>
                <w:lang w:val="en-US"/>
              </w:rPr>
              <w:br/>
            </w:r>
            <w:r>
              <w:rPr>
                <w:lang w:val="en-US"/>
              </w:rPr>
              <w:t>Discriminability</w:t>
            </w:r>
            <w:r w:rsidRPr="00D81963">
              <w:rPr>
                <w:lang w:val="en-US"/>
              </w:rPr>
              <w:t xml:space="preserve"> [low]</w:t>
            </w:r>
          </w:p>
        </w:tc>
        <w:tc>
          <w:tcPr>
            <w:tcW w:w="1189" w:type="dxa"/>
            <w:tcBorders>
              <w:top w:val="nil"/>
              <w:left w:val="nil"/>
              <w:bottom w:val="single" w:sz="4" w:space="0" w:color="auto"/>
              <w:right w:val="nil"/>
            </w:tcBorders>
            <w:vAlign w:val="center"/>
          </w:tcPr>
          <w:p w14:paraId="64369830"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1.01</w:t>
            </w:r>
          </w:p>
        </w:tc>
        <w:tc>
          <w:tcPr>
            <w:tcW w:w="1187" w:type="dxa"/>
            <w:tcBorders>
              <w:top w:val="nil"/>
              <w:left w:val="nil"/>
              <w:bottom w:val="single" w:sz="4" w:space="0" w:color="auto"/>
              <w:right w:val="nil"/>
            </w:tcBorders>
            <w:vAlign w:val="center"/>
          </w:tcPr>
          <w:p w14:paraId="1D79569C"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1.01</w:t>
            </w:r>
          </w:p>
        </w:tc>
        <w:tc>
          <w:tcPr>
            <w:tcW w:w="1430" w:type="dxa"/>
            <w:tcBorders>
              <w:top w:val="nil"/>
              <w:left w:val="nil"/>
              <w:bottom w:val="single" w:sz="4" w:space="0" w:color="auto"/>
              <w:right w:val="nil"/>
            </w:tcBorders>
            <w:vAlign w:val="center"/>
          </w:tcPr>
          <w:p w14:paraId="52FC6B19" w14:textId="77777777" w:rsidR="000A765C" w:rsidRPr="00CC69B2" w:rsidRDefault="000A765C" w:rsidP="00F40C0E">
            <w:pPr>
              <w:jc w:val="center"/>
              <w:textAlignment w:val="baseline"/>
              <w:rPr>
                <w:rFonts w:cstheme="minorHAnsi"/>
                <w:sz w:val="18"/>
                <w:szCs w:val="18"/>
              </w:rPr>
            </w:pPr>
            <w:r>
              <w:t>0.74 – 1.38</w:t>
            </w:r>
          </w:p>
        </w:tc>
        <w:tc>
          <w:tcPr>
            <w:tcW w:w="1474" w:type="dxa"/>
            <w:tcBorders>
              <w:top w:val="nil"/>
              <w:left w:val="nil"/>
              <w:bottom w:val="single" w:sz="4" w:space="0" w:color="auto"/>
              <w:right w:val="nil"/>
            </w:tcBorders>
            <w:vAlign w:val="center"/>
          </w:tcPr>
          <w:p w14:paraId="38A58269" w14:textId="77777777" w:rsidR="000A765C" w:rsidRPr="00CC69B2" w:rsidRDefault="000A765C" w:rsidP="00F40C0E">
            <w:pPr>
              <w:jc w:val="center"/>
              <w:textAlignment w:val="baseline"/>
              <w:rPr>
                <w:rFonts w:cstheme="minorHAnsi"/>
                <w:sz w:val="18"/>
                <w:szCs w:val="18"/>
              </w:rPr>
            </w:pPr>
            <w:r>
              <w:t>0.74 – 1.38</w:t>
            </w:r>
          </w:p>
        </w:tc>
        <w:tc>
          <w:tcPr>
            <w:tcW w:w="1189" w:type="dxa"/>
            <w:tcBorders>
              <w:top w:val="nil"/>
              <w:left w:val="nil"/>
              <w:bottom w:val="single" w:sz="4" w:space="0" w:color="auto"/>
              <w:right w:val="nil"/>
            </w:tcBorders>
            <w:vAlign w:val="center"/>
          </w:tcPr>
          <w:p w14:paraId="4088D84D" w14:textId="77777777" w:rsidR="000A765C" w:rsidRPr="00CC69B2" w:rsidRDefault="000A765C" w:rsidP="00F40C0E">
            <w:pPr>
              <w:jc w:val="center"/>
              <w:textAlignment w:val="baseline"/>
              <w:rPr>
                <w:rFonts w:cstheme="minorHAnsi"/>
                <w:sz w:val="18"/>
                <w:szCs w:val="18"/>
              </w:rPr>
            </w:pPr>
            <w:r>
              <w:t>0.08</w:t>
            </w:r>
          </w:p>
        </w:tc>
        <w:tc>
          <w:tcPr>
            <w:tcW w:w="987" w:type="dxa"/>
            <w:tcBorders>
              <w:top w:val="nil"/>
              <w:left w:val="nil"/>
              <w:bottom w:val="single" w:sz="4" w:space="0" w:color="auto"/>
              <w:right w:val="nil"/>
            </w:tcBorders>
            <w:vAlign w:val="center"/>
          </w:tcPr>
          <w:p w14:paraId="5CDED9DD"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t>0.936</w:t>
            </w:r>
          </w:p>
        </w:tc>
      </w:tr>
      <w:tr w:rsidR="000A765C" w:rsidRPr="00CC69B2" w14:paraId="58F1E177" w14:textId="77777777" w:rsidTr="03C1BF83">
        <w:trPr>
          <w:trHeight w:val="283"/>
        </w:trPr>
        <w:tc>
          <w:tcPr>
            <w:tcW w:w="9406" w:type="dxa"/>
            <w:gridSpan w:val="7"/>
            <w:tcBorders>
              <w:top w:val="single" w:sz="4" w:space="0" w:color="auto"/>
              <w:left w:val="nil"/>
              <w:bottom w:val="nil"/>
              <w:right w:val="nil"/>
            </w:tcBorders>
            <w:vAlign w:val="center"/>
          </w:tcPr>
          <w:p w14:paraId="2620F208" w14:textId="77777777" w:rsidR="000A765C" w:rsidRPr="00CD384F" w:rsidRDefault="000A765C" w:rsidP="00F40C0E">
            <w:pPr>
              <w:textAlignment w:val="baseline"/>
              <w:rPr>
                <w:rFonts w:eastAsia="Calibri" w:cstheme="minorHAnsi"/>
                <w:b/>
                <w:bCs/>
                <w:color w:val="000000"/>
                <w:sz w:val="18"/>
                <w:szCs w:val="18"/>
                <w:shd w:val="clear" w:color="auto" w:fill="FFFFFF"/>
                <w:lang w:val="en-US"/>
              </w:rPr>
            </w:pPr>
            <w:r w:rsidRPr="00CD384F">
              <w:rPr>
                <w:rFonts w:eastAsia="Calibri" w:cstheme="minorHAnsi"/>
                <w:b/>
                <w:bCs/>
                <w:color w:val="000000"/>
                <w:sz w:val="18"/>
                <w:szCs w:val="18"/>
                <w:shd w:val="clear" w:color="auto" w:fill="FFFFFF"/>
                <w:lang w:val="en-US"/>
              </w:rPr>
              <w:t>Random effects</w:t>
            </w:r>
          </w:p>
        </w:tc>
      </w:tr>
      <w:tr w:rsidR="000A765C" w:rsidRPr="00CC69B2" w14:paraId="46704BBF" w14:textId="77777777" w:rsidTr="03C1BF83">
        <w:trPr>
          <w:trHeight w:val="276"/>
        </w:trPr>
        <w:tc>
          <w:tcPr>
            <w:tcW w:w="1950" w:type="dxa"/>
            <w:tcBorders>
              <w:top w:val="nil"/>
              <w:left w:val="nil"/>
              <w:bottom w:val="nil"/>
              <w:right w:val="nil"/>
            </w:tcBorders>
          </w:tcPr>
          <w:p w14:paraId="526373C9" w14:textId="77777777" w:rsidR="000A765C" w:rsidRPr="00CC69B2" w:rsidRDefault="000A765C" w:rsidP="00F40C0E">
            <w:pPr>
              <w:textAlignment w:val="baseline"/>
              <w:rPr>
                <w:rFonts w:eastAsia="Calibri" w:cstheme="minorHAnsi"/>
                <w:i/>
                <w:iCs/>
                <w:color w:val="000000"/>
                <w:sz w:val="18"/>
                <w:szCs w:val="18"/>
                <w:shd w:val="clear" w:color="auto" w:fill="FFFFFF"/>
                <w:lang w:val="en-US"/>
              </w:rPr>
            </w:pPr>
            <w:proofErr w:type="spellStart"/>
            <w:r w:rsidRPr="00CC69B2">
              <w:rPr>
                <w:rFonts w:eastAsia="Calibri" w:cstheme="minorHAnsi"/>
                <w:i/>
                <w:iCs/>
                <w:color w:val="000000"/>
                <w:sz w:val="18"/>
                <w:szCs w:val="18"/>
                <w:shd w:val="clear" w:color="auto" w:fill="FFFFFF"/>
                <w:lang w:val="en-US"/>
              </w:rPr>
              <w:t>N</w:t>
            </w:r>
            <w:r w:rsidRPr="00CC69B2">
              <w:rPr>
                <w:rFonts w:eastAsia="Calibri" w:cstheme="minorHAnsi"/>
                <w:i/>
                <w:iCs/>
                <w:color w:val="000000"/>
                <w:sz w:val="18"/>
                <w:szCs w:val="18"/>
                <w:shd w:val="clear" w:color="auto" w:fill="FFFFFF"/>
                <w:vertAlign w:val="subscript"/>
                <w:lang w:val="en-US"/>
              </w:rPr>
              <w:t>participant</w:t>
            </w:r>
            <w:proofErr w:type="spellEnd"/>
          </w:p>
        </w:tc>
        <w:tc>
          <w:tcPr>
            <w:tcW w:w="7456" w:type="dxa"/>
            <w:gridSpan w:val="6"/>
            <w:tcBorders>
              <w:top w:val="nil"/>
              <w:left w:val="nil"/>
              <w:bottom w:val="nil"/>
              <w:right w:val="nil"/>
            </w:tcBorders>
            <w:vAlign w:val="center"/>
          </w:tcPr>
          <w:p w14:paraId="4C5DD2E4"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Fonts w:eastAsia="Calibri" w:cstheme="minorHAnsi"/>
                <w:color w:val="000000"/>
                <w:sz w:val="18"/>
                <w:szCs w:val="18"/>
                <w:shd w:val="clear" w:color="auto" w:fill="FFFFFF"/>
                <w:lang w:val="en-US"/>
              </w:rPr>
              <w:t>248</w:t>
            </w:r>
          </w:p>
        </w:tc>
      </w:tr>
      <w:tr w:rsidR="000A765C" w:rsidRPr="00CC69B2" w14:paraId="4E252508" w14:textId="77777777" w:rsidTr="03C1BF83">
        <w:trPr>
          <w:trHeight w:val="276"/>
        </w:trPr>
        <w:tc>
          <w:tcPr>
            <w:tcW w:w="1950" w:type="dxa"/>
            <w:tcBorders>
              <w:top w:val="nil"/>
              <w:left w:val="nil"/>
              <w:bottom w:val="nil"/>
              <w:right w:val="nil"/>
            </w:tcBorders>
          </w:tcPr>
          <w:p w14:paraId="5D16ACD6" w14:textId="77777777" w:rsidR="000A765C" w:rsidRPr="00CC69B2" w:rsidRDefault="000A765C" w:rsidP="00F40C0E">
            <w:pPr>
              <w:textAlignment w:val="baseline"/>
              <w:rPr>
                <w:rFonts w:eastAsia="Calibri" w:cstheme="minorHAnsi"/>
                <w:i/>
                <w:iCs/>
                <w:color w:val="000000"/>
                <w:sz w:val="18"/>
                <w:szCs w:val="18"/>
                <w:shd w:val="clear" w:color="auto" w:fill="FFFFFF"/>
                <w:lang w:val="en-US"/>
              </w:rPr>
            </w:pPr>
            <w:proofErr w:type="spellStart"/>
            <w:r w:rsidRPr="00CC69B2">
              <w:rPr>
                <w:rFonts w:eastAsia="Calibri" w:cstheme="minorHAnsi"/>
                <w:i/>
                <w:iCs/>
                <w:color w:val="000000"/>
                <w:sz w:val="18"/>
                <w:szCs w:val="18"/>
                <w:shd w:val="clear" w:color="auto" w:fill="FFFFFF"/>
                <w:lang w:val="en-US"/>
              </w:rPr>
              <w:t>N</w:t>
            </w:r>
            <w:r w:rsidRPr="00CC69B2">
              <w:rPr>
                <w:rFonts w:eastAsia="Calibri" w:cstheme="minorHAnsi"/>
                <w:i/>
                <w:iCs/>
                <w:color w:val="000000"/>
                <w:sz w:val="18"/>
                <w:szCs w:val="18"/>
                <w:shd w:val="clear" w:color="auto" w:fill="FFFFFF"/>
                <w:vertAlign w:val="subscript"/>
                <w:lang w:val="en-US"/>
              </w:rPr>
              <w:t>item</w:t>
            </w:r>
            <w:proofErr w:type="spellEnd"/>
          </w:p>
        </w:tc>
        <w:tc>
          <w:tcPr>
            <w:tcW w:w="7456" w:type="dxa"/>
            <w:gridSpan w:val="6"/>
            <w:tcBorders>
              <w:top w:val="nil"/>
              <w:left w:val="nil"/>
              <w:bottom w:val="nil"/>
              <w:right w:val="nil"/>
            </w:tcBorders>
            <w:vAlign w:val="center"/>
          </w:tcPr>
          <w:p w14:paraId="49F16E66"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sidRPr="00CC69B2">
              <w:rPr>
                <w:rFonts w:eastAsia="Calibri" w:cstheme="minorHAnsi"/>
                <w:color w:val="000000"/>
                <w:sz w:val="18"/>
                <w:szCs w:val="18"/>
                <w:shd w:val="clear" w:color="auto" w:fill="FFFFFF"/>
                <w:lang w:val="en-US"/>
              </w:rPr>
              <w:t>200</w:t>
            </w:r>
          </w:p>
        </w:tc>
      </w:tr>
      <w:tr w:rsidR="000A765C" w:rsidRPr="00CC69B2" w14:paraId="2F6360ED" w14:textId="77777777" w:rsidTr="03C1BF83">
        <w:trPr>
          <w:trHeight w:val="276"/>
        </w:trPr>
        <w:tc>
          <w:tcPr>
            <w:tcW w:w="1950" w:type="dxa"/>
            <w:tcBorders>
              <w:top w:val="nil"/>
              <w:left w:val="nil"/>
              <w:bottom w:val="nil"/>
              <w:right w:val="nil"/>
            </w:tcBorders>
          </w:tcPr>
          <w:p w14:paraId="020A85EB" w14:textId="77777777" w:rsidR="000A765C" w:rsidRPr="00CC69B2" w:rsidRDefault="000A765C" w:rsidP="00F40C0E">
            <w:pPr>
              <w:textAlignment w:val="baseline"/>
              <w:rPr>
                <w:rFonts w:eastAsia="Calibri" w:cstheme="minorHAnsi"/>
                <w:color w:val="000000"/>
                <w:sz w:val="18"/>
                <w:szCs w:val="18"/>
                <w:shd w:val="clear" w:color="auto" w:fill="FFFFFF"/>
                <w:lang w:val="en-US"/>
              </w:rPr>
            </w:pPr>
            <w:r w:rsidRPr="00CC69B2">
              <w:rPr>
                <w:rFonts w:eastAsia="Calibri" w:cstheme="minorHAnsi"/>
                <w:color w:val="000000"/>
                <w:sz w:val="18"/>
                <w:szCs w:val="18"/>
                <w:shd w:val="clear" w:color="auto" w:fill="FFFFFF"/>
                <w:lang w:val="en-US"/>
              </w:rPr>
              <w:t>Observations</w:t>
            </w:r>
          </w:p>
        </w:tc>
        <w:tc>
          <w:tcPr>
            <w:tcW w:w="7456" w:type="dxa"/>
            <w:gridSpan w:val="6"/>
            <w:tcBorders>
              <w:top w:val="nil"/>
              <w:left w:val="nil"/>
              <w:bottom w:val="nil"/>
              <w:right w:val="nil"/>
            </w:tcBorders>
            <w:vAlign w:val="center"/>
          </w:tcPr>
          <w:p w14:paraId="68C02BF6" w14:textId="77777777" w:rsidR="000A765C" w:rsidRPr="00CC69B2" w:rsidRDefault="000A765C" w:rsidP="00F40C0E">
            <w:pPr>
              <w:jc w:val="center"/>
              <w:textAlignment w:val="baseline"/>
              <w:rPr>
                <w:rFonts w:eastAsia="Calibri" w:cstheme="minorHAnsi"/>
                <w:color w:val="000000"/>
                <w:sz w:val="18"/>
                <w:szCs w:val="18"/>
                <w:shd w:val="clear" w:color="auto" w:fill="FFFFFF"/>
                <w:lang w:val="en-US"/>
              </w:rPr>
            </w:pPr>
            <w:r>
              <w:rPr>
                <w:rFonts w:eastAsia="Calibri" w:cstheme="minorHAnsi"/>
                <w:color w:val="000000"/>
                <w:sz w:val="18"/>
                <w:szCs w:val="18"/>
                <w:shd w:val="clear" w:color="auto" w:fill="FFFFFF"/>
                <w:lang w:val="en-US"/>
              </w:rPr>
              <w:t>29,760</w:t>
            </w:r>
          </w:p>
        </w:tc>
      </w:tr>
    </w:tbl>
    <w:p w14:paraId="49997EFC" w14:textId="77777777" w:rsidR="000A765C" w:rsidRDefault="000A765C" w:rsidP="000A765C">
      <w:pPr>
        <w:spacing w:after="0" w:line="240" w:lineRule="auto"/>
        <w:rPr>
          <w:rFonts w:ascii="Times New Roman" w:eastAsia="Calibri" w:hAnsi="Times New Roman" w:cs="Times New Roman"/>
          <w:b/>
          <w:bCs/>
          <w:color w:val="000000"/>
          <w:sz w:val="24"/>
          <w:szCs w:val="24"/>
          <w:shd w:val="clear" w:color="auto" w:fill="FFFFFF"/>
          <w:lang w:val="en-US"/>
        </w:rPr>
      </w:pPr>
    </w:p>
    <w:p w14:paraId="20A9560D" w14:textId="77777777" w:rsidR="000A765C" w:rsidRDefault="000A765C" w:rsidP="000A765C">
      <w:pPr>
        <w:spacing w:after="0" w:line="240" w:lineRule="auto"/>
        <w:rPr>
          <w:rFonts w:ascii="Times New Roman" w:eastAsia="Calibri" w:hAnsi="Times New Roman" w:cs="Times New Roman"/>
          <w:b/>
          <w:bCs/>
          <w:color w:val="000000"/>
          <w:sz w:val="24"/>
          <w:szCs w:val="24"/>
          <w:shd w:val="clear" w:color="auto" w:fill="FFFFFF"/>
          <w:lang w:val="en-US"/>
        </w:rPr>
      </w:pPr>
    </w:p>
    <w:p w14:paraId="1B56F5A9" w14:textId="77777777" w:rsidR="000A765C" w:rsidRDefault="000A765C" w:rsidP="000A765C">
      <w:pPr>
        <w:spacing w:after="0" w:line="240" w:lineRule="auto"/>
        <w:rPr>
          <w:rFonts w:ascii="Times New Roman" w:eastAsia="Calibri" w:hAnsi="Times New Roman" w:cs="Times New Roman"/>
          <w:b/>
          <w:bCs/>
          <w:color w:val="000000"/>
          <w:sz w:val="24"/>
          <w:szCs w:val="24"/>
          <w:shd w:val="clear" w:color="auto" w:fill="FFFFFF"/>
          <w:lang w:val="en-US"/>
        </w:rPr>
      </w:pPr>
    </w:p>
    <w:p w14:paraId="74CE5A77" w14:textId="77777777" w:rsidR="000A765C" w:rsidRPr="000A765C" w:rsidRDefault="000A765C">
      <w:pPr>
        <w:rPr>
          <w:b/>
          <w:bCs/>
          <w:lang w:val="en-US"/>
        </w:rPr>
      </w:pPr>
    </w:p>
    <w:sectPr w:rsidR="000A765C" w:rsidRPr="000A765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zA1NzCyNDU3NzKyNDRS0lEKTi0uzszPAykwrgUAjEughCwAAAA="/>
  </w:docVars>
  <w:rsids>
    <w:rsidRoot w:val="003724A2"/>
    <w:rsid w:val="000A765C"/>
    <w:rsid w:val="001E31C9"/>
    <w:rsid w:val="003724A2"/>
    <w:rsid w:val="00441709"/>
    <w:rsid w:val="00475B8F"/>
    <w:rsid w:val="004C40A7"/>
    <w:rsid w:val="00565A65"/>
    <w:rsid w:val="006419C4"/>
    <w:rsid w:val="006F0C0B"/>
    <w:rsid w:val="00717F6F"/>
    <w:rsid w:val="007741AD"/>
    <w:rsid w:val="009C1449"/>
    <w:rsid w:val="00AE0E78"/>
    <w:rsid w:val="00BA3E47"/>
    <w:rsid w:val="00EA5471"/>
    <w:rsid w:val="03C1BF83"/>
    <w:rsid w:val="172E77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692FB"/>
  <w15:chartTrackingRefBased/>
  <w15:docId w15:val="{88A4F3A6-D884-43D5-BBA0-D301BEED2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72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72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724A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724A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724A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724A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724A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724A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724A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24A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724A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724A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724A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724A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724A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724A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724A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724A2"/>
    <w:rPr>
      <w:rFonts w:eastAsiaTheme="majorEastAsia" w:cstheme="majorBidi"/>
      <w:color w:val="272727" w:themeColor="text1" w:themeTint="D8"/>
    </w:rPr>
  </w:style>
  <w:style w:type="paragraph" w:styleId="Titel">
    <w:name w:val="Title"/>
    <w:basedOn w:val="Standard"/>
    <w:next w:val="Standard"/>
    <w:link w:val="TitelZchn"/>
    <w:uiPriority w:val="10"/>
    <w:qFormat/>
    <w:rsid w:val="00372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724A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724A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724A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724A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724A2"/>
    <w:rPr>
      <w:i/>
      <w:iCs/>
      <w:color w:val="404040" w:themeColor="text1" w:themeTint="BF"/>
    </w:rPr>
  </w:style>
  <w:style w:type="paragraph" w:styleId="Listenabsatz">
    <w:name w:val="List Paragraph"/>
    <w:basedOn w:val="Standard"/>
    <w:uiPriority w:val="34"/>
    <w:qFormat/>
    <w:rsid w:val="003724A2"/>
    <w:pPr>
      <w:ind w:left="720"/>
      <w:contextualSpacing/>
    </w:pPr>
  </w:style>
  <w:style w:type="character" w:styleId="IntensiveHervorhebung">
    <w:name w:val="Intense Emphasis"/>
    <w:basedOn w:val="Absatz-Standardschriftart"/>
    <w:uiPriority w:val="21"/>
    <w:qFormat/>
    <w:rsid w:val="003724A2"/>
    <w:rPr>
      <w:i/>
      <w:iCs/>
      <w:color w:val="0F4761" w:themeColor="accent1" w:themeShade="BF"/>
    </w:rPr>
  </w:style>
  <w:style w:type="paragraph" w:styleId="IntensivesZitat">
    <w:name w:val="Intense Quote"/>
    <w:basedOn w:val="Standard"/>
    <w:next w:val="Standard"/>
    <w:link w:val="IntensivesZitatZchn"/>
    <w:uiPriority w:val="30"/>
    <w:qFormat/>
    <w:rsid w:val="00372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724A2"/>
    <w:rPr>
      <w:i/>
      <w:iCs/>
      <w:color w:val="0F4761" w:themeColor="accent1" w:themeShade="BF"/>
    </w:rPr>
  </w:style>
  <w:style w:type="character" w:styleId="IntensiverVerweis">
    <w:name w:val="Intense Reference"/>
    <w:basedOn w:val="Absatz-Standardschriftart"/>
    <w:uiPriority w:val="32"/>
    <w:qFormat/>
    <w:rsid w:val="003724A2"/>
    <w:rPr>
      <w:b/>
      <w:bCs/>
      <w:smallCaps/>
      <w:color w:val="0F4761" w:themeColor="accent1" w:themeShade="BF"/>
      <w:spacing w:val="5"/>
    </w:rPr>
  </w:style>
  <w:style w:type="table" w:styleId="Tabellenraster">
    <w:name w:val="Table Grid"/>
    <w:basedOn w:val="NormaleTabelle"/>
    <w:uiPriority w:val="39"/>
    <w:rsid w:val="000A765C"/>
    <w:pPr>
      <w:suppressAutoHyphens/>
      <w:spacing w:after="0" w:line="240" w:lineRule="auto"/>
    </w:pPr>
    <w:rPr>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0A76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C8DB95578C4B64C817AC0B133B797AA" ma:contentTypeVersion="4" ma:contentTypeDescription="Ein neues Dokument erstellen." ma:contentTypeScope="" ma:versionID="d2813a63092896eb5d9e68ff8705ebca">
  <xsd:schema xmlns:xsd="http://www.w3.org/2001/XMLSchema" xmlns:xs="http://www.w3.org/2001/XMLSchema" xmlns:p="http://schemas.microsoft.com/office/2006/metadata/properties" xmlns:ns2="a9bbf3cd-bf29-4f30-85c5-66cb98f5ed87" targetNamespace="http://schemas.microsoft.com/office/2006/metadata/properties" ma:root="true" ma:fieldsID="f9d7910f7d3df763a04ddc7ca881f346" ns2:_="">
    <xsd:import namespace="a9bbf3cd-bf29-4f30-85c5-66cb98f5ed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bbf3cd-bf29-4f30-85c5-66cb98f5e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6665AB-257D-46A9-93C2-A22CAF7C2535}">
  <ds:schemaRefs>
    <ds:schemaRef ds:uri="http://schemas.microsoft.com/sharepoint/v3/contenttype/forms"/>
  </ds:schemaRefs>
</ds:datastoreItem>
</file>

<file path=customXml/itemProps2.xml><?xml version="1.0" encoding="utf-8"?>
<ds:datastoreItem xmlns:ds="http://schemas.openxmlformats.org/officeDocument/2006/customXml" ds:itemID="{EF5E9077-4608-4AEB-A66A-277B80DECC15}">
  <ds:schemaRefs>
    <ds:schemaRef ds:uri="http://schemas.microsoft.com/office/2006/documentManagement/types"/>
    <ds:schemaRef ds:uri="http://purl.org/dc/elements/1.1/"/>
    <ds:schemaRef ds:uri="http://schemas.microsoft.com/office/infopath/2007/PartnerControls"/>
    <ds:schemaRef ds:uri="http://purl.org/dc/dcmitype/"/>
    <ds:schemaRef ds:uri="http://schemas.microsoft.com/office/2006/metadata/properties"/>
    <ds:schemaRef ds:uri="a9bbf3cd-bf29-4f30-85c5-66cb98f5ed87"/>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FCA4B10C-C75E-4E87-9AF9-22D162C52B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bbf3cd-bf29-4f30-85c5-66cb98f5e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3719</Characters>
  <Application>Microsoft Office Word</Application>
  <DocSecurity>0</DocSecurity>
  <Lines>30</Lines>
  <Paragraphs>8</Paragraphs>
  <ScaleCrop>false</ScaleCrop>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Antes</dc:creator>
  <cp:keywords/>
  <dc:description/>
  <cp:lastModifiedBy>Nicole Antes</cp:lastModifiedBy>
  <cp:revision>2</cp:revision>
  <dcterms:created xsi:type="dcterms:W3CDTF">2025-03-25T09:28:00Z</dcterms:created>
  <dcterms:modified xsi:type="dcterms:W3CDTF">2025-03-25T09:28:00Z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0x010100FC8DB95578C4B64C817AC0B133B797AA</vt:lpwstr>
  </property>
</Properties>
</file>