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06562" w14:textId="35C88C35" w:rsidR="009535A7" w:rsidRPr="000F6B0A" w:rsidRDefault="009535A7" w:rsidP="009535A7">
      <w:pPr>
        <w:tabs>
          <w:tab w:val="left" w:pos="4620"/>
        </w:tabs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0"/>
          <w:szCs w:val="20"/>
          <w14:ligatures w14:val="standardContextual"/>
        </w:rPr>
      </w:pPr>
      <w:r>
        <w:rPr>
          <w:rFonts w:ascii="Times New Roman" w:eastAsia="宋体" w:hAnsi="Times New Roman" w:cs="Times New Roman" w:hint="eastAsia"/>
          <w:sz w:val="20"/>
          <w:szCs w:val="20"/>
        </w:rPr>
        <w:t xml:space="preserve">Supplementary File 1. </w:t>
      </w:r>
      <w:r>
        <w:rPr>
          <w:rFonts w:ascii="Times New Roman" w:eastAsia="宋体" w:hAnsi="Times New Roman" w:cs="Times New Roman" w:hint="eastAsia"/>
          <w:sz w:val="20"/>
          <w:szCs w:val="20"/>
          <w14:ligatures w14:val="standardContextual"/>
        </w:rPr>
        <w:t xml:space="preserve">Table. </w:t>
      </w:r>
      <w:r w:rsidRPr="006B3265">
        <w:rPr>
          <w:rFonts w:ascii="Times New Roman" w:eastAsia="宋体" w:hAnsi="Times New Roman" w:cs="Times New Roman"/>
          <w:sz w:val="20"/>
          <w:szCs w:val="20"/>
          <w14:ligatures w14:val="standardContextual"/>
        </w:rPr>
        <w:t>WHO Health System Six Building Blocks and core indicat</w:t>
      </w:r>
      <w:r w:rsidRPr="00A9502A">
        <w:rPr>
          <w:rFonts w:ascii="Times New Roman" w:eastAsia="宋体" w:hAnsi="Times New Roman" w:cs="Times New Roman"/>
          <w:sz w:val="20"/>
          <w:szCs w:val="20"/>
          <w14:ligatures w14:val="standardContextual"/>
        </w:rPr>
        <w:t>ors</w:t>
      </w:r>
      <w:r w:rsidRPr="00A9502A">
        <w:rPr>
          <w:rFonts w:ascii="Times New Roman" w:eastAsia="宋体" w:hAnsi="Times New Roman" w:cs="Times New Roman" w:hint="eastAsia"/>
          <w:sz w:val="20"/>
          <w:szCs w:val="20"/>
          <w:vertAlign w:val="superscript"/>
          <w14:ligatures w14:val="standardContextual"/>
        </w:rPr>
        <w:t>1</w:t>
      </w:r>
    </w:p>
    <w:tbl>
      <w:tblPr>
        <w:tblStyle w:val="ae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9424"/>
      </w:tblGrid>
      <w:tr w:rsidR="009535A7" w:rsidRPr="000F6B0A" w14:paraId="4B747BF7" w14:textId="77777777" w:rsidTr="000137E0">
        <w:tc>
          <w:tcPr>
            <w:tcW w:w="1624" w:type="pct"/>
            <w:tcBorders>
              <w:top w:val="single" w:sz="4" w:space="0" w:color="auto"/>
              <w:bottom w:val="single" w:sz="4" w:space="0" w:color="auto"/>
            </w:tcBorders>
          </w:tcPr>
          <w:p w14:paraId="3E9E49F3" w14:textId="77777777" w:rsidR="009535A7" w:rsidRPr="000F6B0A" w:rsidRDefault="009535A7" w:rsidP="000137E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14:ligatures w14:val="standardContextual"/>
              </w:rPr>
            </w:pPr>
            <w:r w:rsidRPr="000F6B0A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14:ligatures w14:val="standardContextual"/>
              </w:rPr>
              <w:t>Building blocks</w:t>
            </w:r>
          </w:p>
        </w:tc>
        <w:tc>
          <w:tcPr>
            <w:tcW w:w="3376" w:type="pct"/>
            <w:tcBorders>
              <w:top w:val="single" w:sz="4" w:space="0" w:color="auto"/>
              <w:bottom w:val="single" w:sz="4" w:space="0" w:color="auto"/>
            </w:tcBorders>
          </w:tcPr>
          <w:p w14:paraId="5987D7F3" w14:textId="77777777" w:rsidR="009535A7" w:rsidRPr="000F6B0A" w:rsidRDefault="009535A7" w:rsidP="000137E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14:ligatures w14:val="standardContextual"/>
              </w:rPr>
            </w:pPr>
            <w:r w:rsidRPr="000F6B0A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14:ligatures w14:val="standardContextual"/>
              </w:rPr>
              <w:t>Indicators</w:t>
            </w:r>
          </w:p>
        </w:tc>
      </w:tr>
      <w:tr w:rsidR="009535A7" w:rsidRPr="00FC12A8" w14:paraId="26C3195C" w14:textId="77777777" w:rsidTr="000137E0">
        <w:tc>
          <w:tcPr>
            <w:tcW w:w="1624" w:type="pct"/>
            <w:tcBorders>
              <w:top w:val="single" w:sz="4" w:space="0" w:color="auto"/>
            </w:tcBorders>
          </w:tcPr>
          <w:p w14:paraId="4EC481C7" w14:textId="77777777" w:rsidR="009535A7" w:rsidRPr="000F6B0A" w:rsidRDefault="009535A7" w:rsidP="000137E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14:ligatures w14:val="standardContextual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  <w14:ligatures w14:val="standardContextual"/>
              </w:rPr>
              <w:t>1. Health service delivery</w:t>
            </w:r>
          </w:p>
        </w:tc>
        <w:tc>
          <w:tcPr>
            <w:tcW w:w="3376" w:type="pct"/>
            <w:tcBorders>
              <w:top w:val="single" w:sz="4" w:space="0" w:color="auto"/>
            </w:tcBorders>
          </w:tcPr>
          <w:p w14:paraId="63B3A155" w14:textId="77777777" w:rsidR="009535A7" w:rsidRPr="000F6B0A" w:rsidRDefault="009535A7" w:rsidP="000137E0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</w:rPr>
              <w:t>Number and distribution of health facilities per 10 000 population</w:t>
            </w:r>
          </w:p>
          <w:p w14:paraId="7D41253F" w14:textId="77777777" w:rsidR="009535A7" w:rsidRPr="000F6B0A" w:rsidRDefault="009535A7" w:rsidP="000137E0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</w:rPr>
              <w:t>Number and distribution of inpatient beds per 10 000 population</w:t>
            </w:r>
          </w:p>
          <w:p w14:paraId="473EED41" w14:textId="77777777" w:rsidR="009535A7" w:rsidRPr="000F6B0A" w:rsidRDefault="009535A7" w:rsidP="000137E0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</w:rPr>
              <w:t>Number of outpatient department visits per 10 000 population per year</w:t>
            </w:r>
          </w:p>
          <w:p w14:paraId="5420AAC2" w14:textId="77777777" w:rsidR="009535A7" w:rsidRPr="000F6B0A" w:rsidRDefault="009535A7" w:rsidP="000137E0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</w:rPr>
              <w:t>General service readiness score for health facilities</w:t>
            </w:r>
          </w:p>
          <w:p w14:paraId="0443ADA5" w14:textId="77777777" w:rsidR="009535A7" w:rsidRPr="000F6B0A" w:rsidRDefault="009535A7" w:rsidP="000137E0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</w:rPr>
              <w:t>Proportion of health facilities offering specific services</w:t>
            </w:r>
          </w:p>
          <w:p w14:paraId="33694C43" w14:textId="77777777" w:rsidR="009535A7" w:rsidRPr="000F6B0A" w:rsidRDefault="009535A7" w:rsidP="000137E0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</w:rPr>
              <w:t>Number and distribution of health facilities offering specific services per 10 000 population</w:t>
            </w:r>
          </w:p>
          <w:p w14:paraId="699F7E74" w14:textId="77777777" w:rsidR="009535A7" w:rsidRPr="000F6B0A" w:rsidRDefault="009535A7" w:rsidP="000137E0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</w:rPr>
              <w:t>Specific-services readiness score for health facilities</w:t>
            </w:r>
          </w:p>
        </w:tc>
      </w:tr>
      <w:tr w:rsidR="009535A7" w:rsidRPr="000F6B0A" w14:paraId="4594A92F" w14:textId="77777777" w:rsidTr="000137E0">
        <w:tc>
          <w:tcPr>
            <w:tcW w:w="1624" w:type="pct"/>
          </w:tcPr>
          <w:p w14:paraId="25B0A382" w14:textId="77777777" w:rsidR="009535A7" w:rsidRPr="000F6B0A" w:rsidRDefault="009535A7" w:rsidP="000137E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14:ligatures w14:val="standardContextual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  <w14:ligatures w14:val="standardContextual"/>
              </w:rPr>
              <w:t>2. Health Workforce</w:t>
            </w:r>
          </w:p>
        </w:tc>
        <w:tc>
          <w:tcPr>
            <w:tcW w:w="3376" w:type="pct"/>
          </w:tcPr>
          <w:p w14:paraId="047D77D7" w14:textId="77777777" w:rsidR="009535A7" w:rsidRPr="000F6B0A" w:rsidRDefault="009535A7" w:rsidP="000137E0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</w:rPr>
              <w:t>Annual number of graduates of health professions educational institutions per 100</w:t>
            </w:r>
            <w:r w:rsidRPr="000F6B0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,</w:t>
            </w:r>
            <w:r w:rsidRPr="000F6B0A">
              <w:rPr>
                <w:rFonts w:ascii="Times New Roman" w:eastAsia="宋体" w:hAnsi="Times New Roman" w:cs="Times New Roman"/>
                <w:sz w:val="20"/>
                <w:szCs w:val="20"/>
              </w:rPr>
              <w:t>000 population, by level and field of education</w:t>
            </w:r>
          </w:p>
          <w:p w14:paraId="5C6B1CC4" w14:textId="77777777" w:rsidR="009535A7" w:rsidRPr="000F6B0A" w:rsidRDefault="009535A7" w:rsidP="000137E0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</w:rPr>
              <w:t>Distribution of health workers by occupation/specialization, region, place of work and sex</w:t>
            </w:r>
          </w:p>
          <w:p w14:paraId="143B64BF" w14:textId="77777777" w:rsidR="009535A7" w:rsidRPr="000F6B0A" w:rsidRDefault="009535A7" w:rsidP="000137E0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</w:rPr>
              <w:t>Number of health workers per 10,000 population</w:t>
            </w:r>
          </w:p>
        </w:tc>
      </w:tr>
      <w:tr w:rsidR="009535A7" w:rsidRPr="000F6B0A" w14:paraId="1ED5DC34" w14:textId="77777777" w:rsidTr="000137E0">
        <w:tc>
          <w:tcPr>
            <w:tcW w:w="1624" w:type="pct"/>
          </w:tcPr>
          <w:p w14:paraId="732B59F2" w14:textId="77777777" w:rsidR="009535A7" w:rsidRPr="000F6B0A" w:rsidRDefault="009535A7" w:rsidP="000137E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14:ligatures w14:val="standardContextual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  <w14:ligatures w14:val="standardContextual"/>
              </w:rPr>
              <w:t>3. Health Information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  <w14:ligatures w14:val="standardContextual"/>
              </w:rPr>
              <w:t xml:space="preserve"> Systems</w:t>
            </w:r>
          </w:p>
        </w:tc>
        <w:tc>
          <w:tcPr>
            <w:tcW w:w="3376" w:type="pct"/>
          </w:tcPr>
          <w:p w14:paraId="61268C01" w14:textId="77777777" w:rsidR="009535A7" w:rsidRPr="000F6B0A" w:rsidRDefault="009535A7" w:rsidP="000137E0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</w:rPr>
              <w:t>Health information system performance index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: health surveys; birth and death registration; census; health facility reporting; health system resource tracking; capacity for analysis,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synthesis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and validation for health data</w:t>
            </w:r>
          </w:p>
        </w:tc>
      </w:tr>
      <w:tr w:rsidR="009535A7" w:rsidRPr="000F6B0A" w14:paraId="59060126" w14:textId="77777777" w:rsidTr="000137E0">
        <w:tc>
          <w:tcPr>
            <w:tcW w:w="1624" w:type="pct"/>
          </w:tcPr>
          <w:p w14:paraId="0D6D8891" w14:textId="77777777" w:rsidR="009535A7" w:rsidRPr="000F6B0A" w:rsidRDefault="009535A7" w:rsidP="000137E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14:ligatures w14:val="standardContextual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  <w14:ligatures w14:val="standardContextual"/>
              </w:rPr>
              <w:t>4. Medical Products and Technologies</w:t>
            </w:r>
          </w:p>
        </w:tc>
        <w:tc>
          <w:tcPr>
            <w:tcW w:w="3376" w:type="pct"/>
          </w:tcPr>
          <w:p w14:paraId="3E1CD5B4" w14:textId="77777777" w:rsidR="009535A7" w:rsidRPr="000F6B0A" w:rsidRDefault="009535A7" w:rsidP="000137E0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</w:rPr>
              <w:t>Median consumer price ratio of 14 selected essential medicines in public and private health facilities</w:t>
            </w:r>
          </w:p>
          <w:p w14:paraId="733F289D" w14:textId="77777777" w:rsidR="009535A7" w:rsidRPr="002E0613" w:rsidRDefault="009535A7" w:rsidP="000137E0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</w:rPr>
              <w:t>Average availability of 14 selected essential medicines in public and private health facilities</w:t>
            </w:r>
          </w:p>
        </w:tc>
      </w:tr>
      <w:tr w:rsidR="009535A7" w:rsidRPr="000F6B0A" w14:paraId="6F26916F" w14:textId="77777777" w:rsidTr="000137E0">
        <w:tc>
          <w:tcPr>
            <w:tcW w:w="1624" w:type="pct"/>
          </w:tcPr>
          <w:p w14:paraId="56670138" w14:textId="77777777" w:rsidR="009535A7" w:rsidRPr="000F6B0A" w:rsidRDefault="009535A7" w:rsidP="000137E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14:ligatures w14:val="standardContextual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  <w14:ligatures w14:val="standardContextual"/>
              </w:rPr>
              <w:t xml:space="preserve">5. Health 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  <w14:ligatures w14:val="standardContextual"/>
              </w:rPr>
              <w:t xml:space="preserve">Systems </w:t>
            </w:r>
            <w:r w:rsidRPr="000F6B0A">
              <w:rPr>
                <w:rFonts w:ascii="Times New Roman" w:eastAsia="宋体" w:hAnsi="Times New Roman" w:cs="Times New Roman"/>
                <w:sz w:val="20"/>
                <w:szCs w:val="20"/>
                <w14:ligatures w14:val="standardContextual"/>
              </w:rPr>
              <w:t>Financing</w:t>
            </w:r>
          </w:p>
        </w:tc>
        <w:tc>
          <w:tcPr>
            <w:tcW w:w="3376" w:type="pct"/>
          </w:tcPr>
          <w:p w14:paraId="48A6A932" w14:textId="77777777" w:rsidR="009535A7" w:rsidRPr="000F6B0A" w:rsidRDefault="009535A7" w:rsidP="000137E0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</w:rPr>
              <w:t>Total expenditure on health</w:t>
            </w:r>
          </w:p>
          <w:p w14:paraId="3CB5B390" w14:textId="77777777" w:rsidR="009535A7" w:rsidRPr="000F6B0A" w:rsidRDefault="009535A7" w:rsidP="000137E0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</w:rPr>
              <w:t>General government expenditure on health as a proportion of general government expenditure (GGHE/GGE)</w:t>
            </w:r>
          </w:p>
          <w:p w14:paraId="21B67155" w14:textId="77777777" w:rsidR="009535A7" w:rsidRPr="000F6B0A" w:rsidRDefault="009535A7" w:rsidP="000137E0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</w:rPr>
              <w:t>The ratio of household out-of-pocket payments for health to total expenditure on health</w:t>
            </w:r>
          </w:p>
        </w:tc>
      </w:tr>
      <w:tr w:rsidR="009535A7" w:rsidRPr="000F6B0A" w14:paraId="0F6FA144" w14:textId="77777777" w:rsidTr="000137E0">
        <w:tc>
          <w:tcPr>
            <w:tcW w:w="1624" w:type="pct"/>
          </w:tcPr>
          <w:p w14:paraId="35A63B12" w14:textId="77777777" w:rsidR="009535A7" w:rsidRPr="000F6B0A" w:rsidRDefault="009535A7" w:rsidP="000137E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14:ligatures w14:val="standardContextual"/>
              </w:rPr>
            </w:pPr>
            <w:r w:rsidRPr="000F6B0A">
              <w:rPr>
                <w:rFonts w:ascii="Times New Roman" w:eastAsia="宋体" w:hAnsi="Times New Roman" w:cs="Times New Roman"/>
                <w:sz w:val="20"/>
                <w:szCs w:val="20"/>
                <w14:ligatures w14:val="standardContextual"/>
              </w:rPr>
              <w:t>6. Leadership and Governance</w:t>
            </w:r>
          </w:p>
        </w:tc>
        <w:tc>
          <w:tcPr>
            <w:tcW w:w="3376" w:type="pct"/>
          </w:tcPr>
          <w:p w14:paraId="4535032C" w14:textId="77777777" w:rsidR="009535A7" w:rsidRDefault="009535A7" w:rsidP="000137E0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E061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Existence of an up-to-date national health strategy linked to national needs and priorities</w:t>
            </w:r>
          </w:p>
          <w:p w14:paraId="1DC77C76" w14:textId="77777777" w:rsidR="009535A7" w:rsidRDefault="009535A7" w:rsidP="000137E0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Existence and year of last update of a published national medicines policy</w:t>
            </w:r>
          </w:p>
          <w:p w14:paraId="08FE8DAB" w14:textId="77777777" w:rsidR="009535A7" w:rsidRDefault="009535A7" w:rsidP="000137E0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lastRenderedPageBreak/>
              <w:t>Existence of policies on medicines procurement that specify the most cost-effective medicines in the right quantities; open, competitive bidding of suppliers for quality products</w:t>
            </w:r>
          </w:p>
          <w:p w14:paraId="288D8196" w14:textId="77777777" w:rsidR="009535A7" w:rsidRDefault="009535A7" w:rsidP="000137E0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Tuberculosis</w:t>
            </w: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—</w:t>
            </w: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existence of a national strategic plan for tuberculosis that reflects the six principal components of the Stop-TB strategy as outlined in the Global Plan to Stop TB 2006</w:t>
            </w: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–</w:t>
            </w: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2015</w:t>
            </w:r>
          </w:p>
          <w:p w14:paraId="57B10E43" w14:textId="77777777" w:rsidR="009535A7" w:rsidRDefault="009535A7" w:rsidP="000137E0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Malaria</w:t>
            </w: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—</w:t>
            </w: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existence of a national malaria strategy or policy that includes drug efficacy monitoring, vector control and insecticide resistance monitoring</w:t>
            </w:r>
          </w:p>
          <w:p w14:paraId="3E7D1813" w14:textId="77777777" w:rsidR="009535A7" w:rsidRDefault="009535A7" w:rsidP="000137E0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HIV/AIDS</w:t>
            </w: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—</w:t>
            </w: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completion of the UNGASS National Composite Policy Index questionnaire for HIV/AIDS</w:t>
            </w:r>
          </w:p>
          <w:p w14:paraId="601174C8" w14:textId="77777777" w:rsidR="009535A7" w:rsidRDefault="009535A7" w:rsidP="000137E0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Maternal health</w:t>
            </w: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—</w:t>
            </w: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existence of a comprehensive reproductive health policy consistent with the ICPD action plan</w:t>
            </w:r>
          </w:p>
          <w:p w14:paraId="18B9FB5E" w14:textId="77777777" w:rsidR="009535A7" w:rsidRDefault="009535A7" w:rsidP="000137E0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Child health</w:t>
            </w: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—</w:t>
            </w: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existence of an updated comprehensive, multiyear plan for childhood immunization</w:t>
            </w:r>
          </w:p>
          <w:p w14:paraId="31ED0F67" w14:textId="77777777" w:rsidR="009535A7" w:rsidRDefault="009535A7" w:rsidP="000137E0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Existence of key health sector documents that are disseminated regularly (such as budget documents, annual performance reviews and health indicators)</w:t>
            </w:r>
          </w:p>
          <w:p w14:paraId="6E74BC7B" w14:textId="77777777" w:rsidR="009535A7" w:rsidRPr="002E0613" w:rsidRDefault="009535A7" w:rsidP="000137E0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contextualSpacing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08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Existence of mechanisms, such as surveys, for obtaining opportune client input on appropriate, timely and effective access to health services</w:t>
            </w:r>
          </w:p>
        </w:tc>
      </w:tr>
    </w:tbl>
    <w:p w14:paraId="488A5471" w14:textId="60DDE6AD" w:rsidR="009535A7" w:rsidRDefault="00066EE4" w:rsidP="009535A7">
      <w:pPr>
        <w:rPr>
          <w:rFonts w:ascii="Times New Roman" w:eastAsia="等线" w:hAnsi="Times New Roman" w:cs="Times New Roman"/>
          <w:color w:val="222222"/>
          <w:sz w:val="18"/>
          <w:szCs w:val="18"/>
          <w:shd w:val="clear" w:color="auto" w:fill="FFFFFF"/>
        </w:rPr>
      </w:pPr>
      <w:r w:rsidRPr="00A9502A">
        <w:rPr>
          <w:rFonts w:ascii="Times New Roman" w:eastAsia="等线" w:hAnsi="Times New Roman" w:cs="Times New Roman"/>
          <w:color w:val="222222"/>
          <w:sz w:val="18"/>
          <w:szCs w:val="18"/>
          <w:shd w:val="clear" w:color="auto" w:fill="FFFFFF"/>
        </w:rPr>
        <w:lastRenderedPageBreak/>
        <w:t>Abbreviations</w:t>
      </w:r>
      <w:r w:rsidRPr="00A9502A">
        <w:rPr>
          <w:rFonts w:ascii="Times New Roman" w:eastAsia="等线" w:hAnsi="Times New Roman" w:cs="Times New Roman" w:hint="eastAsia"/>
          <w:color w:val="222222"/>
          <w:sz w:val="18"/>
          <w:szCs w:val="18"/>
          <w:shd w:val="clear" w:color="auto" w:fill="FFFFFF"/>
        </w:rPr>
        <w:t xml:space="preserve">: TB, </w:t>
      </w:r>
      <w:r w:rsidRPr="00A9502A">
        <w:rPr>
          <w:rFonts w:ascii="Times New Roman" w:eastAsia="等线" w:hAnsi="Times New Roman" w:cs="Times New Roman"/>
          <w:color w:val="222222"/>
          <w:sz w:val="18"/>
          <w:szCs w:val="18"/>
          <w:shd w:val="clear" w:color="auto" w:fill="FFFFFF"/>
        </w:rPr>
        <w:t>Tuberculosis</w:t>
      </w:r>
      <w:r w:rsidRPr="00A9502A">
        <w:rPr>
          <w:rFonts w:ascii="Times New Roman" w:eastAsia="等线" w:hAnsi="Times New Roman" w:cs="Times New Roman" w:hint="eastAsia"/>
          <w:color w:val="222222"/>
          <w:sz w:val="18"/>
          <w:szCs w:val="18"/>
          <w:shd w:val="clear" w:color="auto" w:fill="FFFFFF"/>
        </w:rPr>
        <w:t xml:space="preserve">; </w:t>
      </w:r>
      <w:r w:rsidRPr="00A9502A">
        <w:rPr>
          <w:rFonts w:ascii="Times New Roman" w:eastAsia="宋体" w:hAnsi="Times New Roman" w:cs="Times New Roman" w:hint="eastAsia"/>
          <w:sz w:val="20"/>
          <w:szCs w:val="20"/>
        </w:rPr>
        <w:t>HIV,</w:t>
      </w:r>
      <w:r w:rsidRPr="00A9502A">
        <w:t xml:space="preserve"> </w:t>
      </w:r>
      <w:r w:rsidRPr="00A9502A">
        <w:rPr>
          <w:rFonts w:ascii="Times New Roman" w:eastAsia="宋体" w:hAnsi="Times New Roman" w:cs="Times New Roman"/>
          <w:sz w:val="20"/>
          <w:szCs w:val="20"/>
        </w:rPr>
        <w:t>Human immunodeficiency virus</w:t>
      </w:r>
      <w:r w:rsidRPr="00A9502A">
        <w:rPr>
          <w:rFonts w:ascii="Times New Roman" w:eastAsia="宋体" w:hAnsi="Times New Roman" w:cs="Times New Roman" w:hint="eastAsia"/>
          <w:sz w:val="20"/>
          <w:szCs w:val="20"/>
        </w:rPr>
        <w:t xml:space="preserve">; AIDS, </w:t>
      </w:r>
      <w:r w:rsidRPr="00A9502A">
        <w:rPr>
          <w:rFonts w:ascii="Times New Roman" w:eastAsia="宋体" w:hAnsi="Times New Roman" w:cs="Times New Roman"/>
          <w:sz w:val="20"/>
          <w:szCs w:val="20"/>
        </w:rPr>
        <w:t>Acquired Immune Deficiency Syndrome</w:t>
      </w:r>
      <w:r w:rsidRPr="00A9502A">
        <w:rPr>
          <w:rFonts w:ascii="Times New Roman" w:eastAsia="宋体" w:hAnsi="Times New Roman" w:cs="Times New Roman" w:hint="eastAsia"/>
          <w:sz w:val="20"/>
          <w:szCs w:val="20"/>
        </w:rPr>
        <w:t>; UNGASS</w:t>
      </w:r>
      <w:r w:rsidRPr="00A9502A">
        <w:rPr>
          <w:rFonts w:ascii="Times New Roman" w:eastAsia="等线" w:hAnsi="Times New Roman" w:cs="Times New Roman" w:hint="eastAsia"/>
          <w:color w:val="222222"/>
          <w:sz w:val="18"/>
          <w:szCs w:val="18"/>
          <w:shd w:val="clear" w:color="auto" w:fill="FFFFFF"/>
        </w:rPr>
        <w:t xml:space="preserve">, </w:t>
      </w:r>
      <w:r w:rsidRPr="00A9502A">
        <w:rPr>
          <w:rFonts w:ascii="Times New Roman" w:eastAsia="等线" w:hAnsi="Times New Roman" w:cs="Times New Roman"/>
          <w:color w:val="222222"/>
          <w:sz w:val="18"/>
          <w:szCs w:val="18"/>
          <w:shd w:val="clear" w:color="auto" w:fill="FFFFFF"/>
        </w:rPr>
        <w:t>United Nations Children’s Education Fund</w:t>
      </w:r>
      <w:r w:rsidRPr="00A9502A">
        <w:rPr>
          <w:rFonts w:ascii="Times New Roman" w:eastAsia="等线" w:hAnsi="Times New Roman" w:cs="Times New Roman" w:hint="eastAsia"/>
          <w:color w:val="222222"/>
          <w:sz w:val="18"/>
          <w:szCs w:val="18"/>
          <w:shd w:val="clear" w:color="auto" w:fill="FFFFFF"/>
        </w:rPr>
        <w:t xml:space="preserve">; ICPD, the </w:t>
      </w:r>
      <w:r w:rsidRPr="00A9502A">
        <w:rPr>
          <w:rFonts w:ascii="Times New Roman" w:eastAsia="等线" w:hAnsi="Times New Roman" w:cs="Times New Roman"/>
          <w:color w:val="222222"/>
          <w:sz w:val="18"/>
          <w:szCs w:val="18"/>
          <w:shd w:val="clear" w:color="auto" w:fill="FFFFFF"/>
        </w:rPr>
        <w:t>International Conference on Population and Development</w:t>
      </w:r>
      <w:r w:rsidRPr="00A9502A">
        <w:rPr>
          <w:rFonts w:ascii="Times New Roman" w:eastAsia="等线" w:hAnsi="Times New Roman" w:cs="Times New Roman" w:hint="eastAsia"/>
          <w:color w:val="222222"/>
          <w:sz w:val="18"/>
          <w:szCs w:val="18"/>
          <w:shd w:val="clear" w:color="auto" w:fill="FFFFFF"/>
        </w:rPr>
        <w:t>.</w:t>
      </w:r>
    </w:p>
    <w:p w14:paraId="7DD6495D" w14:textId="77777777" w:rsidR="009535A7" w:rsidRDefault="009535A7" w:rsidP="009535A7">
      <w:pPr>
        <w:tabs>
          <w:tab w:val="left" w:pos="4620"/>
        </w:tabs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44EB18DD" w14:textId="77777777" w:rsidR="009535A7" w:rsidRDefault="009535A7" w:rsidP="009535A7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>R</w:t>
      </w:r>
      <w:r>
        <w:rPr>
          <w:rFonts w:ascii="Times New Roman" w:eastAsia="宋体" w:hAnsi="Times New Roman" w:cs="Times New Roman" w:hint="eastAsia"/>
          <w:sz w:val="20"/>
          <w:szCs w:val="20"/>
        </w:rPr>
        <w:t>eferences:</w:t>
      </w:r>
    </w:p>
    <w:p w14:paraId="0A25BF6A" w14:textId="77777777" w:rsidR="009535A7" w:rsidRPr="009A373C" w:rsidRDefault="009535A7" w:rsidP="009535A7">
      <w:pPr>
        <w:pStyle w:val="a9"/>
        <w:numPr>
          <w:ilvl w:val="0"/>
          <w:numId w:val="3"/>
        </w:numPr>
        <w:spacing w:after="160" w:line="278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9A373C">
        <w:rPr>
          <w:rFonts w:ascii="Times New Roman" w:eastAsia="宋体" w:hAnsi="Times New Roman" w:cs="Times New Roman"/>
          <w:sz w:val="20"/>
          <w:szCs w:val="20"/>
        </w:rPr>
        <w:t>World Health Organization. Monitoring the building blocks of health systems: a handbook of indicators and their measurement strategies. Geneva, Switzerland: WHO Document Production Services. 2010.</w:t>
      </w:r>
    </w:p>
    <w:p w14:paraId="4B7CFDB7" w14:textId="77777777" w:rsidR="009535A7" w:rsidRPr="009535A7" w:rsidRDefault="009535A7"/>
    <w:sectPr w:rsidR="009535A7" w:rsidRPr="009535A7" w:rsidSect="009535A7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BA336" w14:textId="77777777" w:rsidR="00473365" w:rsidRDefault="00473365" w:rsidP="00066EE4">
      <w:r>
        <w:separator/>
      </w:r>
    </w:p>
  </w:endnote>
  <w:endnote w:type="continuationSeparator" w:id="0">
    <w:p w14:paraId="34485C7D" w14:textId="77777777" w:rsidR="00473365" w:rsidRDefault="00473365" w:rsidP="0006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E0E6D" w14:textId="77777777" w:rsidR="00473365" w:rsidRDefault="00473365" w:rsidP="00066EE4">
      <w:r>
        <w:separator/>
      </w:r>
    </w:p>
  </w:footnote>
  <w:footnote w:type="continuationSeparator" w:id="0">
    <w:p w14:paraId="308FCD8F" w14:textId="77777777" w:rsidR="00473365" w:rsidRDefault="00473365" w:rsidP="00066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A5A"/>
    <w:multiLevelType w:val="hybridMultilevel"/>
    <w:tmpl w:val="DC6238C6"/>
    <w:lvl w:ilvl="0" w:tplc="8FAAEFFE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ED17842"/>
    <w:multiLevelType w:val="hybridMultilevel"/>
    <w:tmpl w:val="11BA4A42"/>
    <w:lvl w:ilvl="0" w:tplc="E6ACEBD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D6F2321"/>
    <w:multiLevelType w:val="hybridMultilevel"/>
    <w:tmpl w:val="E77AB176"/>
    <w:lvl w:ilvl="0" w:tplc="125835BE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23839020">
    <w:abstractNumId w:val="1"/>
  </w:num>
  <w:num w:numId="2" w16cid:durableId="2035374952">
    <w:abstractNumId w:val="2"/>
  </w:num>
  <w:num w:numId="3" w16cid:durableId="173743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5A7"/>
    <w:rsid w:val="00023FC2"/>
    <w:rsid w:val="00066EE4"/>
    <w:rsid w:val="00081810"/>
    <w:rsid w:val="0047289E"/>
    <w:rsid w:val="00473365"/>
    <w:rsid w:val="004C04AB"/>
    <w:rsid w:val="00610C1D"/>
    <w:rsid w:val="009535A7"/>
    <w:rsid w:val="00A81EE9"/>
    <w:rsid w:val="00A9502A"/>
    <w:rsid w:val="00AB075E"/>
    <w:rsid w:val="00C41434"/>
    <w:rsid w:val="00CB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D281E"/>
  <w15:chartTrackingRefBased/>
  <w15:docId w15:val="{D0ACCA12-AAD3-4CAC-A4FD-F8271666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5A7"/>
    <w:pPr>
      <w:widowControl w:val="0"/>
      <w:spacing w:after="0" w:line="240" w:lineRule="auto"/>
      <w:jc w:val="both"/>
    </w:pPr>
    <w:rPr>
      <w:sz w:val="21"/>
      <w:szCs w:val="22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35A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5A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5A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3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5A7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35A7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35A7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35A7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35A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53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535A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53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535A7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9535A7"/>
    <w:rPr>
      <w:rFonts w:eastAsiaTheme="majorEastAsia" w:cstheme="majorBidi"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9535A7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535A7"/>
    <w:rPr>
      <w:rFonts w:eastAsiaTheme="majorEastAsia" w:cstheme="majorBidi"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9535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35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53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35A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535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3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535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35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35A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3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535A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35A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535A7"/>
    <w:pPr>
      <w:spacing w:after="0" w:line="240" w:lineRule="auto"/>
    </w:pPr>
    <w:rPr>
      <w:sz w:val="21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66E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页眉 字符"/>
    <w:basedOn w:val="a0"/>
    <w:link w:val="af"/>
    <w:uiPriority w:val="99"/>
    <w:rsid w:val="00066EE4"/>
    <w:rPr>
      <w:sz w:val="20"/>
      <w:szCs w:val="20"/>
      <w:lang w:eastAsia="zh-CN"/>
      <w14:ligatures w14:val="none"/>
    </w:rPr>
  </w:style>
  <w:style w:type="paragraph" w:styleId="af1">
    <w:name w:val="footer"/>
    <w:basedOn w:val="a"/>
    <w:link w:val="af2"/>
    <w:uiPriority w:val="99"/>
    <w:unhideWhenUsed/>
    <w:rsid w:val="00066E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页脚 字符"/>
    <w:basedOn w:val="a0"/>
    <w:link w:val="af1"/>
    <w:uiPriority w:val="99"/>
    <w:rsid w:val="00066EE4"/>
    <w:rPr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2025-04-09T07:18:00Z</dcterms:created>
  <dcterms:modified xsi:type="dcterms:W3CDTF">2025-04-09T07:18:00Z</dcterms:modified>
</cp:coreProperties>
</file>