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media/image2.tif" ContentType="image/tif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Supplement</w:t>
      </w:r>
    </w:p>
    <w:tbl>
      <w:tblPr>
        <w:tblStyle w:val="PlainTable1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2"/>
        <w:gridCol w:w="338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5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Supplemental Table 1.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 Pneumonia international statistical classification of diseases, tenth revision code (ICD-10). Sub-diagnosis codes of the codes listed above were also included (e.g. J18.9)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Type of Pneumonia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International Statistical Classification of Diseases, Tenth Revision Code</w:t>
            </w:r>
          </w:p>
        </w:tc>
      </w:tr>
      <w:tr>
        <w:trPr/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i/>
                <w:i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Pneumonia caused by </w:t>
            </w: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8"/>
                <w:szCs w:val="18"/>
                <w:lang w:eastAsia="en-US" w:bidi="ar-SA"/>
              </w:rPr>
              <w:t xml:space="preserve">Streptococcus pneumoniae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i/>
                <w:i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Pneumonia caused by </w:t>
            </w: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8"/>
                <w:szCs w:val="18"/>
                <w:lang w:eastAsia="en-US" w:bidi="ar-SA"/>
              </w:rPr>
              <w:t>Haemophilus influenzae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J14</w:t>
            </w:r>
          </w:p>
        </w:tc>
      </w:tr>
      <w:tr>
        <w:trPr/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Pneumonia, not elsewhere classified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Pneumonia, unspecified organism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J18</w:t>
            </w:r>
          </w:p>
        </w:tc>
      </w:tr>
      <w:tr>
        <w:trPr/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Pneumonitis caused by solids and liquids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J69.0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Legionnaires Disease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A48.1</w:t>
            </w:r>
          </w:p>
        </w:tc>
      </w:tr>
      <w:tr>
        <w:trPr/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Pneumonia caused by infectious organisms, not elsewhere classified 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Pneumonia in diseases classified elsewhere</w:t>
            </w:r>
          </w:p>
        </w:tc>
        <w:tc>
          <w:tcPr>
            <w:tcW w:w="338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J17</w:t>
            </w:r>
          </w:p>
        </w:tc>
      </w:tr>
    </w:tbl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38"/>
        <w:gridCol w:w="3787"/>
      </w:tblGrid>
      <w:tr>
        <w:trPr>
          <w:trHeight w:val="45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5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2. 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Co-morbid conditions investigated as risk factors for methicillin-resistant </w:t>
            </w: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8"/>
                <w:szCs w:val="18"/>
                <w:lang w:eastAsia="en-US" w:bidi="ar-SA"/>
              </w:rPr>
              <w:t xml:space="preserve">Staphylococcus aureus 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(MRSA) and </w:t>
            </w: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8"/>
                <w:szCs w:val="18"/>
                <w:lang w:eastAsia="en-US" w:bidi="ar-SA"/>
              </w:rPr>
              <w:t xml:space="preserve">Pseudomonas aeruginosa 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(PSA)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Investigated Risk Factor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i/>
                <w:kern w:val="0"/>
                <w:sz w:val="18"/>
                <w:szCs w:val="18"/>
                <w:lang w:eastAsia="en-US" w:bidi="ar-SA"/>
              </w:rPr>
              <w:t xml:space="preserve">International Statistical Classification of Diseases, Tenth Revision </w:t>
            </w: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code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i/>
                <w:i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Human Immunodeficiency Virus (HIV) </w:t>
            </w: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8"/>
                <w:szCs w:val="18"/>
                <w:lang w:eastAsia="en-US" w:bidi="ar-SA"/>
              </w:rPr>
              <w:t xml:space="preserve">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B20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i/>
                <w:i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Bronchiectasis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J47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Chronic Kidney Disease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N18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End-Stage Renal Disease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N18.6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Influenza caused by certain identified influenza viruses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J09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Influenza caused by other identified influenza virus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J10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Influenza caused by unidentified influenza virus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Type 2 Diabetes Mellitus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E11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Chronic Obstructive Pulmonary Disease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J44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Tobacco Use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Z72.0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Substance Use Disorder-Psychoactive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F19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Substance Use Disorder-Opioid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F11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Substance Use Disorder-Cocaine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F14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Substance Use Disorder-Use of Non-Psychoactive Substance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F55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Substance Use Disorder-Stimulants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F15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Alcohol Related Disorders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F10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Abscess of the lung and mediastinum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J85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Pyothorax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 xml:space="preserve">J86 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Wound Treatment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L00-L08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Immunodeficiency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D80-D89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COVID-19 Infection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U07.1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Pneumonia due to COVID-19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J12.82</w:t>
            </w:r>
          </w:p>
        </w:tc>
      </w:tr>
      <w:tr>
        <w:trPr/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Personal History of COVID-19, unspecified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U08.9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Post COVID-19 Condition </w:t>
            </w:r>
          </w:p>
        </w:tc>
        <w:tc>
          <w:tcPr>
            <w:tcW w:w="378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 xml:space="preserve">U09.9 </w:t>
            </w:r>
          </w:p>
        </w:tc>
      </w:tr>
    </w:tbl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W w:w="500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4"/>
        <w:gridCol w:w="1890"/>
        <w:gridCol w:w="3772"/>
      </w:tblGrid>
      <w:tr>
        <w:trPr>
          <w:trHeight w:val="17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6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</w:t>
            </w: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  <w:t xml:space="preserve">Table 3. 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Types of molecular and antigen tests included in the study. These fields are those present in the electronic health record </w:t>
            </w:r>
          </w:p>
        </w:tc>
      </w:tr>
      <w:tr>
        <w:trPr>
          <w:trHeight w:val="17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26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  <w:t>Molecular Targets (Nasopharyngeal Swab)</w:t>
            </w:r>
          </w:p>
        </w:tc>
      </w:tr>
      <w:tr>
        <w:trPr>
          <w:trHeight w:val="170" w:hRule="atLeast"/>
        </w:trPr>
        <w:tc>
          <w:tcPr>
            <w:tcW w:w="336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>Panel Name</w:t>
            </w:r>
          </w:p>
        </w:tc>
        <w:tc>
          <w:tcPr>
            <w:tcW w:w="18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Frequency Obtained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N = 4,558</w:t>
            </w:r>
          </w:p>
        </w:tc>
        <w:tc>
          <w:tcPr>
            <w:tcW w:w="377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Targets</w:t>
            </w:r>
          </w:p>
        </w:tc>
      </w:tr>
      <w:tr>
        <w:trPr>
          <w:trHeight w:val="1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>Abbreviated Respiratory Pathogen Panel</w:t>
            </w:r>
          </w:p>
        </w:tc>
        <w:tc>
          <w:tcPr>
            <w:tcW w:w="18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85.8%</w:t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Influenza A</w:t>
            </w:r>
          </w:p>
        </w:tc>
      </w:tr>
      <w:tr>
        <w:trPr>
          <w:trHeight w:val="128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Influenza B</w:t>
            </w:r>
          </w:p>
        </w:tc>
      </w:tr>
      <w:tr>
        <w:trPr>
          <w:trHeight w:val="12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Respiratory Syncytial Virus</w:t>
            </w:r>
          </w:p>
        </w:tc>
      </w:tr>
      <w:tr>
        <w:trPr>
          <w:trHeight w:val="128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SARS-CoV2 (COVID-19)</w:t>
            </w:r>
          </w:p>
        </w:tc>
      </w:tr>
      <w:tr>
        <w:trPr>
          <w:trHeight w:val="13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>Full Respiratory Pathogen Panel</w:t>
            </w:r>
          </w:p>
        </w:tc>
        <w:tc>
          <w:tcPr>
            <w:tcW w:w="18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23.8%</w:t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Adenovirus</w:t>
            </w:r>
          </w:p>
        </w:tc>
      </w:tr>
      <w:tr>
        <w:trPr>
          <w:trHeight w:val="129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Enterovirus/Rhinovirus</w:t>
            </w:r>
          </w:p>
        </w:tc>
      </w:tr>
      <w:tr>
        <w:trPr>
          <w:trHeight w:val="12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Human Metapneumovirus</w:t>
            </w:r>
          </w:p>
        </w:tc>
      </w:tr>
      <w:tr>
        <w:trPr>
          <w:trHeight w:val="129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Influenza A/B</w:t>
            </w:r>
          </w:p>
        </w:tc>
      </w:tr>
      <w:tr>
        <w:trPr>
          <w:trHeight w:val="12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Parainfluenza 1-4</w:t>
            </w:r>
          </w:p>
        </w:tc>
      </w:tr>
      <w:tr>
        <w:trPr>
          <w:trHeight w:val="129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Respiratory Syncytial Virus</w:t>
            </w:r>
          </w:p>
        </w:tc>
      </w:tr>
      <w:tr>
        <w:trPr>
          <w:trHeight w:val="12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SARS-CoV2 (COVID-19)</w:t>
            </w:r>
          </w:p>
        </w:tc>
      </w:tr>
      <w:tr>
        <w:trPr>
          <w:trHeight w:val="129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Seasonal Coronavirus</w:t>
            </w:r>
          </w:p>
        </w:tc>
      </w:tr>
      <w:tr>
        <w:trPr>
          <w:trHeight w:val="12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Bordetella pertussis</w:t>
            </w: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 and </w:t>
            </w: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parapertussis</w:t>
            </w:r>
          </w:p>
        </w:tc>
      </w:tr>
      <w:tr>
        <w:trPr>
          <w:trHeight w:val="129" w:hRule="atLeast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Chlamydophila pneumoniae</w:t>
            </w:r>
          </w:p>
        </w:tc>
      </w:tr>
      <w:tr>
        <w:trPr>
          <w:trHeight w:val="12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189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Mycoplasma pneumoniae</w:t>
            </w:r>
          </w:p>
        </w:tc>
      </w:tr>
      <w:tr>
        <w:trPr>
          <w:trHeight w:val="170" w:hRule="atLeast"/>
        </w:trPr>
        <w:tc>
          <w:tcPr>
            <w:tcW w:w="9026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  <w:t>Urinary Antigen Targets</w:t>
            </w:r>
          </w:p>
        </w:tc>
      </w:tr>
      <w:tr>
        <w:trPr>
          <w:trHeight w:val="17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6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kern w:val="0"/>
                <w:sz w:val="18"/>
                <w:szCs w:val="16"/>
                <w:lang w:eastAsia="en-US" w:bidi="ar-SA"/>
              </w:rPr>
              <w:t>Streptococcus pneumoniae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 xml:space="preserve"> Antigen</w:t>
            </w:r>
          </w:p>
        </w:tc>
        <w:tc>
          <w:tcPr>
            <w:tcW w:w="18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26.28%</w:t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Streptococcus pneumoniae</w:t>
            </w:r>
          </w:p>
        </w:tc>
      </w:tr>
      <w:tr>
        <w:trPr>
          <w:trHeight w:val="170" w:hRule="atLeast"/>
        </w:trPr>
        <w:tc>
          <w:tcPr>
            <w:tcW w:w="336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kern w:val="0"/>
                <w:sz w:val="18"/>
                <w:szCs w:val="16"/>
                <w:lang w:eastAsia="en-US" w:bidi="ar-SA"/>
              </w:rPr>
              <w:t>Legionella pneumophila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 xml:space="preserve"> Antigen</w:t>
            </w:r>
          </w:p>
        </w:tc>
        <w:tc>
          <w:tcPr>
            <w:tcW w:w="18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29.40%</w:t>
            </w:r>
          </w:p>
        </w:tc>
        <w:tc>
          <w:tcPr>
            <w:tcW w:w="37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6"/>
                <w:lang w:eastAsia="en-US" w:bidi="ar-SA"/>
              </w:rPr>
              <w:t>Legionella pneumophila</w:t>
            </w: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 serogroups 1-6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PlainTable1"/>
        <w:tblW w:w="390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8"/>
        <w:gridCol w:w="3961"/>
      </w:tblGrid>
      <w:tr>
        <w:trPr>
          <w:trHeight w:val="17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9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</w:t>
            </w: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  <w:t xml:space="preserve">Table 4. 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Types of microbiologic tests included in the study. These fields are those present in the electronic health record</w:t>
            </w:r>
          </w:p>
        </w:tc>
      </w:tr>
      <w:tr>
        <w:trPr>
          <w:trHeight w:val="17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9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Frequency Blood Cultures AND/OR Respiratory Culture Obtained (84.6%)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N = 4,558</w:t>
            </w:r>
          </w:p>
        </w:tc>
      </w:tr>
      <w:tr>
        <w:trPr>
          <w:trHeight w:val="170" w:hRule="atLeast"/>
        </w:trPr>
        <w:tc>
          <w:tcPr>
            <w:tcW w:w="7039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  <w:t>Respiratory Cultures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6"/>
                <w:lang w:eastAsia="en-US" w:bidi="ar-SA"/>
              </w:rPr>
              <w:t>Specimen Type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Body Site</w:t>
            </w:r>
          </w:p>
        </w:tc>
      </w:tr>
      <w:tr>
        <w:trPr/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Not Blood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Sputum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Body Fluid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Pleural-Right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Pleural-Left </w:t>
            </w:r>
          </w:p>
        </w:tc>
      </w:tr>
      <w:tr>
        <w:trPr/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Bronchial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Bronchoalveolar Lavage (BAL)-Left Lower Lobe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BAL-Left Upper Lobe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BAL-Lingula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BAL-Right Lower Lobe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BAL-Right Middle Lobe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BAL-Right Upper Lobe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Bronchial Brush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Bronchial Lavage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Endotracheal Aspirate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Nasopharynx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Other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Tracheal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Comment Specimen Submitted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Sputum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Sputum, Induced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Drainage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Pleural-Right </w:t>
            </w:r>
          </w:p>
        </w:tc>
      </w:tr>
      <w:tr>
        <w:trPr/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Sputum </w:t>
            </w:r>
          </w:p>
        </w:tc>
      </w:tr>
      <w:tr>
        <w:trPr/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Fine Needle Aspirate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Pleural-Left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Fluid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BAL-Left Lower Lobe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Pleural-Left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Pleural-Right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Sputum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Sputum, Induced</w:t>
            </w:r>
          </w:p>
        </w:tc>
      </w:tr>
      <w:tr>
        <w:trPr/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Pleural Fluid-Right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Pleural-Right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Pleural Fluid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Pleural-Left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Thoracentesis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 xml:space="preserve">Respiratory 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</w:t>
            </w:r>
          </w:p>
        </w:tc>
      </w:tr>
      <w:tr>
        <w:trPr/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Respiratory Secretions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Bronchial Wash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Bronchial Lavage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Lung-Left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Lung-Right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Mouth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Nose, External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Oral Cavity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Other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Sputum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Sputum, Induced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Tracheal 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Tracheostomy Site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Transtracheal Aspirate </w:t>
            </w:r>
          </w:p>
        </w:tc>
      </w:tr>
      <w:tr>
        <w:trPr/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Sputum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Lung-Right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 xml:space="preserve">Mouth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Oropharynx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Tracheal</w:t>
            </w:r>
          </w:p>
        </w:tc>
      </w:tr>
      <w:tr>
        <w:trPr/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Non-Swab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Sputum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Tissue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Pleural-Left</w:t>
            </w:r>
          </w:p>
        </w:tc>
      </w:tr>
      <w:tr>
        <w:trPr/>
        <w:tc>
          <w:tcPr>
            <w:tcW w:w="307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 w:cs="Arial"/>
                <w:b w:val="false"/>
                <w:sz w:val="18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6"/>
                <w:lang w:eastAsia="en-US" w:bidi="ar-SA"/>
              </w:rPr>
              <w:t>Tracheal Aspirate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Endotracheal Aspirate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Lung-Right</w:t>
            </w:r>
          </w:p>
        </w:tc>
      </w:tr>
      <w:tr>
        <w:trPr/>
        <w:tc>
          <w:tcPr>
            <w:tcW w:w="307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6"/>
                <w:lang w:eastAsia="en-US" w:bidi="ar-SA"/>
              </w:rPr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6"/>
                <w:lang w:eastAsia="en-US" w:bidi="ar-SA"/>
              </w:rPr>
              <w:t>Tracheal</w:t>
            </w:r>
          </w:p>
        </w:tc>
      </w:tr>
    </w:tbl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pPr w:vertAnchor="text" w:horzAnchor="margin" w:leftFromText="180" w:rightFromText="180" w:tblpX="0" w:tblpY="31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8"/>
        <w:gridCol w:w="1431"/>
        <w:gridCol w:w="1432"/>
        <w:gridCol w:w="1431"/>
        <w:gridCol w:w="1434"/>
      </w:tblGrid>
      <w:tr>
        <w:trPr>
          <w:trHeight w:val="25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5.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Univariate analysis for methicillin-resistant Staphylococcus aureus*</w:t>
            </w: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 </w:t>
            </w:r>
          </w:p>
        </w:tc>
      </w:tr>
      <w:tr>
        <w:trPr>
          <w:trHeight w:val="37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 w:val="false"/>
                <w:kern w:val="0"/>
                <w:sz w:val="18"/>
                <w:szCs w:val="18"/>
                <w:lang w:eastAsia="en-US" w:bidi="ar-SA"/>
              </w:rPr>
              <w:t>Risk Factor</w:t>
            </w:r>
          </w:p>
        </w:tc>
        <w:tc>
          <w:tcPr>
            <w:tcW w:w="14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All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4,558</w:t>
            </w:r>
          </w:p>
        </w:tc>
        <w:tc>
          <w:tcPr>
            <w:tcW w:w="143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Non-MRSA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4,531</w:t>
            </w:r>
          </w:p>
        </w:tc>
        <w:tc>
          <w:tcPr>
            <w:tcW w:w="14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MRSA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27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</w:tr>
      <w:tr>
        <w:trPr>
          <w:trHeight w:val="194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Bronchiectasis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188 (4.1)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188 (4.1)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0.627</w:t>
            </w:r>
          </w:p>
        </w:tc>
      </w:tr>
      <w:tr>
        <w:trPr>
          <w:trHeight w:val="18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kidney disease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1771 (38.9)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1760 (38.8)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11 (40.7)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0.845</w:t>
            </w:r>
          </w:p>
        </w:tc>
      </w:tr>
      <w:tr>
        <w:trPr>
          <w:trHeight w:val="194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End stage renal disease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182 (4.0)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178 (3.9)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 (14.8)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0.021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Influenza (Prior to admission)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722 (15.8)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715 (15.8)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 (25.9)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0.180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Concurrent influenza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 (1.5)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 (1.5)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Diabetes (Type II)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1740 (38.2)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1728 (38.1)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12 (44.4)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0.553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obstructive pulmonary disease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1615 (35.4)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1606 (35.4)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9 (33.3)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trHeight w:val="11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Current or former tobacco/nicotine use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3143 (69.6)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3121 (69.5)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22 (84.6)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0.132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Alcohol abuse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750 (16.5)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743 (16.4)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 (25.9)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0.191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Substance Use Disorders 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431 (9.5)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424 (9.4)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 (25.9)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0.011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Psychoactive drugs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146 (3.2)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144 (3.2)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 (7.4)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0.214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Opioids 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207 (4.5)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205 (4.5)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 (7.4)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0.349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Cocaine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40 (0.9)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39 (0.9)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 (3.7)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0.212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Non-psychoactive drugs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177 (3.9)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173 (3.8)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 (14.8)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0.019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Stimulants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65 (1.4)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63 (1.4)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 (7.4)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0.056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Abscess of Lung/Mediastinum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30 (0.7)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30 (0.7)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Pyothorax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38 (0.8)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38 (0.8)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Wound treatment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2399 (52.6)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2387 (52.7)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12 (44.4)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0.442</w:t>
            </w:r>
          </w:p>
        </w:tc>
      </w:tr>
      <w:tr>
        <w:trPr>
          <w:trHeight w:val="66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Immunodeficiency or HIV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395 (8.7)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392 (8.7)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 (11.1)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0.505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Any COVID-19 history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787 (17.3)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782 (17.3)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 (18.5)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0.800</w:t>
            </w:r>
          </w:p>
        </w:tc>
      </w:tr>
      <w:tr>
        <w:trPr>
          <w:trHeight w:val="183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Recent COVID-19 diagnosis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226 (5.0)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226 (5.0)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0.642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Concurrent COVID-19 diagnosis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707 (15.5)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705 (15.6)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 (7.4)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0.419</w:t>
            </w:r>
          </w:p>
        </w:tc>
      </w:tr>
      <w:tr>
        <w:trPr>
          <w:trHeight w:val="194" w:hRule="atLeast"/>
        </w:trPr>
        <w:tc>
          <w:tcPr>
            <w:tcW w:w="32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ICU admission within 48 hours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1064 (23.3)</w:t>
            </w:r>
          </w:p>
        </w:tc>
        <w:tc>
          <w:tcPr>
            <w:tcW w:w="143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1060 (23.4)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 (14.8)</w:t>
            </w:r>
          </w:p>
        </w:tc>
        <w:tc>
          <w:tcPr>
            <w:tcW w:w="143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0.367</w:t>
            </w:r>
          </w:p>
        </w:tc>
      </w:tr>
      <w:tr>
        <w:trPr>
          <w:trHeight w:val="301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i/>
                <w:i/>
                <w:sz w:val="16"/>
                <w:szCs w:val="16"/>
              </w:rPr>
            </w:pPr>
            <w:r>
              <w:rPr>
                <w:rFonts w:eastAsia="Calibri" w:cs="Arial" w:ascii="Arial" w:hAnsi="Arial"/>
                <w:b w:val="false"/>
                <w:bCs/>
                <w:i/>
                <w:kern w:val="0"/>
                <w:sz w:val="16"/>
                <w:szCs w:val="16"/>
                <w:lang w:eastAsia="en-US" w:bidi="ar-SA"/>
              </w:rPr>
              <w:t>*T-tests and Fisher’s exact test were used to test for an association with cases of MRSA</w:t>
            </w:r>
          </w:p>
        </w:tc>
      </w:tr>
    </w:tbl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pPr w:vertAnchor="text" w:horzAnchor="margin" w:leftFromText="180" w:rightFromText="180" w:tblpX="0" w:tblpY="137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3"/>
        <w:gridCol w:w="1497"/>
        <w:gridCol w:w="1671"/>
        <w:gridCol w:w="1673"/>
        <w:gridCol w:w="16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6.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Secondary outcomes for methicillin-resistant Staphylococcus aureus versus non-methicillin resistant Staphylococcus aureus community acquired pneumonia. Median (IQR) reported for days prescribed and LOS and n (%) reported for categorical variables. Wilcoxon rank-sum test and Fisher’s exact test were used to test for differences between MRSA cases and non-MRSA cases.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14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All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4,558</w:t>
            </w:r>
          </w:p>
        </w:tc>
        <w:tc>
          <w:tcPr>
            <w:tcW w:w="167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Non-MRSA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4,531</w:t>
            </w:r>
          </w:p>
        </w:tc>
        <w:tc>
          <w:tcPr>
            <w:tcW w:w="16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MRSA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27</w:t>
            </w:r>
          </w:p>
        </w:tc>
        <w:tc>
          <w:tcPr>
            <w:tcW w:w="167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</w:tr>
      <w:tr>
        <w:trPr/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Ordered antibiotic</w:t>
            </w:r>
          </w:p>
        </w:tc>
        <w:tc>
          <w:tcPr>
            <w:tcW w:w="149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4405 (96.6)</w:t>
            </w:r>
          </w:p>
        </w:tc>
        <w:tc>
          <w:tcPr>
            <w:tcW w:w="167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4379 (96.6)</w:t>
            </w:r>
          </w:p>
        </w:tc>
        <w:tc>
          <w:tcPr>
            <w:tcW w:w="16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26 (96.3)</w:t>
            </w:r>
          </w:p>
        </w:tc>
        <w:tc>
          <w:tcPr>
            <w:tcW w:w="1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0.603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Days of antimicrobial therapy</w:t>
            </w:r>
          </w:p>
        </w:tc>
        <w:tc>
          <w:tcPr>
            <w:tcW w:w="149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(4.0)</w:t>
            </w:r>
          </w:p>
        </w:tc>
        <w:tc>
          <w:tcPr>
            <w:tcW w:w="167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(4.0)</w:t>
            </w:r>
          </w:p>
        </w:tc>
        <w:tc>
          <w:tcPr>
            <w:tcW w:w="16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(6.8)</w:t>
            </w:r>
          </w:p>
        </w:tc>
        <w:tc>
          <w:tcPr>
            <w:tcW w:w="1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0.132</w:t>
            </w:r>
          </w:p>
        </w:tc>
      </w:tr>
      <w:tr>
        <w:trPr/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Length of stay</w:t>
            </w:r>
          </w:p>
        </w:tc>
        <w:tc>
          <w:tcPr>
            <w:tcW w:w="149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5.0 (6.0)</w:t>
            </w:r>
          </w:p>
        </w:tc>
        <w:tc>
          <w:tcPr>
            <w:tcW w:w="167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5.0 (6.0)</w:t>
            </w:r>
          </w:p>
        </w:tc>
        <w:tc>
          <w:tcPr>
            <w:tcW w:w="16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9.0 (12.5)</w:t>
            </w:r>
          </w:p>
        </w:tc>
        <w:tc>
          <w:tcPr>
            <w:tcW w:w="1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0.005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30-day readmission</w:t>
            </w:r>
          </w:p>
        </w:tc>
        <w:tc>
          <w:tcPr>
            <w:tcW w:w="149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591 (13.0)</w:t>
            </w:r>
          </w:p>
        </w:tc>
        <w:tc>
          <w:tcPr>
            <w:tcW w:w="167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588 (13.0)</w:t>
            </w:r>
          </w:p>
        </w:tc>
        <w:tc>
          <w:tcPr>
            <w:tcW w:w="16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 (11.1)</w:t>
            </w:r>
          </w:p>
        </w:tc>
        <w:tc>
          <w:tcPr>
            <w:tcW w:w="1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/>
        <w:tc>
          <w:tcPr>
            <w:tcW w:w="251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60-day mortality</w:t>
            </w:r>
          </w:p>
        </w:tc>
        <w:tc>
          <w:tcPr>
            <w:tcW w:w="149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893 (19.6)</w:t>
            </w:r>
          </w:p>
        </w:tc>
        <w:tc>
          <w:tcPr>
            <w:tcW w:w="167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882 (19.5)</w:t>
            </w:r>
          </w:p>
        </w:tc>
        <w:tc>
          <w:tcPr>
            <w:tcW w:w="16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11 (40.7)</w:t>
            </w:r>
          </w:p>
        </w:tc>
        <w:tc>
          <w:tcPr>
            <w:tcW w:w="1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0.012</w:t>
            </w:r>
          </w:p>
        </w:tc>
      </w:tr>
    </w:tbl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pPr w:vertAnchor="text" w:horzAnchor="margin" w:leftFromText="180" w:rightFromText="180" w:tblpX="0" w:tblpY="-37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3"/>
        <w:gridCol w:w="1374"/>
        <w:gridCol w:w="1374"/>
        <w:gridCol w:w="1372"/>
        <w:gridCol w:w="137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7.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 xml:space="preserve">Univariate tests for Pseudomonas </w:t>
            </w:r>
            <w:r>
              <w:rPr>
                <w:rFonts w:eastAsia="Calibri" w:cs="Arial" w:ascii="Arial" w:hAnsi="Arial"/>
                <w:b w:val="false"/>
                <w:bCs w:val="false"/>
                <w:i/>
                <w:kern w:val="0"/>
                <w:sz w:val="18"/>
                <w:szCs w:val="18"/>
                <w:lang w:eastAsia="en-US" w:bidi="ar-SA"/>
              </w:rPr>
              <w:t>aeruginosa*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 w:val="false"/>
                <w:kern w:val="0"/>
                <w:sz w:val="18"/>
                <w:szCs w:val="18"/>
                <w:lang w:eastAsia="en-US" w:bidi="ar-SA"/>
              </w:rPr>
              <w:t>Risk Factor</w:t>
            </w:r>
          </w:p>
        </w:tc>
        <w:tc>
          <w:tcPr>
            <w:tcW w:w="137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All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4,558</w:t>
            </w:r>
          </w:p>
        </w:tc>
        <w:tc>
          <w:tcPr>
            <w:tcW w:w="137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Non-PSA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4,528</w:t>
            </w:r>
          </w:p>
        </w:tc>
        <w:tc>
          <w:tcPr>
            <w:tcW w:w="137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30</w:t>
            </w:r>
          </w:p>
        </w:tc>
        <w:tc>
          <w:tcPr>
            <w:tcW w:w="13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Bronchiectasis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188 (4.1)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187 (4.1)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 (3.3)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kidney disease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1771 (38.9)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1766 (39.0)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 (16.7)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0.013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End stage renal disease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182 (4.0)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182 (4.0)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0.632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Influenza (Prior to admission)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722 (15.8)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715 (15.8)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 (23.3)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0.310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Concurrent influenza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 (1.5)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 (1.5)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Diabetes (Type II)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1740 (38.2)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1734 (38.3)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6 (20.0)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>0.040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obstructive pulmonary disease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1615 (35.4)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1600 (35.3)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15 (50.0)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0.124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Current or former tobacco/nicotine use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3143 (69.6)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3118 (69.5)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25 (83.3)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0.114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Alcohol abuse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750 (16.5)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743 (16.4)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 (23.3)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0.321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Substance Use Disorders 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431 (9.5)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428 (9.5)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 (10.0)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0.759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Psychoactive drugs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146 (3.2)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146 (3.2)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 xml:space="preserve">Opioids 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207 (4.5)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204 (4.5)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 (10.0)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0.153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Cocaine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40 (0.9)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40 (0.9)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Non-psychoactive drugs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177 (3.9)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177 (3.9)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0.630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144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Stimulants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65 (1.4)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65 (1.4)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Abscess of Lung/Mediastinum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30 (0.7)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30 (0.7)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Pyothorax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38 (0.8)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37 (0.8)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 (3.3)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0.223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Wound treatment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2399 (52.6)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2388 (52.7)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11 (36.7)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0.098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Immunodeficiency or HIV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395 (8.7)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394 (8.7)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 (3.3)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Any COVID-19 history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787 (17.3)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783 (17.3)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 (13.3)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0.808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Recent COVID-19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226 (5.0)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226 (5.0)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 (0.0)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0.401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Concurrent COVID-19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707 (15.5)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705 (15.6)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 (6.7)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0.306</w:t>
            </w:r>
          </w:p>
        </w:tc>
      </w:tr>
      <w:tr>
        <w:trPr/>
        <w:tc>
          <w:tcPr>
            <w:tcW w:w="353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ICU admission within 48 hours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1064 (23.3)</w:t>
            </w:r>
          </w:p>
        </w:tc>
        <w:tc>
          <w:tcPr>
            <w:tcW w:w="137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1056 (23.3)</w:t>
            </w:r>
          </w:p>
        </w:tc>
        <w:tc>
          <w:tcPr>
            <w:tcW w:w="13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 (26.7)</w:t>
            </w:r>
          </w:p>
        </w:tc>
        <w:tc>
          <w:tcPr>
            <w:tcW w:w="13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0.666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iCs/>
                <w:sz w:val="16"/>
                <w:szCs w:val="16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vertAlign w:val="superscript"/>
                <w:lang w:eastAsia="en-US" w:bidi="ar-SA"/>
              </w:rPr>
              <w:t xml:space="preserve">*T-tests and Fisher’s exact test were used to test for an association with cases of </w:t>
            </w: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kern w:val="0"/>
                <w:sz w:val="18"/>
                <w:szCs w:val="18"/>
                <w:vertAlign w:val="superscript"/>
                <w:lang w:eastAsia="en-US" w:bidi="ar-SA"/>
              </w:rPr>
              <w:t>Pseudomonas aeruginosa</w:t>
            </w:r>
          </w:p>
        </w:tc>
      </w:tr>
    </w:tbl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Style w:val="PlainTable1"/>
        <w:tblpPr w:vertAnchor="text" w:horzAnchor="margin" w:leftFromText="180" w:rightFromText="180" w:tblpX="0" w:tblpY="405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1"/>
        <w:gridCol w:w="1508"/>
        <w:gridCol w:w="1507"/>
        <w:gridCol w:w="1380"/>
        <w:gridCol w:w="125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26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8.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 xml:space="preserve">Secondary outcomes for </w:t>
            </w:r>
            <w:r>
              <w:rPr>
                <w:rFonts w:eastAsia="Calibri" w:cs="Arial" w:ascii="Arial" w:hAnsi="Arial"/>
                <w:b w:val="false"/>
                <w:bCs w:val="false"/>
                <w:i/>
                <w:kern w:val="0"/>
                <w:sz w:val="18"/>
                <w:szCs w:val="18"/>
                <w:lang w:eastAsia="en-US" w:bidi="ar-SA"/>
              </w:rPr>
              <w:t xml:space="preserve">Pseudomonas aeruginosa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 xml:space="preserve">versus non- </w:t>
            </w:r>
            <w:r>
              <w:rPr>
                <w:rFonts w:eastAsia="Calibri" w:cs="Arial" w:ascii="Arial" w:hAnsi="Arial"/>
                <w:b w:val="false"/>
                <w:bCs w:val="false"/>
                <w:i/>
                <w:kern w:val="0"/>
                <w:sz w:val="18"/>
                <w:szCs w:val="18"/>
                <w:lang w:eastAsia="en-US" w:bidi="ar-SA"/>
              </w:rPr>
              <w:t xml:space="preserve">Pseudomonas aeruginosa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community acquired pneumonia. Median (IQR) reported for days prescribed and LOS and n (%) reported for categorical variables. Wilcoxon rank-sum test and Fisher’s exact test were used to test for differences between MRSA cases and non-MRSA cases.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150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All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4,558</w:t>
            </w:r>
          </w:p>
        </w:tc>
        <w:tc>
          <w:tcPr>
            <w:tcW w:w="15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Non-PSA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4,528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PSA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N = 30</w:t>
            </w:r>
          </w:p>
        </w:tc>
        <w:tc>
          <w:tcPr>
            <w:tcW w:w="12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</w:tr>
      <w:tr>
        <w:trPr/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Ordered antibiotic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4405 (96.6)</w:t>
            </w:r>
          </w:p>
        </w:tc>
        <w:tc>
          <w:tcPr>
            <w:tcW w:w="15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4376 (96.6)</w:t>
            </w:r>
          </w:p>
        </w:tc>
        <w:tc>
          <w:tcPr>
            <w:tcW w:w="13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29 (96.7)</w:t>
            </w:r>
          </w:p>
        </w:tc>
        <w:tc>
          <w:tcPr>
            <w:tcW w:w="125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1.000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Days of antimicrobial therapy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(4.0)</w:t>
            </w:r>
          </w:p>
        </w:tc>
        <w:tc>
          <w:tcPr>
            <w:tcW w:w="15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(4.0)</w:t>
            </w:r>
          </w:p>
        </w:tc>
        <w:tc>
          <w:tcPr>
            <w:tcW w:w="13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4.0 (5.0)</w:t>
            </w:r>
          </w:p>
        </w:tc>
        <w:tc>
          <w:tcPr>
            <w:tcW w:w="125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0.532</w:t>
            </w:r>
          </w:p>
        </w:tc>
      </w:tr>
      <w:tr>
        <w:trPr/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Length of Stay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5.0 (6.0)</w:t>
            </w:r>
          </w:p>
        </w:tc>
        <w:tc>
          <w:tcPr>
            <w:tcW w:w="15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5.0 (6.0)</w:t>
            </w:r>
          </w:p>
        </w:tc>
        <w:tc>
          <w:tcPr>
            <w:tcW w:w="13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5.5 (4.0)</w:t>
            </w:r>
          </w:p>
        </w:tc>
        <w:tc>
          <w:tcPr>
            <w:tcW w:w="125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0.995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30-day readmission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591 (13.0)</w:t>
            </w:r>
          </w:p>
        </w:tc>
        <w:tc>
          <w:tcPr>
            <w:tcW w:w="15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583 (12.9)</w:t>
            </w:r>
          </w:p>
        </w:tc>
        <w:tc>
          <w:tcPr>
            <w:tcW w:w="13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 (26.7)</w:t>
            </w:r>
          </w:p>
        </w:tc>
        <w:tc>
          <w:tcPr>
            <w:tcW w:w="125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0.048</w:t>
            </w:r>
          </w:p>
        </w:tc>
      </w:tr>
      <w:tr>
        <w:trPr/>
        <w:tc>
          <w:tcPr>
            <w:tcW w:w="33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60-day mortality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893 (19.6)</w:t>
            </w:r>
          </w:p>
        </w:tc>
        <w:tc>
          <w:tcPr>
            <w:tcW w:w="15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889 (19.6)</w:t>
            </w:r>
          </w:p>
        </w:tc>
        <w:tc>
          <w:tcPr>
            <w:tcW w:w="13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4 (13.3)</w:t>
            </w:r>
          </w:p>
        </w:tc>
        <w:tc>
          <w:tcPr>
            <w:tcW w:w="125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0.493</w:t>
            </w:r>
          </w:p>
        </w:tc>
      </w:tr>
    </w:tbl>
    <w:p>
      <w:pPr>
        <w:pStyle w:val="BodyText"/>
        <w:spacing w:lineRule="auto" w:line="480"/>
        <w:ind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tbl>
      <w:tblPr>
        <w:tblStyle w:val="PlainTable1"/>
        <w:tblW w:w="96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5"/>
        <w:gridCol w:w="965"/>
        <w:gridCol w:w="1009"/>
        <w:gridCol w:w="995"/>
        <w:gridCol w:w="996"/>
        <w:gridCol w:w="984"/>
        <w:gridCol w:w="990"/>
      </w:tblGrid>
      <w:tr>
        <w:trPr>
          <w:trHeight w:val="37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4" w:type="dxa"/>
            <w:gridSpan w:val="7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Supplemental table 9. </w:t>
            </w: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 xml:space="preserve">Post-hoc multivariate regression analysis for risk of methicillin-resistant </w:t>
            </w: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kern w:val="0"/>
                <w:sz w:val="18"/>
                <w:szCs w:val="18"/>
                <w:lang w:eastAsia="en-US" w:bidi="ar-SA"/>
              </w:rPr>
              <w:t>Staphylococcus aureus</w:t>
            </w:r>
          </w:p>
        </w:tc>
      </w:tr>
      <w:tr>
        <w:trPr>
          <w:trHeight w:val="37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296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All Patients (Planned Analysis)</w:t>
            </w:r>
          </w:p>
        </w:tc>
        <w:tc>
          <w:tcPr>
            <w:tcW w:w="2970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Excluding Patients ≥ 72 Years</w:t>
            </w:r>
          </w:p>
        </w:tc>
      </w:tr>
      <w:tr>
        <w:trPr>
          <w:trHeight w:val="378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bCs w:val="false"/>
                <w:kern w:val="0"/>
                <w:sz w:val="18"/>
                <w:szCs w:val="18"/>
                <w:lang w:eastAsia="en-US" w:bidi="ar-SA"/>
              </w:rPr>
              <w:t>Risk Factor</w:t>
            </w:r>
          </w:p>
        </w:tc>
        <w:tc>
          <w:tcPr>
            <w:tcW w:w="9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OR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95%CI</w:t>
            </w:r>
          </w:p>
        </w:tc>
        <w:tc>
          <w:tcPr>
            <w:tcW w:w="9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  <w:tc>
          <w:tcPr>
            <w:tcW w:w="99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OR</w:t>
            </w:r>
          </w:p>
        </w:tc>
        <w:tc>
          <w:tcPr>
            <w:tcW w:w="98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95%CI</w:t>
            </w:r>
          </w:p>
        </w:tc>
        <w:tc>
          <w:tcPr>
            <w:tcW w:w="9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p-value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Concurrent COVID-19 diagnosis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0.46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0.10-2.01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0.300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0.76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0.16-3.51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0.725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Wound treatment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0.57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0.25-1.30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0.182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0.35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0.13-0.98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0.047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ICU admission within 48 hours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0.58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0.20-1.71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0.327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0.37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0.08-1.65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0.193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obstructive pulmonary disease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0.76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0.31-1.87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eastAsia="en-US" w:bidi="ar-SA"/>
              </w:rPr>
              <w:t>0.556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0.56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0.18-1.74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0.315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Age (per 5 years)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0.86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0.76-0.98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eastAsia="en-US" w:bidi="ar-SA"/>
              </w:rPr>
              <w:t>0.021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0.98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0.95-1.02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0.383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Male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1.07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0.48-2.40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0.862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1.29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0.49-3.41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0.602</w:t>
            </w:r>
          </w:p>
        </w:tc>
      </w:tr>
      <w:tr>
        <w:trPr>
          <w:trHeight w:val="19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Any COVID-19 history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1.16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0.42-3.22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0.773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0.53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0.11-2.49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0.424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Immunodeficiency or HIV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1.18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0.35-4.06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0.787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1.01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0.22-4.64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0.993</w:t>
            </w:r>
          </w:p>
        </w:tc>
      </w:tr>
      <w:tr>
        <w:trPr>
          <w:trHeight w:val="18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Alcohol abuse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1.23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0.47-3.21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0.670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1.13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0.37-3.41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0.828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Diabetes (Type II)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1.43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0.61-3.36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0.412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1.07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0.37-3.09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0.907</w:t>
            </w:r>
          </w:p>
        </w:tc>
      </w:tr>
      <w:tr>
        <w:trPr>
          <w:trHeight w:val="18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Chronic kidney disease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1.55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0.63-3.83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0.342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2.58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0.85-7.79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0.093</w:t>
            </w:r>
          </w:p>
        </w:tc>
      </w:tr>
      <w:tr>
        <w:trPr>
          <w:trHeight w:val="194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Influenza (prior to admission)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1.83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0.74-4.54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0.194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2.75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0.97-7.75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0.056</w:t>
            </w:r>
          </w:p>
        </w:tc>
      </w:tr>
      <w:tr>
        <w:trPr>
          <w:trHeight w:val="18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Current or former tobacco/nicotine use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2.21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0.72-6.80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0.165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3.78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0.82-17.49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en-US" w:bidi="ar-SA"/>
              </w:rPr>
              <w:t>0.089</w:t>
            </w:r>
          </w:p>
        </w:tc>
      </w:tr>
      <w:tr>
        <w:trPr>
          <w:trHeight w:val="183" w:hRule="atLeast"/>
        </w:trPr>
        <w:tc>
          <w:tcPr>
            <w:tcW w:w="368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sz w:val="18"/>
                <w:szCs w:val="18"/>
                <w:vertAlign w:val="superscript"/>
              </w:rPr>
            </w:pP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lang w:eastAsia="en-US" w:bidi="ar-SA"/>
              </w:rPr>
              <w:t>Substance use disorder</w:t>
            </w:r>
            <w:r>
              <w:rPr>
                <w:rFonts w:eastAsia="Calibri" w:cs="Arial" w:ascii="Arial" w:hAnsi="Arial"/>
                <w:b w:val="false"/>
                <w:bCs/>
                <w:kern w:val="0"/>
                <w:sz w:val="18"/>
                <w:szCs w:val="18"/>
                <w:vertAlign w:val="superscript"/>
                <w:lang w:eastAsia="en-US" w:bidi="ar-SA"/>
              </w:rPr>
              <w:t>1</w:t>
            </w:r>
          </w:p>
        </w:tc>
        <w:tc>
          <w:tcPr>
            <w:tcW w:w="96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2.38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0.90-6.25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eastAsia="Calibri" w:cs="Arial" w:ascii="Arial" w:hAnsi="Arial"/>
                <w:bCs/>
                <w:kern w:val="0"/>
                <w:sz w:val="18"/>
                <w:szCs w:val="18"/>
                <w:lang w:eastAsia="en-US" w:bidi="ar-SA"/>
              </w:rPr>
              <w:t>0.080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3.01</w:t>
            </w:r>
          </w:p>
        </w:tc>
        <w:tc>
          <w:tcPr>
            <w:tcW w:w="98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1.05-8.68</w:t>
            </w:r>
          </w:p>
        </w:tc>
        <w:tc>
          <w:tcPr>
            <w:tcW w:w="9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0.041</w:t>
            </w:r>
          </w:p>
        </w:tc>
      </w:tr>
      <w:tr>
        <w:trPr>
          <w:trHeight w:val="301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24" w:type="dxa"/>
            <w:gridSpan w:val="7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  <w:vertAlign w:val="superscript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vertAlign w:val="superscript"/>
                <w:lang w:eastAsia="en-US" w:bidi="ar-SA"/>
              </w:rPr>
              <w:t>*Risk factors that were infrequent are not shown due to poor precision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vertAlign w:val="superscript"/>
                <w:lang w:eastAsia="en-US" w:bidi="ar-SA"/>
              </w:rPr>
              <w:t>1Includes opioids (207), non-psychoactive drugs (177), psychoactive drugs (146), stimulants (65), and cocaine (40)</w:t>
            </w:r>
          </w:p>
        </w:tc>
      </w:tr>
    </w:tbl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Supplemental Table 10. Viral-bacterial Coinfections</w:t>
      </w:r>
    </w:p>
    <w:tbl>
      <w:tblPr>
        <w:tblW w:w="64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79"/>
        <w:gridCol w:w="422"/>
        <w:gridCol w:w="422"/>
        <w:gridCol w:w="423"/>
        <w:gridCol w:w="422"/>
        <w:gridCol w:w="422"/>
        <w:gridCol w:w="423"/>
        <w:gridCol w:w="422"/>
        <w:gridCol w:w="422"/>
        <w:gridCol w:w="422"/>
      </w:tblGrid>
      <w:tr>
        <w:trPr>
          <w:trHeight w:val="2685" w:hRule="atLeast"/>
        </w:trPr>
        <w:tc>
          <w:tcPr>
            <w:tcW w:w="26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2F2F2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COVID-19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Enterovirus-Rhinovirus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  <w:shd w:color="000000" w:fill="F2F2F2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Influenza A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Seasonal Coronavirus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color="000000" w:fill="F2F2F2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Parainfluenza Virus 1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Parainfluenza Virus 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color="000000" w:fill="F2F2F2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Parainfluenza Virus 4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Respiratory Syncytial Virus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textDirection w:val="tbRl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Grand Total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Clostridium species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Cryptococcus species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Enterobacter cloacae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Fusobacterium species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Group A Streptococci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Group B Streptococci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Haemophilus influenzae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Klebsiella oxytoca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Klebsiella pneumoniae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Legionella pneumophila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MRSA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MSSA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Pseudomonas aeruginosa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Salmonella species</w:t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22" w:type="dxa"/>
            <w:tcBorders/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Streptococcus pneumoniae</w:t>
            </w:r>
          </w:p>
        </w:tc>
        <w:tc>
          <w:tcPr>
            <w:tcW w:w="422" w:type="dxa"/>
            <w:tcBorders>
              <w:bottom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dxa"/>
            <w:tcBorders>
              <w:bottom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2" w:type="dxa"/>
            <w:tcBorders>
              <w:bottom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bottom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2" w:type="dxa"/>
            <w:tcBorders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</w:tbl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Supplemental Figure 1.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Forest plot for multivariate regression analysis of methicillin-resistant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Staphylococcus aureus</w:t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inline distT="0" distB="0" distL="0" distR="0">
            <wp:extent cx="5943600" cy="2971800"/>
            <wp:effectExtent l="0" t="0" r="0" b="0"/>
            <wp:docPr id="1" name="Picture 1" descr="A comparison of a number of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mparison of a number of objec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COPD; chronic obstructive pulmonary disease, CKD; chronic kidney disease, substance use disorder; includes opioids, non-psychoactive drugs, stimulants, and cocaine.</w:t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Alt Text: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A graphical representation of Table 2 in the form of a forest plot showing the multivariate regression analysis performed for odds of MRSA pneumonia. Only age (per 5 years) was found to be inversely proportional to risk of MRSA pneumonia.</w:t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i/>
          <w:i/>
          <w:i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Supplemental Figure 2.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Forest plot for multivariate regression analysis of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Pseudomonas aeruginosa</w:t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inline distT="0" distB="0" distL="0" distR="0">
            <wp:extent cx="5943600" cy="2600325"/>
            <wp:effectExtent l="0" t="0" r="0" b="0"/>
            <wp:docPr id="2" name="Picture 2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mparison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CKD; chronic kidney disease, substance use disorder; includes opioids, non-psychoactive drugs, stimulants, and cocaine, COPD; chronic obstructive pulmonary disease.</w:t>
      </w:r>
    </w:p>
    <w:p>
      <w:pPr>
        <w:pStyle w:val="BodyText"/>
        <w:spacing w:lineRule="auto" w:line="480"/>
        <w:ind w:left="121" w:right="441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Alt Text: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A graphical representation of Table 2 in the form of a forest plot showing the multivariate regression analysis performed for odds of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Pseudomonas aeruginosa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pneumonia. The forest plot shows no statistically significant positive or negative odds of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Pseudomonas aeruginosa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across all examined risk factors.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IN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7c4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1"/>
    <w:qFormat/>
    <w:rsid w:val="00537c46"/>
    <w:pPr>
      <w:widowControl w:val="false"/>
      <w:spacing w:lineRule="auto" w:line="240" w:before="0" w:after="0"/>
      <w:ind w:left="119"/>
      <w:outlineLvl w:val="0"/>
    </w:pPr>
    <w:rPr>
      <w:rFonts w:ascii="Times New Roman" w:hAnsi="Times New Roman" w:eastAsia="Times New Roman" w:cs="Times New Roman"/>
      <w:b/>
      <w:bCs/>
      <w:sz w:val="23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1"/>
    <w:qFormat/>
    <w:rsid w:val="00537c46"/>
    <w:rPr>
      <w:rFonts w:ascii="Times New Roman" w:hAnsi="Times New Roman" w:eastAsia="Times New Roman" w:cs="Times New Roman"/>
      <w:b/>
      <w:bCs/>
      <w:sz w:val="23"/>
      <w:szCs w:val="2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37c46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537c46"/>
    <w:rPr>
      <w:sz w:val="20"/>
      <w:szCs w:val="20"/>
      <w:lang w:val="en-US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537c46"/>
    <w:rPr>
      <w:b/>
      <w:bCs/>
      <w:sz w:val="20"/>
      <w:szCs w:val="20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37c46"/>
    <w:rPr>
      <w:rFonts w:ascii="Segoe UI" w:hAnsi="Segoe UI" w:cs="Segoe UI"/>
      <w:sz w:val="18"/>
      <w:szCs w:val="18"/>
      <w:lang w:val="en-US"/>
    </w:rPr>
  </w:style>
  <w:style w:type="character" w:styleId="BodyTextChar" w:customStyle="1">
    <w:name w:val="Body Text Char"/>
    <w:basedOn w:val="DefaultParagraphFont"/>
    <w:uiPriority w:val="1"/>
    <w:qFormat/>
    <w:rsid w:val="00537c46"/>
    <w:rPr>
      <w:rFonts w:ascii="Times New Roman" w:hAnsi="Times New Roman" w:eastAsia="Times New Roman" w:cs="Times New Roman"/>
      <w:sz w:val="23"/>
      <w:szCs w:val="23"/>
      <w:lang w:val="en-US"/>
    </w:rPr>
  </w:style>
  <w:style w:type="character" w:styleId="Hyperlink">
    <w:name w:val="Hyperlink"/>
    <w:basedOn w:val="DefaultParagraphFont"/>
    <w:uiPriority w:val="99"/>
    <w:unhideWhenUsed/>
    <w:rsid w:val="00537c46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c46"/>
    <w:rPr>
      <w:color w:themeColor="followedHyperlink" w:val="954F72"/>
      <w:u w:val="single"/>
    </w:rPr>
  </w:style>
  <w:style w:type="character" w:styleId="cf01" w:customStyle="1">
    <w:name w:val="cf01"/>
    <w:basedOn w:val="DefaultParagraphFont"/>
    <w:qFormat/>
    <w:rsid w:val="00537c46"/>
    <w:rPr>
      <w:rFonts w:ascii="Segoe UI" w:hAnsi="Segoe UI" w:cs="Segoe UI"/>
      <w:color w:val="212121"/>
      <w:sz w:val="18"/>
      <w:szCs w:val="18"/>
      <w:shd w:fill="FFFFFF" w:val="clear"/>
    </w:rPr>
  </w:style>
  <w:style w:type="character" w:styleId="cf11" w:customStyle="1">
    <w:name w:val="cf11"/>
    <w:basedOn w:val="DefaultParagraphFont"/>
    <w:qFormat/>
    <w:rsid w:val="00537c46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537c46"/>
    <w:rPr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537c46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37c46"/>
    <w:rPr>
      <w:color w:val="605E5C"/>
      <w:shd w:fill="E1DFDD" w:val="clear"/>
    </w:rPr>
  </w:style>
  <w:style w:type="character" w:styleId="LineNumber">
    <w:name w:val="line number"/>
    <w:basedOn w:val="DefaultParagraphFont"/>
    <w:uiPriority w:val="99"/>
    <w:semiHidden/>
    <w:unhideWhenUsed/>
    <w:rsid w:val="00537c46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537c4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3"/>
      <w:szCs w:val="23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CommentTextChar"/>
    <w:uiPriority w:val="99"/>
    <w:unhideWhenUsed/>
    <w:rsid w:val="00537c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537c46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37c4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7c46"/>
    <w:pPr>
      <w:spacing w:before="0" w:after="160"/>
      <w:contextualSpacing/>
    </w:pPr>
    <w:rPr/>
  </w:style>
  <w:style w:type="paragraph" w:styleId="Revision">
    <w:name w:val="Revision"/>
    <w:uiPriority w:val="99"/>
    <w:semiHidden/>
    <w:qFormat/>
    <w:rsid w:val="00537c4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pf0" w:customStyle="1">
    <w:name w:val="pf0"/>
    <w:basedOn w:val="Normal"/>
    <w:qFormat/>
    <w:rsid w:val="00537c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537c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37c4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37c4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37c46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537c4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ti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LibreOffice/25.2.6.2$Windows_X86_64 LibreOffice_project/729c5bfe710f5eb71ed3bbde9e06a6065e9c6c5d</Application>
  <AppVersion>15.0000</AppVersion>
  <Pages>8</Pages>
  <Words>1651</Words>
  <Characters>9805</Characters>
  <CharactersWithSpaces>10904</CharactersWithSpaces>
  <Paragraphs>753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2025-11-04T03:09:00Z</dcterms:created>
  <dc:creator>Dhansen Veerappan (integra)</dc:creator>
  <dc:description/>
  <dc:language>en-IN</dc:language>
  <cp:lastModifiedBy/>
  <dcterms:modified xsi:type="dcterms:W3CDTF">2025-11-06T18:01:04Z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