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4D1" w:rsidRDefault="00FD46C6">
      <w:pPr>
        <w:spacing w:after="0" w:line="480" w:lineRule="auto"/>
        <w:jc w:val="center"/>
        <w:rPr>
          <w:b/>
          <w:sz w:val="24"/>
          <w:szCs w:val="24"/>
          <w:lang w:val="en-GB"/>
        </w:rPr>
      </w:pPr>
      <w:r w:rsidRPr="00D75F1B">
        <w:rPr>
          <w:b/>
          <w:sz w:val="24"/>
          <w:szCs w:val="24"/>
          <w:lang w:val="en-GB"/>
        </w:rPr>
        <w:t>Supplemental Online Material</w:t>
      </w:r>
    </w:p>
    <w:p w:rsidR="000C5B84" w:rsidRPr="000C5B84" w:rsidRDefault="000C5B84" w:rsidP="000C5B84">
      <w:pPr>
        <w:spacing w:after="0" w:line="480" w:lineRule="auto"/>
        <w:jc w:val="center"/>
        <w:rPr>
          <w:b/>
          <w:sz w:val="24"/>
          <w:szCs w:val="24"/>
          <w:lang w:val="en-GB"/>
        </w:rPr>
      </w:pPr>
      <w:r w:rsidRPr="000C5B84">
        <w:rPr>
          <w:b/>
          <w:sz w:val="24"/>
          <w:szCs w:val="24"/>
          <w:lang w:val="en-GB"/>
        </w:rPr>
        <w:t xml:space="preserve">Eosinopenia </w:t>
      </w:r>
      <w:r w:rsidR="00367104">
        <w:rPr>
          <w:b/>
          <w:sz w:val="24"/>
          <w:szCs w:val="24"/>
          <w:lang w:val="en-GB"/>
        </w:rPr>
        <w:t>and</w:t>
      </w:r>
      <w:r w:rsidR="00367104" w:rsidRPr="000C5B84">
        <w:rPr>
          <w:b/>
          <w:sz w:val="24"/>
          <w:szCs w:val="24"/>
          <w:lang w:val="en-GB"/>
        </w:rPr>
        <w:t xml:space="preserve"> </w:t>
      </w:r>
      <w:r w:rsidRPr="000C5B84">
        <w:rPr>
          <w:b/>
          <w:sz w:val="24"/>
          <w:szCs w:val="24"/>
          <w:lang w:val="en-GB"/>
        </w:rPr>
        <w:t>Prognosis in Severe Community-Acquired Pneumonia</w:t>
      </w:r>
    </w:p>
    <w:p w:rsidR="000C5B84" w:rsidRPr="000C5B84" w:rsidRDefault="000C5B84" w:rsidP="000C5B84">
      <w:pPr>
        <w:spacing w:after="0" w:line="480" w:lineRule="auto"/>
        <w:jc w:val="center"/>
        <w:rPr>
          <w:b/>
          <w:sz w:val="24"/>
          <w:szCs w:val="24"/>
          <w:lang w:val="en-GB"/>
        </w:rPr>
      </w:pPr>
    </w:p>
    <w:p w:rsidR="000C5B84" w:rsidRDefault="000C5B84" w:rsidP="000C5B84">
      <w:pPr>
        <w:spacing w:after="0" w:line="480" w:lineRule="auto"/>
        <w:jc w:val="center"/>
        <w:rPr>
          <w:sz w:val="24"/>
          <w:szCs w:val="24"/>
        </w:rPr>
      </w:pPr>
      <w:r w:rsidRPr="008B6B1A">
        <w:rPr>
          <w:rFonts w:cs="Calibri"/>
          <w:sz w:val="24"/>
          <w:szCs w:val="24"/>
        </w:rPr>
        <w:t>Catia Cillóniz</w:t>
      </w:r>
      <w:r w:rsidRPr="008B6B1A">
        <w:rPr>
          <w:rFonts w:cs="Calibri"/>
          <w:sz w:val="24"/>
          <w:szCs w:val="24"/>
          <w:vertAlign w:val="superscript"/>
        </w:rPr>
        <w:t>1</w:t>
      </w:r>
      <w:r>
        <w:rPr>
          <w:rFonts w:cs="Calibri"/>
          <w:sz w:val="24"/>
          <w:szCs w:val="24"/>
          <w:vertAlign w:val="superscript"/>
        </w:rPr>
        <w:t>,2,5*</w:t>
      </w:r>
      <w:r w:rsidRPr="008B6B1A">
        <w:rPr>
          <w:rFonts w:cs="Calibri"/>
          <w:sz w:val="24"/>
          <w:szCs w:val="24"/>
        </w:rPr>
        <w:t xml:space="preserve">, </w:t>
      </w:r>
      <w:r>
        <w:rPr>
          <w:rFonts w:cs="Calibri"/>
          <w:sz w:val="24"/>
          <w:szCs w:val="24"/>
        </w:rPr>
        <w:t>Tatiana Castañeda</w:t>
      </w:r>
      <w:r w:rsidRPr="00A315F4">
        <w:rPr>
          <w:rFonts w:cs="Calibri"/>
          <w:sz w:val="24"/>
          <w:szCs w:val="24"/>
          <w:vertAlign w:val="superscript"/>
        </w:rPr>
        <w:t>4</w:t>
      </w:r>
      <w:r>
        <w:rPr>
          <w:rFonts w:cs="Calibri"/>
          <w:sz w:val="24"/>
          <w:szCs w:val="24"/>
        </w:rPr>
        <w:t>*, Antonio Campanella</w:t>
      </w:r>
      <w:r w:rsidRPr="00A20BD3">
        <w:rPr>
          <w:rFonts w:cs="Calibri"/>
          <w:sz w:val="24"/>
          <w:szCs w:val="24"/>
          <w:vertAlign w:val="superscript"/>
        </w:rPr>
        <w:t>3</w:t>
      </w:r>
      <w:r>
        <w:rPr>
          <w:rFonts w:cs="Calibri"/>
          <w:sz w:val="24"/>
          <w:szCs w:val="24"/>
        </w:rPr>
        <w:t>,</w:t>
      </w:r>
      <w:r w:rsidRPr="00BA4D20">
        <w:rPr>
          <w:rFonts w:cs="Calibri"/>
          <w:sz w:val="24"/>
          <w:szCs w:val="24"/>
        </w:rPr>
        <w:t xml:space="preserve"> </w:t>
      </w:r>
      <w:r>
        <w:rPr>
          <w:rFonts w:cs="Calibri"/>
          <w:sz w:val="24"/>
          <w:szCs w:val="24"/>
        </w:rPr>
        <w:t>Riccardo Guglielmi</w:t>
      </w:r>
      <w:r w:rsidRPr="001B4638">
        <w:rPr>
          <w:rFonts w:cs="Calibri"/>
          <w:sz w:val="24"/>
          <w:szCs w:val="24"/>
          <w:vertAlign w:val="superscript"/>
        </w:rPr>
        <w:t>3</w:t>
      </w:r>
      <w:r>
        <w:rPr>
          <w:rFonts w:cs="Calibri"/>
          <w:sz w:val="24"/>
          <w:szCs w:val="24"/>
        </w:rPr>
        <w:t xml:space="preserve">, </w:t>
      </w:r>
      <w:r w:rsidRPr="008B6B1A">
        <w:rPr>
          <w:rFonts w:cs="Calibri"/>
          <w:sz w:val="24"/>
          <w:szCs w:val="24"/>
        </w:rPr>
        <w:t>Albert Gabarrús</w:t>
      </w:r>
      <w:r w:rsidRPr="007A5FE8">
        <w:rPr>
          <w:rFonts w:cs="Calibri"/>
          <w:sz w:val="24"/>
          <w:szCs w:val="24"/>
          <w:vertAlign w:val="superscript"/>
        </w:rPr>
        <w:t>1</w:t>
      </w:r>
      <w:r w:rsidRPr="008B6B1A">
        <w:rPr>
          <w:rFonts w:cs="Calibri"/>
          <w:sz w:val="24"/>
          <w:szCs w:val="24"/>
        </w:rPr>
        <w:t>,</w:t>
      </w:r>
      <w:r w:rsidRPr="00A315F4">
        <w:rPr>
          <w:sz w:val="24"/>
          <w:szCs w:val="24"/>
        </w:rPr>
        <w:t xml:space="preserve"> </w:t>
      </w:r>
      <w:r>
        <w:rPr>
          <w:sz w:val="24"/>
          <w:szCs w:val="24"/>
        </w:rPr>
        <w:t>Sara Granero</w:t>
      </w:r>
      <w:r>
        <w:rPr>
          <w:sz w:val="24"/>
          <w:szCs w:val="24"/>
          <w:vertAlign w:val="superscript"/>
        </w:rPr>
        <w:t>7</w:t>
      </w:r>
      <w:r>
        <w:rPr>
          <w:sz w:val="24"/>
          <w:szCs w:val="24"/>
        </w:rPr>
        <w:t>, Cristina Calvo-García</w:t>
      </w:r>
      <w:r>
        <w:rPr>
          <w:sz w:val="24"/>
          <w:szCs w:val="24"/>
          <w:vertAlign w:val="superscript"/>
        </w:rPr>
        <w:t>7</w:t>
      </w:r>
      <w:r w:rsidRPr="00961BC3">
        <w:rPr>
          <w:sz w:val="24"/>
          <w:szCs w:val="24"/>
        </w:rPr>
        <w:t xml:space="preserve"> </w:t>
      </w:r>
      <w:r>
        <w:rPr>
          <w:sz w:val="24"/>
          <w:szCs w:val="24"/>
        </w:rPr>
        <w:t>Maria Angeles Marcos</w:t>
      </w:r>
      <w:r w:rsidRPr="007D20BC">
        <w:rPr>
          <w:sz w:val="24"/>
          <w:szCs w:val="24"/>
          <w:vertAlign w:val="superscript"/>
        </w:rPr>
        <w:t>6</w:t>
      </w:r>
      <w:r>
        <w:rPr>
          <w:sz w:val="24"/>
          <w:szCs w:val="24"/>
        </w:rPr>
        <w:t xml:space="preserve">, </w:t>
      </w:r>
      <w:r w:rsidRPr="008B6B1A">
        <w:rPr>
          <w:rFonts w:cs="Calibri"/>
          <w:sz w:val="24"/>
          <w:szCs w:val="24"/>
        </w:rPr>
        <w:t>Antoni Torres</w:t>
      </w:r>
      <w:r w:rsidRPr="008B6B1A">
        <w:rPr>
          <w:rFonts w:cs="Calibri"/>
          <w:sz w:val="24"/>
          <w:szCs w:val="24"/>
          <w:vertAlign w:val="superscript"/>
        </w:rPr>
        <w:t>1,</w:t>
      </w:r>
      <w:r>
        <w:rPr>
          <w:rFonts w:cs="Calibri"/>
          <w:sz w:val="24"/>
          <w:szCs w:val="24"/>
          <w:vertAlign w:val="superscript"/>
        </w:rPr>
        <w:t>2,4</w:t>
      </w:r>
    </w:p>
    <w:p w:rsidR="000C5B84" w:rsidRPr="000C5B84" w:rsidRDefault="000C5B84" w:rsidP="000C5B84">
      <w:pPr>
        <w:widowControl w:val="0"/>
        <w:suppressAutoHyphens/>
        <w:spacing w:after="0" w:line="480" w:lineRule="auto"/>
        <w:jc w:val="both"/>
        <w:rPr>
          <w:rFonts w:cs="Calibri"/>
          <w:sz w:val="24"/>
          <w:szCs w:val="24"/>
          <w:lang w:val="en-GB"/>
        </w:rPr>
      </w:pPr>
      <w:r w:rsidRPr="000C5B84">
        <w:rPr>
          <w:rFonts w:cs="Calibri"/>
          <w:sz w:val="24"/>
          <w:szCs w:val="24"/>
          <w:vertAlign w:val="superscript"/>
          <w:lang w:val="en-GB" w:eastAsia="hi-IN" w:bidi="hi-IN"/>
        </w:rPr>
        <w:t>1</w:t>
      </w:r>
      <w:r w:rsidRPr="000C5B84">
        <w:rPr>
          <w:rFonts w:cs="Calibri"/>
          <w:sz w:val="24"/>
          <w:szCs w:val="24"/>
          <w:lang w:val="en-GB"/>
        </w:rPr>
        <w:t xml:space="preserve"> August Pi i Sunyer Biomedical Research Institute–IDIBAPS, Barcelona, Spain.</w:t>
      </w:r>
    </w:p>
    <w:p w:rsidR="000C5B84" w:rsidRDefault="000C5B84" w:rsidP="000C5B84">
      <w:pPr>
        <w:widowControl w:val="0"/>
        <w:suppressAutoHyphens/>
        <w:spacing w:after="0" w:line="480" w:lineRule="auto"/>
        <w:jc w:val="both"/>
        <w:rPr>
          <w:rFonts w:cs="Calibri"/>
          <w:sz w:val="24"/>
          <w:szCs w:val="24"/>
        </w:rPr>
      </w:pPr>
      <w:r w:rsidRPr="007A5FE8">
        <w:rPr>
          <w:rFonts w:cs="Calibri"/>
          <w:sz w:val="24"/>
          <w:szCs w:val="24"/>
          <w:vertAlign w:val="superscript"/>
          <w:lang w:val="it-IT"/>
        </w:rPr>
        <w:t>2</w:t>
      </w:r>
      <w:r w:rsidRPr="007A5FE8">
        <w:rPr>
          <w:rFonts w:cs="Calibri"/>
          <w:sz w:val="24"/>
          <w:szCs w:val="24"/>
          <w:lang w:val="it-IT"/>
        </w:rPr>
        <w:t xml:space="preserve"> </w:t>
      </w:r>
      <w:r w:rsidRPr="007A5FE8">
        <w:rPr>
          <w:rFonts w:cs="Calibri"/>
          <w:sz w:val="24"/>
          <w:szCs w:val="24"/>
        </w:rPr>
        <w:t>Ciber de Enfermedades Respiratorias (CIBERES), Barcelona, Spain</w:t>
      </w:r>
    </w:p>
    <w:p w:rsidR="000C5B84" w:rsidRPr="000C5B84" w:rsidRDefault="000C5B84" w:rsidP="000C5B84">
      <w:pPr>
        <w:widowControl w:val="0"/>
        <w:suppressAutoHyphens/>
        <w:spacing w:after="0" w:line="480" w:lineRule="auto"/>
        <w:jc w:val="both"/>
        <w:rPr>
          <w:sz w:val="24"/>
          <w:szCs w:val="24"/>
          <w:lang w:val="en-GB"/>
        </w:rPr>
      </w:pPr>
      <w:r w:rsidRPr="007A5FE8">
        <w:rPr>
          <w:rFonts w:cs="Calibri"/>
          <w:sz w:val="24"/>
          <w:szCs w:val="24"/>
          <w:vertAlign w:val="superscript"/>
          <w:lang w:val="en-GB"/>
        </w:rPr>
        <w:t xml:space="preserve">3 </w:t>
      </w:r>
      <w:r w:rsidRPr="000C5B84">
        <w:rPr>
          <w:sz w:val="24"/>
          <w:szCs w:val="24"/>
          <w:lang w:val="en-GB"/>
        </w:rPr>
        <w:t xml:space="preserve">Department of Medical –Surgical Sciences and Translational Medicine, Sapienza University of Rome, Italy </w:t>
      </w:r>
    </w:p>
    <w:p w:rsidR="000C5B84" w:rsidRPr="00AE2FA2" w:rsidRDefault="000C5B84" w:rsidP="000C5B84">
      <w:pPr>
        <w:widowControl w:val="0"/>
        <w:suppressAutoHyphens/>
        <w:spacing w:after="0" w:line="480" w:lineRule="auto"/>
        <w:jc w:val="both"/>
        <w:rPr>
          <w:rFonts w:cs="Calibri"/>
          <w:sz w:val="24"/>
          <w:szCs w:val="24"/>
          <w:lang w:val="en-US"/>
        </w:rPr>
      </w:pPr>
      <w:r w:rsidRPr="00AE2FA2">
        <w:rPr>
          <w:sz w:val="24"/>
          <w:szCs w:val="24"/>
          <w:vertAlign w:val="superscript"/>
          <w:lang w:val="en-US"/>
        </w:rPr>
        <w:t>4</w:t>
      </w:r>
      <w:r w:rsidRPr="00AE2FA2">
        <w:rPr>
          <w:sz w:val="24"/>
          <w:szCs w:val="24"/>
          <w:lang w:val="en-US"/>
        </w:rPr>
        <w:t xml:space="preserve"> </w:t>
      </w:r>
      <w:r w:rsidRPr="00AE2FA2">
        <w:rPr>
          <w:rFonts w:cs="Calibri"/>
          <w:sz w:val="24"/>
          <w:szCs w:val="24"/>
          <w:lang w:val="en-US"/>
        </w:rPr>
        <w:t>University of Barcelona, Barcelona, Spain</w:t>
      </w:r>
    </w:p>
    <w:p w:rsidR="000C5B84" w:rsidRPr="000C5B84" w:rsidRDefault="000C5B84" w:rsidP="000C5B84">
      <w:pPr>
        <w:widowControl w:val="0"/>
        <w:suppressAutoHyphens/>
        <w:spacing w:after="0" w:line="480" w:lineRule="auto"/>
        <w:jc w:val="both"/>
        <w:rPr>
          <w:rFonts w:cs="Calibri"/>
          <w:sz w:val="24"/>
          <w:szCs w:val="24"/>
          <w:lang w:val="en-GB"/>
        </w:rPr>
      </w:pPr>
      <w:r w:rsidRPr="000C5B84">
        <w:rPr>
          <w:rFonts w:cs="Calibri"/>
          <w:sz w:val="24"/>
          <w:szCs w:val="24"/>
          <w:vertAlign w:val="superscript"/>
          <w:lang w:val="en-GB"/>
        </w:rPr>
        <w:t>5</w:t>
      </w:r>
      <w:r w:rsidRPr="00790597">
        <w:rPr>
          <w:rFonts w:cs="Calibri"/>
          <w:sz w:val="24"/>
          <w:szCs w:val="24"/>
          <w:lang w:val="it-IT"/>
        </w:rPr>
        <w:t xml:space="preserve"> </w:t>
      </w:r>
      <w:r w:rsidRPr="007A5FE8">
        <w:rPr>
          <w:rFonts w:cs="Calibri"/>
          <w:sz w:val="24"/>
          <w:szCs w:val="24"/>
          <w:lang w:val="it-IT"/>
        </w:rPr>
        <w:t>Faculty of Health Sciences, Continental University, Huancayo, Peru</w:t>
      </w:r>
    </w:p>
    <w:p w:rsidR="000C5B84" w:rsidRPr="000C5B84" w:rsidRDefault="000C5B84" w:rsidP="000C5B84">
      <w:pPr>
        <w:widowControl w:val="0"/>
        <w:suppressAutoHyphens/>
        <w:spacing w:after="0" w:line="480" w:lineRule="auto"/>
        <w:jc w:val="both"/>
        <w:rPr>
          <w:rFonts w:cs="Calibri"/>
          <w:sz w:val="24"/>
          <w:szCs w:val="24"/>
          <w:lang w:val="en-GB"/>
        </w:rPr>
      </w:pPr>
      <w:r w:rsidRPr="000C5B84">
        <w:rPr>
          <w:rFonts w:cs="Calibri"/>
          <w:sz w:val="24"/>
          <w:szCs w:val="24"/>
          <w:vertAlign w:val="superscript"/>
          <w:lang w:val="en-GB"/>
        </w:rPr>
        <w:t xml:space="preserve">6 </w:t>
      </w:r>
      <w:r w:rsidRPr="000C5B84">
        <w:rPr>
          <w:rFonts w:cs="Calibri"/>
          <w:sz w:val="24"/>
          <w:szCs w:val="24"/>
          <w:lang w:val="en-GB"/>
        </w:rPr>
        <w:t>Microbiology Department, Hospital Clinic of Barcelona, Spain</w:t>
      </w:r>
    </w:p>
    <w:p w:rsidR="000C5B84" w:rsidRPr="000C5B84" w:rsidRDefault="000C5B84" w:rsidP="000C5B84">
      <w:pPr>
        <w:widowControl w:val="0"/>
        <w:suppressAutoHyphens/>
        <w:spacing w:after="0" w:line="480" w:lineRule="auto"/>
        <w:jc w:val="both"/>
        <w:rPr>
          <w:rFonts w:cs="Calibri"/>
          <w:sz w:val="24"/>
          <w:szCs w:val="24"/>
          <w:lang w:val="en-GB"/>
        </w:rPr>
      </w:pPr>
      <w:r w:rsidRPr="000C5B84">
        <w:rPr>
          <w:rFonts w:cs="Calibri"/>
          <w:sz w:val="24"/>
          <w:szCs w:val="24"/>
          <w:vertAlign w:val="superscript"/>
          <w:lang w:val="en-GB"/>
        </w:rPr>
        <w:t>7</w:t>
      </w:r>
      <w:r w:rsidRPr="000C5B84">
        <w:rPr>
          <w:rFonts w:cs="Calibri"/>
          <w:sz w:val="24"/>
          <w:szCs w:val="24"/>
          <w:lang w:val="en-GB"/>
        </w:rPr>
        <w:t>Respiratory Intensive Care Unit, Hospital Clinic of Barcelona, Spain</w:t>
      </w:r>
    </w:p>
    <w:p w:rsidR="000C5B84" w:rsidRDefault="000C5B84" w:rsidP="000C5B84">
      <w:pPr>
        <w:spacing w:after="0" w:line="480" w:lineRule="auto"/>
        <w:rPr>
          <w:b/>
          <w:sz w:val="24"/>
          <w:szCs w:val="24"/>
          <w:lang w:val="en-GB"/>
        </w:rPr>
      </w:pPr>
      <w:r>
        <w:rPr>
          <w:b/>
          <w:sz w:val="24"/>
          <w:szCs w:val="24"/>
          <w:lang w:val="en-GB"/>
        </w:rPr>
        <w:t>*Equal contribution as first author</w:t>
      </w:r>
    </w:p>
    <w:p w:rsidR="000C5B84" w:rsidRDefault="000C5B84" w:rsidP="000C5B84">
      <w:pPr>
        <w:spacing w:after="0" w:line="480" w:lineRule="auto"/>
        <w:rPr>
          <w:b/>
          <w:sz w:val="24"/>
          <w:szCs w:val="24"/>
          <w:lang w:val="en-GB"/>
        </w:rPr>
      </w:pPr>
    </w:p>
    <w:p w:rsidR="000C5B84" w:rsidRDefault="000C5B84" w:rsidP="000C5B84">
      <w:pPr>
        <w:spacing w:after="0" w:line="480" w:lineRule="auto"/>
        <w:rPr>
          <w:b/>
          <w:sz w:val="24"/>
          <w:szCs w:val="24"/>
          <w:lang w:val="en-GB"/>
        </w:rPr>
      </w:pPr>
    </w:p>
    <w:p w:rsidR="000C5B84" w:rsidRDefault="000C5B84" w:rsidP="000C5B84">
      <w:pPr>
        <w:spacing w:after="0" w:line="480" w:lineRule="auto"/>
        <w:rPr>
          <w:b/>
          <w:sz w:val="24"/>
          <w:szCs w:val="24"/>
          <w:lang w:val="en-GB"/>
        </w:rPr>
      </w:pPr>
    </w:p>
    <w:p w:rsidR="000C5B84" w:rsidRPr="000C5B84" w:rsidRDefault="000C5B84" w:rsidP="000C5B84">
      <w:pPr>
        <w:widowControl w:val="0"/>
        <w:suppressAutoHyphens/>
        <w:spacing w:after="0" w:line="480" w:lineRule="auto"/>
        <w:rPr>
          <w:sz w:val="24"/>
          <w:szCs w:val="24"/>
          <w:lang w:val="en-GB"/>
        </w:rPr>
      </w:pPr>
      <w:r w:rsidRPr="000C5B84">
        <w:rPr>
          <w:b/>
          <w:bCs/>
          <w:sz w:val="24"/>
          <w:szCs w:val="24"/>
          <w:lang w:val="en-GB" w:eastAsia="hi-IN" w:bidi="hi-IN"/>
        </w:rPr>
        <w:t>Correspondence:</w:t>
      </w:r>
      <w:r w:rsidRPr="000C5B84">
        <w:rPr>
          <w:sz w:val="24"/>
          <w:szCs w:val="24"/>
          <w:lang w:val="en-GB"/>
        </w:rPr>
        <w:t xml:space="preserve"> Prof. Antoni Torres</w:t>
      </w:r>
      <w:r w:rsidRPr="000C5B84">
        <w:rPr>
          <w:bCs/>
          <w:sz w:val="24"/>
          <w:szCs w:val="24"/>
          <w:lang w:val="en-GB" w:eastAsia="hi-IN" w:bidi="hi-IN"/>
        </w:rPr>
        <w:t xml:space="preserve"> (primary) or Dr Catia Cillóniz (alternative)</w:t>
      </w:r>
    </w:p>
    <w:p w:rsidR="000C5B84" w:rsidRPr="000C5B84" w:rsidRDefault="000C5B84" w:rsidP="000C5B84">
      <w:pPr>
        <w:widowControl w:val="0"/>
        <w:suppressAutoHyphens/>
        <w:spacing w:after="0" w:line="480" w:lineRule="auto"/>
        <w:rPr>
          <w:sz w:val="24"/>
          <w:szCs w:val="24"/>
          <w:lang w:val="en-GB"/>
        </w:rPr>
      </w:pPr>
      <w:r w:rsidRPr="000C5B84">
        <w:rPr>
          <w:rFonts w:cs="Calibri"/>
          <w:sz w:val="24"/>
          <w:szCs w:val="24"/>
          <w:lang w:val="en-GB"/>
        </w:rPr>
        <w:t>August Pi i Sunyer Biomedical Research Institute–IDIBAPS</w:t>
      </w:r>
      <w:r w:rsidRPr="000C5B84">
        <w:rPr>
          <w:sz w:val="24"/>
          <w:szCs w:val="24"/>
          <w:lang w:val="en-GB"/>
        </w:rPr>
        <w:t xml:space="preserve"> </w:t>
      </w:r>
    </w:p>
    <w:p w:rsidR="000C5B84" w:rsidRPr="008D476B" w:rsidRDefault="000C5B84" w:rsidP="000C5B84">
      <w:pPr>
        <w:widowControl w:val="0"/>
        <w:suppressAutoHyphens/>
        <w:spacing w:after="0" w:line="480" w:lineRule="auto"/>
        <w:rPr>
          <w:sz w:val="24"/>
          <w:szCs w:val="24"/>
        </w:rPr>
      </w:pPr>
      <w:r w:rsidRPr="008D476B">
        <w:rPr>
          <w:sz w:val="24"/>
          <w:szCs w:val="24"/>
        </w:rPr>
        <w:t>C/ Villarroel 170, 08036 Barcelona, Spain</w:t>
      </w:r>
    </w:p>
    <w:p w:rsidR="000C5B84" w:rsidRDefault="000C5B84" w:rsidP="000C5B84">
      <w:pPr>
        <w:widowControl w:val="0"/>
        <w:suppressAutoHyphens/>
        <w:spacing w:after="0" w:line="480" w:lineRule="auto"/>
        <w:rPr>
          <w:sz w:val="24"/>
          <w:szCs w:val="24"/>
        </w:rPr>
      </w:pPr>
      <w:r>
        <w:rPr>
          <w:sz w:val="24"/>
          <w:szCs w:val="24"/>
        </w:rPr>
        <w:t>Tel: (+34) 93-227-5779</w:t>
      </w:r>
    </w:p>
    <w:p w:rsidR="00D925E8" w:rsidRPr="000C5B84" w:rsidRDefault="000C5B84" w:rsidP="000C5B84">
      <w:pPr>
        <w:widowControl w:val="0"/>
        <w:suppressAutoHyphens/>
        <w:spacing w:after="0" w:line="480" w:lineRule="auto"/>
        <w:jc w:val="both"/>
        <w:rPr>
          <w:rFonts w:cs="Calibri"/>
          <w:sz w:val="24"/>
          <w:szCs w:val="24"/>
          <w:lang w:val="en-GB"/>
        </w:rPr>
      </w:pPr>
      <w:r w:rsidRPr="000C5B84">
        <w:rPr>
          <w:sz w:val="24"/>
          <w:szCs w:val="24"/>
          <w:lang w:val="en-GB"/>
        </w:rPr>
        <w:t xml:space="preserve">Email: </w:t>
      </w:r>
      <w:hyperlink r:id="rId7" w:history="1">
        <w:r w:rsidRPr="000C5B84">
          <w:rPr>
            <w:rStyle w:val="Hipervnculo"/>
            <w:sz w:val="24"/>
            <w:szCs w:val="24"/>
            <w:lang w:val="en-GB"/>
          </w:rPr>
          <w:t>atorres@recerca.clinic.cat</w:t>
        </w:r>
      </w:hyperlink>
      <w:r w:rsidRPr="000C5B84">
        <w:rPr>
          <w:sz w:val="24"/>
          <w:szCs w:val="24"/>
          <w:lang w:val="en-GB"/>
        </w:rPr>
        <w:t xml:space="preserve"> (primary) or </w:t>
      </w:r>
      <w:hyperlink r:id="rId8" w:history="1">
        <w:r w:rsidRPr="000C5B84">
          <w:rPr>
            <w:rStyle w:val="Hipervnculo"/>
            <w:sz w:val="24"/>
            <w:szCs w:val="24"/>
            <w:lang w:val="en-GB"/>
          </w:rPr>
          <w:t>cilloniz@recerca.clinic.cat</w:t>
        </w:r>
      </w:hyperlink>
      <w:r w:rsidRPr="000C5B84">
        <w:rPr>
          <w:b/>
          <w:sz w:val="24"/>
          <w:szCs w:val="24"/>
          <w:lang w:val="en-GB"/>
        </w:rPr>
        <w:t xml:space="preserve"> </w:t>
      </w:r>
      <w:r w:rsidRPr="000C5B84">
        <w:rPr>
          <w:sz w:val="24"/>
          <w:szCs w:val="24"/>
          <w:lang w:val="en-GB"/>
        </w:rPr>
        <w:t>(alternative)</w:t>
      </w:r>
    </w:p>
    <w:p w:rsidR="00F814D1" w:rsidRPr="00865FD8" w:rsidRDefault="00FD46C6">
      <w:pPr>
        <w:spacing w:after="0" w:line="480" w:lineRule="auto"/>
        <w:rPr>
          <w:sz w:val="24"/>
          <w:szCs w:val="24"/>
          <w:vertAlign w:val="superscript"/>
          <w:lang w:val="en-US"/>
        </w:rPr>
      </w:pPr>
      <w:r w:rsidRPr="00865FD8">
        <w:rPr>
          <w:sz w:val="24"/>
          <w:szCs w:val="24"/>
          <w:vertAlign w:val="superscript"/>
          <w:lang w:val="en-US"/>
        </w:rPr>
        <w:br w:type="page"/>
      </w:r>
    </w:p>
    <w:p w:rsidR="008A0955" w:rsidRPr="008A0955" w:rsidRDefault="008A0955" w:rsidP="008A0955">
      <w:pPr>
        <w:widowControl w:val="0"/>
        <w:suppressAutoHyphens/>
        <w:autoSpaceDE w:val="0"/>
        <w:autoSpaceDN w:val="0"/>
        <w:adjustRightInd w:val="0"/>
        <w:spacing w:after="0" w:line="480" w:lineRule="auto"/>
        <w:jc w:val="both"/>
        <w:rPr>
          <w:rFonts w:cs="Calibri"/>
          <w:b/>
          <w:bCs/>
          <w:sz w:val="24"/>
          <w:szCs w:val="24"/>
          <w:lang w:val="en-GB"/>
        </w:rPr>
      </w:pPr>
      <w:r w:rsidRPr="008A0955">
        <w:rPr>
          <w:rFonts w:cs="Calibri"/>
          <w:b/>
          <w:bCs/>
          <w:sz w:val="24"/>
          <w:szCs w:val="24"/>
          <w:lang w:val="en-GB"/>
        </w:rPr>
        <w:lastRenderedPageBreak/>
        <w:t>Data collection, evaluation, and microbiological diagnosis</w:t>
      </w:r>
    </w:p>
    <w:p w:rsidR="008A0955" w:rsidRPr="008A0955" w:rsidRDefault="008A0955" w:rsidP="008A0955">
      <w:pPr>
        <w:widowControl w:val="0"/>
        <w:suppressAutoHyphens/>
        <w:spacing w:after="0" w:line="480" w:lineRule="auto"/>
        <w:jc w:val="both"/>
        <w:rPr>
          <w:rFonts w:cs="Calibri"/>
          <w:bCs/>
          <w:sz w:val="24"/>
          <w:szCs w:val="24"/>
          <w:lang w:val="en-GB"/>
        </w:rPr>
      </w:pPr>
      <w:r w:rsidRPr="008A0955">
        <w:rPr>
          <w:rFonts w:cs="Calibri"/>
          <w:bCs/>
          <w:sz w:val="24"/>
          <w:szCs w:val="24"/>
          <w:lang w:val="en-GB"/>
        </w:rPr>
        <w:t>The aetiology was considered definite if one of the following criteria was met: (1) a positive blood culture (in the absence of an apparent extra-pulmonary focus); (2) a positive bacterial culture of pleural fluid or transthoracic needle aspiration samples; (3) elevated serum levels of IgM against Chlamydophila pneumoniae (≥1:64), Coxiella burnetii (≥1:80) and Mycoplasma pneumoniae (any positive titre); (4) seroconversion (i.e., a fourfold increase in IgG titres) for C. pneumoniae and L. pneumophila &gt; 1:128, C. burnetii &gt; 1:80 and respiratory viruses (influenza viruses A and B, parainfluenza viruses 1–3, respiratory syncytial virus, adenovirus); (5) positive urinary antigen for L. pneumophila (Binax Now L. pneumophila urinary Antigen Test; Trinity Biotech, Bray, Ireland); (6) positive urinary antigen for S. pneumoniae (Binax Now Streptococcus pneumoniae urinary Antigen Test; Emergo Europe, The Hague, The Netherlands); (7) bacterial growth in cultures of TBAS (≥105 cfu/ml), in protected specimen brush (≥103 cfu/ml), and BAL (≥104 cfu/ml); (8) detection of antigens by IFA plus virus isolation or detection by reverse transcriptase polymerase chain reaction (RT-PCR) testing for respiratory virus (influenza viruses A and B, parainfluenza virus 1–3, respiratory syncytial virus, rhinovirus, adenovirus).</w:t>
      </w:r>
    </w:p>
    <w:p w:rsidR="008A0955" w:rsidRPr="008A0955" w:rsidRDefault="008A0955" w:rsidP="008A0955">
      <w:pPr>
        <w:widowControl w:val="0"/>
        <w:suppressAutoHyphens/>
        <w:spacing w:after="0" w:line="480" w:lineRule="auto"/>
        <w:jc w:val="both"/>
        <w:rPr>
          <w:rFonts w:cs="Calibri"/>
          <w:bCs/>
          <w:sz w:val="24"/>
          <w:szCs w:val="24"/>
          <w:lang w:val="en-GB"/>
        </w:rPr>
      </w:pPr>
      <w:r w:rsidRPr="008A0955">
        <w:rPr>
          <w:rFonts w:cs="Calibri"/>
          <w:bCs/>
          <w:sz w:val="24"/>
          <w:szCs w:val="24"/>
          <w:lang w:val="en-GB"/>
        </w:rPr>
        <w:t>The aetiology of pneumonia was classified as presumptive when a predominant microorganism was isolated from a purulent sample (leukocytes &gt; 25 per high power microscopic field and few epithelial cells &lt; 10 per high power microscopic field) and the findings of Gram staining were compatible. For the purpose of this study, presumptive and definitive diagnoses were analyzed together.</w:t>
      </w:r>
    </w:p>
    <w:p w:rsidR="008A0955" w:rsidRPr="008A0955" w:rsidRDefault="008A0955">
      <w:pPr>
        <w:widowControl w:val="0"/>
        <w:suppressAutoHyphens/>
        <w:spacing w:after="0" w:line="480" w:lineRule="auto"/>
        <w:jc w:val="both"/>
        <w:rPr>
          <w:rFonts w:cs="Calibri"/>
          <w:bCs/>
          <w:sz w:val="24"/>
          <w:szCs w:val="24"/>
          <w:lang w:val="en-GB"/>
        </w:rPr>
      </w:pPr>
    </w:p>
    <w:p w:rsidR="008A0955" w:rsidRPr="008A0955" w:rsidRDefault="008A0955">
      <w:pPr>
        <w:widowControl w:val="0"/>
        <w:suppressAutoHyphens/>
        <w:spacing w:after="0" w:line="480" w:lineRule="auto"/>
        <w:jc w:val="both"/>
        <w:rPr>
          <w:rFonts w:cs="Calibri"/>
          <w:bCs/>
          <w:sz w:val="24"/>
          <w:szCs w:val="24"/>
          <w:lang w:val="en-GB"/>
        </w:rPr>
      </w:pPr>
    </w:p>
    <w:p w:rsidR="00AB05FF" w:rsidRPr="00651899" w:rsidRDefault="00AB05FF" w:rsidP="00AB05FF">
      <w:pPr>
        <w:spacing w:after="0" w:line="240" w:lineRule="auto"/>
        <w:ind w:right="68"/>
        <w:jc w:val="both"/>
        <w:rPr>
          <w:rFonts w:eastAsia="Calibri" w:cs="Calibri"/>
          <w:b/>
          <w:sz w:val="24"/>
          <w:szCs w:val="24"/>
          <w:lang w:val="en-US" w:eastAsia="en-US"/>
        </w:rPr>
      </w:pPr>
      <w:r>
        <w:rPr>
          <w:rFonts w:cs="Calibri"/>
          <w:b/>
          <w:bCs/>
          <w:sz w:val="24"/>
          <w:szCs w:val="24"/>
          <w:lang w:val="en-GB"/>
        </w:rPr>
        <w:lastRenderedPageBreak/>
        <w:t xml:space="preserve">Supplementary </w:t>
      </w:r>
      <w:r>
        <w:rPr>
          <w:rFonts w:eastAsia="Calibri" w:cs="Calibri"/>
          <w:b/>
          <w:sz w:val="24"/>
          <w:szCs w:val="24"/>
          <w:lang w:val="en-US" w:eastAsia="en-US"/>
        </w:rPr>
        <w:t xml:space="preserve">Table 1. </w:t>
      </w:r>
      <w:r w:rsidRPr="00340BD3">
        <w:rPr>
          <w:rFonts w:eastAsia="Calibri" w:cs="Calibri"/>
          <w:b/>
          <w:sz w:val="24"/>
          <w:szCs w:val="24"/>
          <w:lang w:val="en-US" w:eastAsia="en-US"/>
        </w:rPr>
        <w:t>Linear regression analyses showing the association of log-transformed eosinophil counts with lymphocyte, leukocyte, neutrophil, and C-reactive protein levels, including interaction with systemic corticosteroid use</w:t>
      </w:r>
      <w:r w:rsidR="001847FC">
        <w:rPr>
          <w:rFonts w:eastAsia="Calibri" w:cs="Calibri"/>
          <w:b/>
          <w:sz w:val="24"/>
          <w:szCs w:val="24"/>
          <w:lang w:val="en-US" w:eastAsia="en-US"/>
        </w:rPr>
        <w:t xml:space="preserve"> </w:t>
      </w:r>
    </w:p>
    <w:tbl>
      <w:tblPr>
        <w:tblW w:w="10759" w:type="dxa"/>
        <w:jc w:val="center"/>
        <w:tblCellMar>
          <w:left w:w="70" w:type="dxa"/>
          <w:right w:w="70" w:type="dxa"/>
        </w:tblCellMar>
        <w:tblLook w:val="04A0"/>
      </w:tblPr>
      <w:tblGrid>
        <w:gridCol w:w="830"/>
        <w:gridCol w:w="2360"/>
        <w:gridCol w:w="2360"/>
        <w:gridCol w:w="1488"/>
        <w:gridCol w:w="1311"/>
        <w:gridCol w:w="1488"/>
        <w:gridCol w:w="922"/>
      </w:tblGrid>
      <w:tr w:rsidR="00AB05FF" w:rsidRPr="00B2474C" w:rsidTr="00675D8D">
        <w:trPr>
          <w:trHeight w:val="300"/>
          <w:jc w:val="center"/>
        </w:trPr>
        <w:tc>
          <w:tcPr>
            <w:tcW w:w="830" w:type="dxa"/>
            <w:tcBorders>
              <w:top w:val="nil"/>
              <w:left w:val="nil"/>
              <w:bottom w:val="nil"/>
              <w:right w:val="nil"/>
            </w:tcBorders>
          </w:tcPr>
          <w:p w:rsidR="00AB05FF" w:rsidRDefault="00AB05FF" w:rsidP="00675D8D">
            <w:pPr>
              <w:spacing w:after="0" w:line="240" w:lineRule="auto"/>
              <w:jc w:val="center"/>
              <w:rPr>
                <w:rFonts w:cs="Calibri"/>
                <w:b/>
                <w:bCs/>
                <w:color w:val="000000"/>
                <w:lang w:eastAsia="ca-ES"/>
              </w:rPr>
            </w:pPr>
            <w:r>
              <w:rPr>
                <w:rFonts w:cs="Calibri"/>
                <w:b/>
                <w:bCs/>
                <w:color w:val="000000"/>
                <w:lang w:eastAsia="ca-ES"/>
              </w:rPr>
              <w:t>model</w:t>
            </w:r>
          </w:p>
        </w:tc>
        <w:tc>
          <w:tcPr>
            <w:tcW w:w="2360" w:type="dxa"/>
            <w:tcBorders>
              <w:top w:val="nil"/>
              <w:left w:val="nil"/>
              <w:bottom w:val="nil"/>
              <w:right w:val="nil"/>
            </w:tcBorders>
          </w:tcPr>
          <w:p w:rsidR="00AB05FF" w:rsidRPr="00B2474C" w:rsidRDefault="00AB05FF" w:rsidP="00675D8D">
            <w:pPr>
              <w:spacing w:after="0" w:line="240" w:lineRule="auto"/>
              <w:jc w:val="center"/>
              <w:rPr>
                <w:rFonts w:cs="Calibri"/>
                <w:b/>
                <w:bCs/>
                <w:color w:val="000000"/>
                <w:lang w:eastAsia="ca-ES"/>
              </w:rPr>
            </w:pPr>
            <w:r>
              <w:rPr>
                <w:rFonts w:cs="Calibri"/>
                <w:b/>
                <w:bCs/>
                <w:color w:val="000000"/>
                <w:lang w:eastAsia="ca-ES"/>
              </w:rPr>
              <w:t>dependent.variable</w:t>
            </w: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jc w:val="center"/>
              <w:rPr>
                <w:rFonts w:cs="Calibri"/>
                <w:b/>
                <w:bCs/>
                <w:color w:val="000000"/>
                <w:lang w:eastAsia="ca-ES"/>
              </w:rPr>
            </w:pPr>
            <w:r w:rsidRPr="00B2474C">
              <w:rPr>
                <w:rFonts w:cs="Calibri"/>
                <w:b/>
                <w:bCs/>
                <w:color w:val="000000"/>
                <w:lang w:eastAsia="ca-ES"/>
              </w:rPr>
              <w:t>term</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center"/>
              <w:rPr>
                <w:rFonts w:cs="Calibri"/>
                <w:b/>
                <w:bCs/>
                <w:color w:val="000000"/>
                <w:lang w:eastAsia="ca-ES"/>
              </w:rPr>
            </w:pPr>
            <w:r w:rsidRPr="00B2474C">
              <w:rPr>
                <w:rFonts w:cs="Calibri"/>
                <w:b/>
                <w:bCs/>
                <w:color w:val="000000"/>
                <w:lang w:eastAsia="ca-ES"/>
              </w:rPr>
              <w:t>estimate</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center"/>
              <w:rPr>
                <w:rFonts w:cs="Calibri"/>
                <w:b/>
                <w:bCs/>
                <w:color w:val="000000"/>
                <w:lang w:eastAsia="ca-ES"/>
              </w:rPr>
            </w:pPr>
            <w:r w:rsidRPr="00B2474C">
              <w:rPr>
                <w:rFonts w:cs="Calibri"/>
                <w:b/>
                <w:bCs/>
                <w:color w:val="000000"/>
                <w:lang w:eastAsia="ca-ES"/>
              </w:rPr>
              <w:t>std.error</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center"/>
              <w:rPr>
                <w:rFonts w:cs="Calibri"/>
                <w:b/>
                <w:bCs/>
                <w:color w:val="000000"/>
                <w:lang w:eastAsia="ca-ES"/>
              </w:rPr>
            </w:pPr>
            <w:r w:rsidRPr="00B2474C">
              <w:rPr>
                <w:rFonts w:cs="Calibri"/>
                <w:b/>
                <w:bCs/>
                <w:color w:val="000000"/>
                <w:lang w:eastAsia="ca-ES"/>
              </w:rPr>
              <w:t>statistic</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center"/>
              <w:rPr>
                <w:rFonts w:cs="Calibri"/>
                <w:b/>
                <w:bCs/>
                <w:color w:val="000000"/>
                <w:lang w:eastAsia="ca-ES"/>
              </w:rPr>
            </w:pPr>
            <w:r w:rsidRPr="00B2474C">
              <w:rPr>
                <w:rFonts w:cs="Calibri"/>
                <w:b/>
                <w:bCs/>
                <w:color w:val="000000"/>
                <w:lang w:eastAsia="ca-ES"/>
              </w:rPr>
              <w:t>p.value</w:t>
            </w:r>
          </w:p>
        </w:tc>
      </w:tr>
      <w:tr w:rsidR="00AB05FF" w:rsidRPr="00B2474C" w:rsidTr="00675D8D">
        <w:trPr>
          <w:trHeight w:val="300"/>
          <w:jc w:val="center"/>
        </w:trPr>
        <w:tc>
          <w:tcPr>
            <w:tcW w:w="830" w:type="dxa"/>
            <w:tcBorders>
              <w:top w:val="nil"/>
              <w:left w:val="nil"/>
              <w:bottom w:val="nil"/>
              <w:right w:val="nil"/>
            </w:tcBorders>
          </w:tcPr>
          <w:p w:rsidR="00AB05FF" w:rsidRPr="006F6190" w:rsidRDefault="00AB05FF" w:rsidP="00675D8D">
            <w:pPr>
              <w:spacing w:after="0" w:line="240" w:lineRule="auto"/>
              <w:rPr>
                <w:rFonts w:cs="Calibri"/>
                <w:color w:val="000000"/>
                <w:lang w:eastAsia="ca-ES"/>
              </w:rPr>
            </w:pPr>
            <w:r w:rsidRPr="006F6190">
              <w:rPr>
                <w:rFonts w:cs="Calibri"/>
                <w:color w:val="000000"/>
                <w:lang w:eastAsia="ca-ES"/>
              </w:rPr>
              <w:t>1</w:t>
            </w: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r w:rsidRPr="006F6190">
              <w:rPr>
                <w:rFonts w:cs="Calibri"/>
                <w:color w:val="000000"/>
                <w:lang w:eastAsia="ca-ES"/>
              </w:rPr>
              <w:t>Log10(Lymphocytes [×10⁹/L] + 0.01)</w:t>
            </w: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(Intercept)</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3.092228074</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0.042458026</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72.83023615</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0.218534696</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0.032230242</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6.78042374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0.225585952</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0.139947414</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1.611933694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0.10</w:t>
            </w:r>
            <w:r>
              <w:rPr>
                <w:rFonts w:cs="Calibri"/>
                <w:color w:val="000000"/>
                <w:lang w:eastAsia="ca-ES"/>
              </w:rPr>
              <w:t>8</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0.185167987</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0.117736554</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1.572731508</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0.116</w:t>
            </w:r>
          </w:p>
        </w:tc>
      </w:tr>
      <w:tr w:rsidR="00AB05FF" w:rsidRPr="00B2474C" w:rsidTr="00675D8D">
        <w:trPr>
          <w:trHeight w:val="300"/>
          <w:jc w:val="center"/>
        </w:trPr>
        <w:tc>
          <w:tcPr>
            <w:tcW w:w="830" w:type="dxa"/>
            <w:tcBorders>
              <w:top w:val="nil"/>
              <w:left w:val="nil"/>
              <w:bottom w:val="nil"/>
              <w:right w:val="nil"/>
            </w:tcBorders>
          </w:tcPr>
          <w:p w:rsidR="00AB05FF" w:rsidRPr="006F6190" w:rsidRDefault="00AB05FF" w:rsidP="00675D8D">
            <w:pPr>
              <w:spacing w:after="0" w:line="240" w:lineRule="auto"/>
              <w:rPr>
                <w:rFonts w:cs="Calibri"/>
                <w:color w:val="000000"/>
                <w:lang w:eastAsia="ca-ES"/>
              </w:rPr>
            </w:pPr>
            <w:r>
              <w:rPr>
                <w:rFonts w:cs="Calibri"/>
                <w:color w:val="000000"/>
                <w:lang w:eastAsia="ca-ES"/>
              </w:rPr>
              <w:t>2</w:t>
            </w: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r w:rsidRPr="006F6190">
              <w:rPr>
                <w:rFonts w:cs="Calibri"/>
                <w:color w:val="000000"/>
                <w:lang w:eastAsia="ca-ES"/>
              </w:rPr>
              <w:t>Log10(Leukocytes [×10⁹/L] + 0.01)</w:t>
            </w: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(Intercept)</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4.291530862</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0.036102543</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118.8705976</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0.247125393</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0.027405741</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9.017285422</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0.103826544</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0.118998879</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0.872500184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0.383</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0.027457321</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0.100112732</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0.274264032</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0.784</w:t>
            </w:r>
          </w:p>
        </w:tc>
      </w:tr>
      <w:tr w:rsidR="00AB05FF" w:rsidRPr="00B2474C" w:rsidTr="00675D8D">
        <w:trPr>
          <w:trHeight w:val="300"/>
          <w:jc w:val="center"/>
        </w:trPr>
        <w:tc>
          <w:tcPr>
            <w:tcW w:w="830" w:type="dxa"/>
            <w:tcBorders>
              <w:top w:val="nil"/>
              <w:left w:val="nil"/>
              <w:bottom w:val="nil"/>
              <w:right w:val="nil"/>
            </w:tcBorders>
          </w:tcPr>
          <w:p w:rsidR="00AB05FF" w:rsidRPr="006F6190" w:rsidRDefault="00AB05FF" w:rsidP="00675D8D">
            <w:pPr>
              <w:spacing w:after="0" w:line="240" w:lineRule="auto"/>
              <w:rPr>
                <w:rFonts w:cs="Calibri"/>
                <w:color w:val="000000"/>
                <w:lang w:eastAsia="ca-ES"/>
              </w:rPr>
            </w:pPr>
            <w:r>
              <w:rPr>
                <w:rFonts w:cs="Calibri"/>
                <w:color w:val="000000"/>
                <w:lang w:eastAsia="ca-ES"/>
              </w:rPr>
              <w:t>3</w:t>
            </w: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r w:rsidRPr="006F6190">
              <w:rPr>
                <w:rFonts w:cs="Calibri"/>
                <w:color w:val="000000"/>
                <w:lang w:eastAsia="ca-ES"/>
              </w:rPr>
              <w:t>Log10(Neutrophils [×10⁹/L] + 0.01)</w:t>
            </w: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(Intercept)</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4.197862899</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0.041763766</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100.5144729</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0.25189149</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0.031941487</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7.886029034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0.076041869</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0.137172948</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0.55435033</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0.5</w:t>
            </w:r>
            <w:r>
              <w:rPr>
                <w:rFonts w:cs="Calibri"/>
                <w:color w:val="000000"/>
                <w:lang w:eastAsia="ca-ES"/>
              </w:rPr>
              <w:t>80</w:t>
            </w:r>
          </w:p>
        </w:tc>
      </w:tr>
      <w:tr w:rsidR="00AB05FF" w:rsidRPr="00B2474C"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-0.010644498</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0.115460389</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-0.09219177</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0.92</w:t>
            </w:r>
            <w:r>
              <w:rPr>
                <w:rFonts w:cs="Calibri"/>
                <w:color w:val="000000"/>
                <w:lang w:eastAsia="ca-ES"/>
              </w:rPr>
              <w:t>7</w:t>
            </w:r>
          </w:p>
        </w:tc>
      </w:tr>
      <w:tr w:rsidR="00AB05FF" w:rsidRPr="00340BD3" w:rsidTr="00675D8D">
        <w:trPr>
          <w:trHeight w:val="300"/>
          <w:jc w:val="center"/>
        </w:trPr>
        <w:tc>
          <w:tcPr>
            <w:tcW w:w="830" w:type="dxa"/>
            <w:tcBorders>
              <w:top w:val="nil"/>
              <w:left w:val="nil"/>
              <w:bottom w:val="nil"/>
              <w:right w:val="nil"/>
            </w:tcBorders>
          </w:tcPr>
          <w:p w:rsidR="00AB05FF" w:rsidRPr="006F6190" w:rsidRDefault="00AB05FF" w:rsidP="00675D8D">
            <w:pPr>
              <w:spacing w:after="0" w:line="240" w:lineRule="auto"/>
              <w:rPr>
                <w:rFonts w:cs="Calibri"/>
                <w:color w:val="000000"/>
                <w:lang w:eastAsia="ca-ES"/>
              </w:rPr>
            </w:pPr>
            <w:r w:rsidRPr="006F6190">
              <w:rPr>
                <w:rFonts w:cs="Calibri"/>
                <w:color w:val="000000"/>
                <w:lang w:eastAsia="ca-ES"/>
              </w:rPr>
              <w:t>4</w:t>
            </w:r>
          </w:p>
        </w:tc>
        <w:tc>
          <w:tcPr>
            <w:tcW w:w="2360" w:type="dxa"/>
            <w:tcBorders>
              <w:top w:val="nil"/>
              <w:left w:val="nil"/>
              <w:bottom w:val="nil"/>
              <w:right w:val="nil"/>
            </w:tcBorders>
          </w:tcPr>
          <w:p w:rsidR="00AB05FF" w:rsidRPr="00AB05FF" w:rsidRDefault="00AB05FF" w:rsidP="00675D8D">
            <w:pPr>
              <w:spacing w:after="0" w:line="240" w:lineRule="auto"/>
              <w:rPr>
                <w:rFonts w:cs="Calibri"/>
                <w:color w:val="000000"/>
                <w:lang w:val="en-US" w:eastAsia="ca-ES"/>
              </w:rPr>
            </w:pPr>
            <w:r w:rsidRPr="00AB05FF">
              <w:rPr>
                <w:rFonts w:cs="Calibri"/>
                <w:color w:val="000000"/>
                <w:lang w:val="en-US" w:eastAsia="ca-ES"/>
              </w:rPr>
              <w:t>Log10(C-reactive protein [mg/L] + 0.01)</w:t>
            </w: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(Intercept)</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1.11635808</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0.045557602</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24.50432044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Pr>
                <w:rFonts w:cs="Calibri"/>
                <w:color w:val="000000"/>
                <w:lang w:eastAsia="ca-ES"/>
              </w:rPr>
              <w:t>&lt;0.001</w:t>
            </w:r>
          </w:p>
        </w:tc>
      </w:tr>
      <w:tr w:rsidR="00AB05FF" w:rsidRPr="00340BD3"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-0.065763148</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0.034176726</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-1.924208536</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0.055</w:t>
            </w:r>
          </w:p>
        </w:tc>
      </w:tr>
      <w:tr w:rsidR="00AB05FF" w:rsidRPr="00340BD3"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-0.143217614</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0.154960323</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-0.924221184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0.35</w:t>
            </w:r>
            <w:r>
              <w:rPr>
                <w:rFonts w:cs="Calibri"/>
                <w:color w:val="000000"/>
                <w:lang w:eastAsia="ca-ES"/>
              </w:rPr>
              <w:t>6</w:t>
            </w:r>
          </w:p>
        </w:tc>
      </w:tr>
      <w:tr w:rsidR="00AB05FF" w:rsidRPr="00340BD3" w:rsidTr="00675D8D">
        <w:trPr>
          <w:trHeight w:val="300"/>
          <w:jc w:val="center"/>
        </w:trPr>
        <w:tc>
          <w:tcPr>
            <w:tcW w:w="83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tcPr>
          <w:p w:rsidR="00AB05FF" w:rsidRPr="00B2474C" w:rsidRDefault="00AB05FF" w:rsidP="00675D8D">
            <w:pPr>
              <w:spacing w:after="0" w:line="240" w:lineRule="auto"/>
              <w:rPr>
                <w:rFonts w:cs="Calibri"/>
                <w:color w:val="000000"/>
                <w:lang w:eastAsia="ca-ES"/>
              </w:rPr>
            </w:pPr>
          </w:p>
        </w:tc>
        <w:tc>
          <w:tcPr>
            <w:tcW w:w="2360" w:type="dxa"/>
            <w:tcBorders>
              <w:top w:val="nil"/>
              <w:left w:val="nil"/>
              <w:bottom w:val="nil"/>
              <w:right w:val="nil"/>
            </w:tcBorders>
            <w:noWrap/>
            <w:vAlign w:val="bottom"/>
            <w:hideMark/>
          </w:tcPr>
          <w:p w:rsidR="00AB05FF" w:rsidRPr="00B2474C" w:rsidRDefault="00AB05FF" w:rsidP="00675D8D">
            <w:pPr>
              <w:spacing w:after="0" w:line="240" w:lineRule="auto"/>
              <w:rPr>
                <w:rFonts w:cs="Calibri"/>
                <w:color w:val="000000"/>
                <w:lang w:eastAsia="ca-ES"/>
              </w:rPr>
            </w:pPr>
            <w:r w:rsidRPr="00B2474C">
              <w:rPr>
                <w:rFonts w:cs="Calibri"/>
                <w:color w:val="000000"/>
                <w:lang w:eastAsia="ca-ES"/>
              </w:rPr>
              <w:t>log_eosinof1:cortisistrSí</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0.085300757</w:t>
            </w:r>
          </w:p>
        </w:tc>
        <w:tc>
          <w:tcPr>
            <w:tcW w:w="1311"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0.126986379</w:t>
            </w:r>
          </w:p>
        </w:tc>
        <w:tc>
          <w:tcPr>
            <w:tcW w:w="1488"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0.671731544</w:t>
            </w:r>
          </w:p>
        </w:tc>
        <w:tc>
          <w:tcPr>
            <w:tcW w:w="922" w:type="dxa"/>
            <w:tcBorders>
              <w:top w:val="nil"/>
              <w:left w:val="nil"/>
              <w:bottom w:val="nil"/>
              <w:right w:val="nil"/>
            </w:tcBorders>
            <w:noWrap/>
            <w:vAlign w:val="bottom"/>
            <w:hideMark/>
          </w:tcPr>
          <w:p w:rsidR="00AB05FF" w:rsidRPr="00B2474C" w:rsidRDefault="00AB05FF" w:rsidP="00675D8D">
            <w:pPr>
              <w:spacing w:after="0" w:line="240" w:lineRule="auto"/>
              <w:jc w:val="right"/>
              <w:rPr>
                <w:rFonts w:cs="Calibri"/>
                <w:color w:val="000000"/>
                <w:lang w:eastAsia="ca-ES"/>
              </w:rPr>
            </w:pPr>
            <w:r w:rsidRPr="00B2474C">
              <w:rPr>
                <w:rFonts w:cs="Calibri"/>
                <w:color w:val="000000"/>
                <w:lang w:eastAsia="ca-ES"/>
              </w:rPr>
              <w:t>0.502</w:t>
            </w:r>
          </w:p>
        </w:tc>
      </w:tr>
    </w:tbl>
    <w:p w:rsidR="001847FC" w:rsidRDefault="001847FC" w:rsidP="00AB05FF">
      <w:pPr>
        <w:jc w:val="both"/>
        <w:rPr>
          <w:rFonts w:asciiTheme="minorHAnsi" w:eastAsiaTheme="minorHAnsi" w:hAnsiTheme="minorHAnsi" w:cstheme="minorBidi"/>
          <w:lang w:val="ca-ES" w:eastAsia="en-US"/>
        </w:rPr>
      </w:pPr>
    </w:p>
    <w:p w:rsidR="00AB05FF" w:rsidRPr="00340BD3" w:rsidRDefault="00AB05FF" w:rsidP="00AB05FF">
      <w:pPr>
        <w:jc w:val="both"/>
        <w:rPr>
          <w:rFonts w:asciiTheme="minorHAnsi" w:eastAsiaTheme="minorHAnsi" w:hAnsiTheme="minorHAnsi" w:cstheme="minorBidi"/>
          <w:lang w:val="ca-ES" w:eastAsia="en-US"/>
        </w:rPr>
      </w:pPr>
      <w:r w:rsidRPr="00340BD3">
        <w:rPr>
          <w:rFonts w:asciiTheme="minorHAnsi" w:eastAsiaTheme="minorHAnsi" w:hAnsiTheme="minorHAnsi" w:cstheme="minorBidi"/>
          <w:lang w:val="ca-ES" w:eastAsia="en-US"/>
        </w:rPr>
        <w:t>Linear regression models were fitted with log-transformed eosinophil counts (log₁₀[eosinophils + 0.01]) as the main independent variable. Dependent variables were the log-transformed counts of lymphocytes, leukocytes, neutrophils, and C-reactive protein (CRP). An interaction term between eosinophil counts and systemic corticosteroid use was included to evaluate potential effect modification. Positive coefficients indicate a direct association between eosinophil counts and the corresponding hematological parameter. p-values &lt;0.05 were considered statistically significant.</w:t>
      </w:r>
    </w:p>
    <w:p w:rsidR="00AB05FF" w:rsidRPr="00340BD3" w:rsidRDefault="00AB05FF" w:rsidP="00AB05FF">
      <w:pPr>
        <w:jc w:val="both"/>
        <w:rPr>
          <w:rFonts w:asciiTheme="minorHAnsi" w:eastAsiaTheme="minorHAnsi" w:hAnsiTheme="minorHAnsi" w:cstheme="minorBidi"/>
          <w:lang w:val="ca-ES" w:eastAsia="en-US"/>
        </w:rPr>
      </w:pPr>
      <w:r w:rsidRPr="00340BD3">
        <w:rPr>
          <w:rFonts w:asciiTheme="minorHAnsi" w:eastAsiaTheme="minorHAnsi" w:hAnsiTheme="minorHAnsi" w:cstheme="minorBidi"/>
          <w:lang w:val="ca-ES" w:eastAsia="en-US"/>
        </w:rPr>
        <w:br w:type="page"/>
      </w:r>
    </w:p>
    <w:p w:rsidR="00BE7EE9" w:rsidRPr="00D472E1" w:rsidRDefault="00EC6746" w:rsidP="00BE7EE9">
      <w:pPr>
        <w:spacing w:after="0" w:line="240" w:lineRule="auto"/>
        <w:ind w:right="68"/>
        <w:jc w:val="both"/>
        <w:rPr>
          <w:rFonts w:eastAsia="Calibri" w:cstheme="minorHAnsi"/>
          <w:b/>
          <w:color w:val="0070C0"/>
          <w:sz w:val="24"/>
          <w:szCs w:val="24"/>
          <w:lang w:val="en-US"/>
        </w:rPr>
      </w:pPr>
      <w:r w:rsidRPr="00D472E1">
        <w:rPr>
          <w:rFonts w:cs="Calibri"/>
          <w:b/>
          <w:bCs/>
          <w:color w:val="0070C0"/>
          <w:sz w:val="24"/>
          <w:szCs w:val="24"/>
          <w:lang w:val="en-GB"/>
        </w:rPr>
        <w:lastRenderedPageBreak/>
        <w:t xml:space="preserve">Supplementary </w:t>
      </w:r>
      <w:r w:rsidR="00BE7EE9" w:rsidRPr="00D472E1">
        <w:rPr>
          <w:rFonts w:eastAsia="Calibri" w:cstheme="minorHAnsi"/>
          <w:b/>
          <w:color w:val="0070C0"/>
          <w:sz w:val="24"/>
          <w:szCs w:val="24"/>
          <w:lang w:val="en-US"/>
        </w:rPr>
        <w:t>Table 2. Distribution of respiratory viral pathogens according to eosinopenia status</w:t>
      </w:r>
    </w:p>
    <w:tbl>
      <w:tblPr>
        <w:tblW w:w="8149" w:type="dxa"/>
        <w:tblLayout w:type="fixed"/>
        <w:tblLook w:val="0000"/>
      </w:tblPr>
      <w:tblGrid>
        <w:gridCol w:w="3356"/>
        <w:gridCol w:w="1611"/>
        <w:gridCol w:w="2104"/>
        <w:gridCol w:w="1078"/>
      </w:tblGrid>
      <w:tr w:rsidR="00D472E1" w:rsidRPr="00D472E1" w:rsidTr="00BE7EE9">
        <w:trPr>
          <w:tblHeader/>
        </w:trPr>
        <w:tc>
          <w:tcPr>
            <w:tcW w:w="3356" w:type="dxa"/>
            <w:tcBorders>
              <w:top w:val="single" w:sz="4" w:space="0" w:color="000000"/>
            </w:tcBorders>
            <w:vAlign w:val="bottom"/>
          </w:tcPr>
          <w:p w:rsidR="00BE7EE9" w:rsidRPr="00D472E1" w:rsidRDefault="00BE7EE9" w:rsidP="00B042CB">
            <w:pPr>
              <w:widowControl w:val="0"/>
              <w:pBdr>
                <w:top w:val="nil"/>
                <w:left w:val="nil"/>
                <w:bottom w:val="nil"/>
                <w:right w:val="nil"/>
                <w:between w:val="nil"/>
              </w:pBdr>
              <w:spacing w:after="0" w:line="240" w:lineRule="auto"/>
              <w:rPr>
                <w:rFonts w:eastAsia="Calibri" w:cstheme="minorHAnsi"/>
                <w:b/>
                <w:color w:val="0070C0"/>
                <w:sz w:val="24"/>
                <w:szCs w:val="24"/>
                <w:lang w:val="en-US"/>
              </w:rPr>
            </w:pPr>
          </w:p>
        </w:tc>
        <w:tc>
          <w:tcPr>
            <w:tcW w:w="1611" w:type="dxa"/>
            <w:tcBorders>
              <w:top w:val="single" w:sz="4" w:space="0" w:color="000000"/>
              <w:bottom w:val="single" w:sz="4" w:space="0" w:color="000000"/>
            </w:tcBorders>
            <w:vAlign w:val="bottom"/>
          </w:tcPr>
          <w:p w:rsidR="00BE7EE9" w:rsidRPr="00D472E1" w:rsidRDefault="00BE7EE9" w:rsidP="00B042CB">
            <w:pPr>
              <w:spacing w:after="0" w:line="240" w:lineRule="auto"/>
              <w:jc w:val="center"/>
              <w:rPr>
                <w:rFonts w:eastAsia="Calibri" w:cstheme="minorHAnsi"/>
                <w:b/>
                <w:color w:val="0070C0"/>
                <w:sz w:val="24"/>
                <w:szCs w:val="24"/>
              </w:rPr>
            </w:pPr>
            <w:r w:rsidRPr="00D472E1">
              <w:rPr>
                <w:rFonts w:eastAsia="Calibri" w:cstheme="minorHAnsi"/>
                <w:b/>
                <w:color w:val="0070C0"/>
                <w:sz w:val="24"/>
                <w:szCs w:val="24"/>
              </w:rPr>
              <w:t>Eosinopenia</w:t>
            </w:r>
            <w:r w:rsidRPr="00D472E1">
              <w:rPr>
                <w:rFonts w:eastAsia="Calibri" w:cstheme="minorHAnsi"/>
                <w:b/>
                <w:color w:val="0070C0"/>
                <w:sz w:val="24"/>
                <w:szCs w:val="24"/>
              </w:rPr>
              <w:br/>
              <w:t>(&lt;0.05 x10</w:t>
            </w:r>
            <w:r w:rsidRPr="00D472E1">
              <w:rPr>
                <w:rFonts w:eastAsia="Calibri" w:cstheme="minorHAnsi"/>
                <w:b/>
                <w:color w:val="0070C0"/>
                <w:sz w:val="24"/>
                <w:szCs w:val="24"/>
                <w:vertAlign w:val="superscript"/>
              </w:rPr>
              <w:t>9</w:t>
            </w:r>
            <w:r w:rsidRPr="00D472E1">
              <w:rPr>
                <w:rFonts w:eastAsia="Calibri" w:cstheme="minorHAnsi"/>
                <w:b/>
                <w:color w:val="0070C0"/>
                <w:sz w:val="24"/>
                <w:szCs w:val="24"/>
              </w:rPr>
              <w:t>/L)</w:t>
            </w:r>
          </w:p>
          <w:p w:rsidR="00BE7EE9" w:rsidRPr="00D472E1" w:rsidRDefault="00BE7EE9" w:rsidP="00B042CB">
            <w:pPr>
              <w:spacing w:after="0" w:line="240" w:lineRule="auto"/>
              <w:jc w:val="center"/>
              <w:rPr>
                <w:rFonts w:eastAsia="Calibri" w:cstheme="minorHAnsi"/>
                <w:b/>
                <w:color w:val="0070C0"/>
                <w:sz w:val="24"/>
                <w:szCs w:val="24"/>
              </w:rPr>
            </w:pPr>
            <w:r w:rsidRPr="00D472E1">
              <w:rPr>
                <w:rFonts w:eastAsia="Calibri" w:cstheme="minorHAnsi"/>
                <w:b/>
                <w:color w:val="0070C0"/>
                <w:sz w:val="24"/>
                <w:szCs w:val="24"/>
              </w:rPr>
              <w:t>(N=163)</w:t>
            </w:r>
          </w:p>
        </w:tc>
        <w:tc>
          <w:tcPr>
            <w:tcW w:w="2104" w:type="dxa"/>
            <w:tcBorders>
              <w:top w:val="single" w:sz="4" w:space="0" w:color="000000"/>
              <w:bottom w:val="single" w:sz="4" w:space="0" w:color="000000"/>
            </w:tcBorders>
            <w:vAlign w:val="bottom"/>
          </w:tcPr>
          <w:p w:rsidR="00BE7EE9" w:rsidRPr="00D472E1" w:rsidRDefault="00BE7EE9" w:rsidP="00B042CB">
            <w:pPr>
              <w:spacing w:after="0" w:line="240" w:lineRule="auto"/>
              <w:jc w:val="center"/>
              <w:rPr>
                <w:rFonts w:eastAsia="Calibri" w:cstheme="minorHAnsi"/>
                <w:b/>
                <w:color w:val="0070C0"/>
                <w:sz w:val="24"/>
                <w:szCs w:val="24"/>
                <w:lang w:val="en-US"/>
              </w:rPr>
            </w:pPr>
            <w:r w:rsidRPr="00D472E1">
              <w:rPr>
                <w:rFonts w:eastAsia="Calibri" w:cstheme="minorHAnsi"/>
                <w:b/>
                <w:color w:val="0070C0"/>
                <w:sz w:val="24"/>
                <w:szCs w:val="24"/>
                <w:lang w:val="en-US"/>
              </w:rPr>
              <w:t>Non-eosinopenia</w:t>
            </w:r>
            <w:r w:rsidRPr="00D472E1">
              <w:rPr>
                <w:rFonts w:eastAsia="Calibri" w:cstheme="minorHAnsi"/>
                <w:b/>
                <w:color w:val="0070C0"/>
                <w:sz w:val="24"/>
                <w:szCs w:val="24"/>
                <w:lang w:val="en-US"/>
              </w:rPr>
              <w:br/>
              <w:t>(≥0.05 x10</w:t>
            </w:r>
            <w:r w:rsidRPr="00D472E1">
              <w:rPr>
                <w:rFonts w:eastAsia="Calibri" w:cstheme="minorHAnsi"/>
                <w:b/>
                <w:color w:val="0070C0"/>
                <w:sz w:val="24"/>
                <w:szCs w:val="24"/>
                <w:vertAlign w:val="superscript"/>
                <w:lang w:val="en-US"/>
              </w:rPr>
              <w:t>9</w:t>
            </w:r>
            <w:r w:rsidRPr="00D472E1">
              <w:rPr>
                <w:rFonts w:eastAsia="Calibri" w:cstheme="minorHAnsi"/>
                <w:b/>
                <w:color w:val="0070C0"/>
                <w:sz w:val="24"/>
                <w:szCs w:val="24"/>
                <w:lang w:val="en-US"/>
              </w:rPr>
              <w:t>/L)</w:t>
            </w:r>
          </w:p>
          <w:p w:rsidR="00BE7EE9" w:rsidRPr="00D472E1" w:rsidRDefault="00BE7EE9" w:rsidP="00B042CB">
            <w:pPr>
              <w:spacing w:after="0" w:line="240" w:lineRule="auto"/>
              <w:jc w:val="center"/>
              <w:rPr>
                <w:rFonts w:eastAsia="Calibri" w:cstheme="minorHAnsi"/>
                <w:b/>
                <w:color w:val="0070C0"/>
                <w:sz w:val="24"/>
                <w:szCs w:val="24"/>
                <w:lang w:val="en-US"/>
              </w:rPr>
            </w:pPr>
            <w:r w:rsidRPr="00D472E1">
              <w:rPr>
                <w:rFonts w:eastAsia="Calibri" w:cstheme="minorHAnsi"/>
                <w:b/>
                <w:color w:val="0070C0"/>
                <w:sz w:val="24"/>
                <w:szCs w:val="24"/>
                <w:lang w:val="en-US"/>
              </w:rPr>
              <w:t xml:space="preserve"> (N=333)</w:t>
            </w:r>
          </w:p>
        </w:tc>
        <w:tc>
          <w:tcPr>
            <w:tcW w:w="1078" w:type="dxa"/>
            <w:tcBorders>
              <w:top w:val="single" w:sz="4" w:space="0" w:color="000000"/>
              <w:bottom w:val="single" w:sz="4" w:space="0" w:color="000000"/>
            </w:tcBorders>
            <w:vAlign w:val="bottom"/>
          </w:tcPr>
          <w:p w:rsidR="00BE7EE9" w:rsidRPr="00D472E1" w:rsidRDefault="00BE7EE9" w:rsidP="00B042CB">
            <w:pPr>
              <w:spacing w:after="0" w:line="240" w:lineRule="auto"/>
              <w:jc w:val="center"/>
              <w:rPr>
                <w:rFonts w:eastAsia="Calibri" w:cstheme="minorHAnsi"/>
                <w:b/>
                <w:color w:val="0070C0"/>
                <w:sz w:val="24"/>
                <w:szCs w:val="24"/>
              </w:rPr>
            </w:pPr>
            <w:r w:rsidRPr="00D472E1">
              <w:rPr>
                <w:rFonts w:eastAsia="Calibri" w:cstheme="minorHAnsi"/>
                <w:b/>
                <w:color w:val="0070C0"/>
                <w:sz w:val="24"/>
                <w:szCs w:val="24"/>
              </w:rPr>
              <w:t>P-value</w:t>
            </w:r>
          </w:p>
        </w:tc>
      </w:tr>
      <w:tr w:rsidR="00D472E1" w:rsidRPr="00D472E1" w:rsidTr="00BE7EE9">
        <w:tc>
          <w:tcPr>
            <w:tcW w:w="3356" w:type="dxa"/>
            <w:tcBorders>
              <w:top w:val="single" w:sz="4" w:space="0" w:color="auto"/>
            </w:tcBorders>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Defined etiology, n (%)</w:t>
            </w:r>
          </w:p>
        </w:tc>
        <w:tc>
          <w:tcPr>
            <w:tcW w:w="1611" w:type="dxa"/>
            <w:tcBorders>
              <w:top w:val="single" w:sz="4" w:space="0" w:color="auto"/>
            </w:tcBorders>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eastAsia="Calibri" w:cstheme="minorHAnsi"/>
                <w:color w:val="0070C0"/>
                <w:sz w:val="24"/>
                <w:szCs w:val="24"/>
              </w:rPr>
              <w:t>115 (71)</w:t>
            </w:r>
          </w:p>
        </w:tc>
        <w:tc>
          <w:tcPr>
            <w:tcW w:w="2104" w:type="dxa"/>
            <w:tcBorders>
              <w:top w:val="single" w:sz="4" w:space="0" w:color="auto"/>
            </w:tcBorders>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eastAsia="Calibri" w:cstheme="minorHAnsi"/>
                <w:color w:val="0070C0"/>
                <w:sz w:val="24"/>
                <w:szCs w:val="24"/>
              </w:rPr>
              <w:t>187 (56)</w:t>
            </w:r>
          </w:p>
        </w:tc>
        <w:tc>
          <w:tcPr>
            <w:tcW w:w="1078" w:type="dxa"/>
            <w:tcBorders>
              <w:top w:val="single" w:sz="4" w:space="0" w:color="auto"/>
            </w:tcBorders>
          </w:tcPr>
          <w:p w:rsidR="00BE7EE9" w:rsidRPr="00D472E1" w:rsidRDefault="00BE7EE9" w:rsidP="00B042CB">
            <w:pPr>
              <w:spacing w:after="0" w:line="240" w:lineRule="auto"/>
              <w:jc w:val="center"/>
              <w:rPr>
                <w:rFonts w:eastAsia="Calibri" w:cstheme="minorHAnsi"/>
                <w:b/>
                <w:color w:val="0070C0"/>
                <w:sz w:val="24"/>
                <w:szCs w:val="24"/>
              </w:rPr>
            </w:pPr>
            <w:r w:rsidRPr="00D472E1">
              <w:rPr>
                <w:rFonts w:eastAsia="Calibri" w:cstheme="minorHAnsi"/>
                <w:b/>
                <w:color w:val="0070C0"/>
                <w:sz w:val="24"/>
                <w:szCs w:val="24"/>
              </w:rPr>
              <w:t>0.002</w:t>
            </w:r>
          </w:p>
        </w:tc>
      </w:tr>
      <w:tr w:rsidR="00D472E1" w:rsidRPr="00D472E1" w:rsidTr="00BE7EE9">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Influenza A</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9 (8)</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9 (5)</w:t>
            </w:r>
          </w:p>
        </w:tc>
        <w:tc>
          <w:tcPr>
            <w:tcW w:w="1078" w:type="dxa"/>
          </w:tcPr>
          <w:p w:rsidR="00BE7EE9" w:rsidRPr="00D472E1" w:rsidRDefault="00BE7EE9" w:rsidP="00B042CB">
            <w:pPr>
              <w:spacing w:after="0" w:line="240" w:lineRule="auto"/>
              <w:jc w:val="center"/>
              <w:rPr>
                <w:rFonts w:eastAsia="Calibri" w:cstheme="minorHAnsi"/>
                <w:color w:val="0070C0"/>
                <w:sz w:val="24"/>
                <w:szCs w:val="24"/>
              </w:rPr>
            </w:pPr>
            <w:r w:rsidRPr="00D472E1">
              <w:rPr>
                <w:rFonts w:eastAsia="Calibri" w:cstheme="minorHAnsi"/>
                <w:color w:val="0070C0"/>
                <w:sz w:val="24"/>
                <w:szCs w:val="24"/>
              </w:rPr>
              <w:t>0.283</w:t>
            </w:r>
          </w:p>
        </w:tc>
      </w:tr>
      <w:tr w:rsidR="00D472E1" w:rsidRPr="00D472E1" w:rsidTr="00BE7EE9">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Influenza B</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14 (12)</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9 (5)</w:t>
            </w:r>
          </w:p>
        </w:tc>
        <w:tc>
          <w:tcPr>
            <w:tcW w:w="1078" w:type="dxa"/>
          </w:tcPr>
          <w:p w:rsidR="00BE7EE9" w:rsidRPr="00D472E1" w:rsidRDefault="00BE7EE9" w:rsidP="00B042CB">
            <w:pPr>
              <w:spacing w:after="0" w:line="240" w:lineRule="auto"/>
              <w:jc w:val="center"/>
              <w:rPr>
                <w:rFonts w:eastAsia="Calibri" w:cstheme="minorHAnsi"/>
                <w:b/>
                <w:bCs/>
                <w:color w:val="0070C0"/>
                <w:sz w:val="24"/>
                <w:szCs w:val="24"/>
              </w:rPr>
            </w:pPr>
            <w:r w:rsidRPr="00D472E1">
              <w:rPr>
                <w:rFonts w:eastAsia="Calibri" w:cstheme="minorHAnsi"/>
                <w:b/>
                <w:bCs/>
                <w:color w:val="0070C0"/>
                <w:sz w:val="24"/>
                <w:szCs w:val="24"/>
              </w:rPr>
              <w:t>0.019</w:t>
            </w:r>
          </w:p>
        </w:tc>
      </w:tr>
      <w:tr w:rsidR="00D472E1" w:rsidRPr="00D472E1" w:rsidTr="00BE7EE9">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Respiratory syncytial virus</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5 (4)</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4 (2)</w:t>
            </w:r>
          </w:p>
        </w:tc>
        <w:tc>
          <w:tcPr>
            <w:tcW w:w="1078" w:type="dxa"/>
          </w:tcPr>
          <w:p w:rsidR="00BE7EE9" w:rsidRPr="00D472E1" w:rsidRDefault="00BE7EE9" w:rsidP="00B042CB">
            <w:pPr>
              <w:spacing w:after="0" w:line="240" w:lineRule="auto"/>
              <w:jc w:val="center"/>
              <w:rPr>
                <w:rFonts w:eastAsia="Calibri" w:cstheme="minorHAnsi"/>
                <w:bCs/>
                <w:color w:val="0070C0"/>
                <w:sz w:val="24"/>
                <w:szCs w:val="24"/>
              </w:rPr>
            </w:pPr>
            <w:r w:rsidRPr="00D472E1">
              <w:rPr>
                <w:rFonts w:eastAsia="Calibri" w:cstheme="minorHAnsi"/>
                <w:bCs/>
                <w:color w:val="0070C0"/>
                <w:sz w:val="24"/>
                <w:szCs w:val="24"/>
              </w:rPr>
              <w:t>0.309</w:t>
            </w:r>
          </w:p>
        </w:tc>
      </w:tr>
      <w:tr w:rsidR="00D472E1" w:rsidRPr="00D472E1" w:rsidTr="00BE7EE9">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Parainfluenza virus type 1</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4 (3)</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1078" w:type="dxa"/>
          </w:tcPr>
          <w:p w:rsidR="00BE7EE9" w:rsidRPr="00D472E1" w:rsidRDefault="00BE7EE9" w:rsidP="00B042CB">
            <w:pPr>
              <w:spacing w:after="0" w:line="240" w:lineRule="auto"/>
              <w:jc w:val="center"/>
              <w:rPr>
                <w:rFonts w:eastAsia="Calibri" w:cstheme="minorHAnsi"/>
                <w:b/>
                <w:bCs/>
                <w:color w:val="0070C0"/>
                <w:sz w:val="24"/>
                <w:szCs w:val="24"/>
              </w:rPr>
            </w:pPr>
            <w:r w:rsidRPr="00D472E1">
              <w:rPr>
                <w:rFonts w:eastAsia="Calibri" w:cstheme="minorHAnsi"/>
                <w:b/>
                <w:bCs/>
                <w:color w:val="0070C0"/>
                <w:sz w:val="24"/>
                <w:szCs w:val="24"/>
              </w:rPr>
              <w:t>0.020</w:t>
            </w:r>
          </w:p>
        </w:tc>
      </w:tr>
      <w:tr w:rsidR="00D472E1" w:rsidRPr="00D472E1" w:rsidTr="00BE7EE9">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Parainfluenza virus type 2</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1 (1)</w:t>
            </w:r>
          </w:p>
        </w:tc>
        <w:tc>
          <w:tcPr>
            <w:tcW w:w="1078" w:type="dxa"/>
          </w:tcPr>
          <w:p w:rsidR="00BE7EE9" w:rsidRPr="00D472E1" w:rsidRDefault="00BE7EE9" w:rsidP="00B042CB">
            <w:pPr>
              <w:spacing w:after="0" w:line="240" w:lineRule="auto"/>
              <w:jc w:val="center"/>
              <w:rPr>
                <w:rFonts w:eastAsia="Calibri" w:cstheme="minorHAnsi"/>
                <w:bCs/>
                <w:color w:val="0070C0"/>
                <w:sz w:val="24"/>
                <w:szCs w:val="24"/>
              </w:rPr>
            </w:pPr>
            <w:r w:rsidRPr="00D472E1">
              <w:rPr>
                <w:rFonts w:eastAsia="Calibri" w:cstheme="minorHAnsi"/>
                <w:bCs/>
                <w:color w:val="0070C0"/>
                <w:sz w:val="24"/>
                <w:szCs w:val="24"/>
              </w:rPr>
              <w:t>&gt;0.999</w:t>
            </w:r>
          </w:p>
        </w:tc>
      </w:tr>
      <w:tr w:rsidR="00D472E1" w:rsidRPr="00D472E1" w:rsidTr="00BE7EE9">
        <w:trPr>
          <w:trHeight w:val="70"/>
        </w:trPr>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Adenovirus</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1 (1)</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1078" w:type="dxa"/>
          </w:tcPr>
          <w:p w:rsidR="00BE7EE9" w:rsidRPr="00D472E1" w:rsidRDefault="00BE7EE9" w:rsidP="00B042CB">
            <w:pPr>
              <w:spacing w:after="0" w:line="240" w:lineRule="auto"/>
              <w:jc w:val="center"/>
              <w:rPr>
                <w:rFonts w:eastAsia="Calibri" w:cstheme="minorHAnsi"/>
                <w:bCs/>
                <w:color w:val="0070C0"/>
                <w:sz w:val="24"/>
                <w:szCs w:val="24"/>
              </w:rPr>
            </w:pPr>
            <w:r w:rsidRPr="00D472E1">
              <w:rPr>
                <w:rFonts w:eastAsia="Calibri" w:cstheme="minorHAnsi"/>
                <w:bCs/>
                <w:color w:val="0070C0"/>
                <w:sz w:val="24"/>
                <w:szCs w:val="24"/>
              </w:rPr>
              <w:t>0.381</w:t>
            </w:r>
          </w:p>
        </w:tc>
      </w:tr>
      <w:tr w:rsidR="00D472E1" w:rsidRPr="00D472E1" w:rsidTr="00BE7EE9">
        <w:trPr>
          <w:trHeight w:val="121"/>
        </w:trPr>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Coronavirus (non–SARS-CoV-2)</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1 (1)</w:t>
            </w:r>
          </w:p>
        </w:tc>
        <w:tc>
          <w:tcPr>
            <w:tcW w:w="1078" w:type="dxa"/>
          </w:tcPr>
          <w:p w:rsidR="00BE7EE9" w:rsidRPr="00D472E1" w:rsidRDefault="00BE7EE9" w:rsidP="00B042CB">
            <w:pPr>
              <w:spacing w:after="0" w:line="240" w:lineRule="auto"/>
              <w:jc w:val="center"/>
              <w:rPr>
                <w:rFonts w:eastAsia="Calibri" w:cstheme="minorHAnsi"/>
                <w:bCs/>
                <w:color w:val="0070C0"/>
                <w:sz w:val="24"/>
                <w:szCs w:val="24"/>
              </w:rPr>
            </w:pPr>
            <w:r w:rsidRPr="00D472E1">
              <w:rPr>
                <w:rFonts w:eastAsia="Calibri" w:cstheme="minorHAnsi"/>
                <w:bCs/>
                <w:color w:val="0070C0"/>
                <w:sz w:val="24"/>
                <w:szCs w:val="24"/>
              </w:rPr>
              <w:t>&gt;0.999</w:t>
            </w:r>
          </w:p>
        </w:tc>
      </w:tr>
      <w:tr w:rsidR="00D472E1" w:rsidRPr="00D472E1" w:rsidTr="00BE7EE9">
        <w:trPr>
          <w:trHeight w:val="70"/>
        </w:trPr>
        <w:tc>
          <w:tcPr>
            <w:tcW w:w="3356" w:type="dxa"/>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Herpesvirus</w:t>
            </w:r>
          </w:p>
        </w:tc>
        <w:tc>
          <w:tcPr>
            <w:tcW w:w="1611"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2104" w:type="dxa"/>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2 (1)</w:t>
            </w:r>
          </w:p>
        </w:tc>
        <w:tc>
          <w:tcPr>
            <w:tcW w:w="1078" w:type="dxa"/>
          </w:tcPr>
          <w:p w:rsidR="00BE7EE9" w:rsidRPr="00D472E1" w:rsidRDefault="00BE7EE9" w:rsidP="00B042CB">
            <w:pPr>
              <w:spacing w:after="0" w:line="240" w:lineRule="auto"/>
              <w:jc w:val="center"/>
              <w:rPr>
                <w:rFonts w:eastAsia="Calibri" w:cstheme="minorHAnsi"/>
                <w:bCs/>
                <w:color w:val="0070C0"/>
                <w:sz w:val="24"/>
                <w:szCs w:val="24"/>
              </w:rPr>
            </w:pPr>
            <w:r w:rsidRPr="00D472E1">
              <w:rPr>
                <w:rFonts w:eastAsia="Calibri" w:cstheme="minorHAnsi"/>
                <w:bCs/>
                <w:color w:val="0070C0"/>
                <w:sz w:val="24"/>
                <w:szCs w:val="24"/>
              </w:rPr>
              <w:t>0.527</w:t>
            </w:r>
          </w:p>
        </w:tc>
      </w:tr>
      <w:tr w:rsidR="00D472E1" w:rsidRPr="00D472E1" w:rsidTr="00BE7EE9">
        <w:tc>
          <w:tcPr>
            <w:tcW w:w="3356" w:type="dxa"/>
            <w:tcBorders>
              <w:bottom w:val="single" w:sz="4" w:space="0" w:color="auto"/>
            </w:tcBorders>
            <w:vAlign w:val="center"/>
          </w:tcPr>
          <w:p w:rsidR="00BE7EE9" w:rsidRPr="00D472E1" w:rsidRDefault="00BE7EE9" w:rsidP="00B042CB">
            <w:pPr>
              <w:spacing w:after="0" w:line="240" w:lineRule="auto"/>
              <w:rPr>
                <w:rFonts w:eastAsia="Calibri" w:cstheme="minorHAnsi"/>
                <w:color w:val="0070C0"/>
                <w:sz w:val="24"/>
                <w:szCs w:val="24"/>
              </w:rPr>
            </w:pPr>
            <w:r w:rsidRPr="00D472E1">
              <w:rPr>
                <w:rFonts w:eastAsia="Calibri" w:cstheme="minorHAnsi"/>
                <w:color w:val="0070C0"/>
                <w:sz w:val="24"/>
                <w:szCs w:val="24"/>
              </w:rPr>
              <w:t>Other viruses</w:t>
            </w:r>
          </w:p>
        </w:tc>
        <w:tc>
          <w:tcPr>
            <w:tcW w:w="1611" w:type="dxa"/>
            <w:tcBorders>
              <w:bottom w:val="single" w:sz="4" w:space="0" w:color="auto"/>
            </w:tcBorders>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1 (1)</w:t>
            </w:r>
          </w:p>
        </w:tc>
        <w:tc>
          <w:tcPr>
            <w:tcW w:w="2104" w:type="dxa"/>
            <w:tcBorders>
              <w:bottom w:val="single" w:sz="4" w:space="0" w:color="auto"/>
            </w:tcBorders>
            <w:vAlign w:val="center"/>
          </w:tcPr>
          <w:p w:rsidR="00BE7EE9" w:rsidRPr="00D472E1" w:rsidRDefault="00BE7EE9" w:rsidP="00B042CB">
            <w:pPr>
              <w:spacing w:after="0" w:line="240" w:lineRule="auto"/>
              <w:jc w:val="center"/>
              <w:rPr>
                <w:rFonts w:asciiTheme="minorHAnsi" w:eastAsia="Calibri" w:hAnsiTheme="minorHAnsi" w:cstheme="minorHAnsi"/>
                <w:color w:val="0070C0"/>
                <w:sz w:val="24"/>
                <w:szCs w:val="24"/>
                <w:lang w:val="en-US" w:eastAsia="en-US"/>
              </w:rPr>
            </w:pPr>
            <w:r w:rsidRPr="00D472E1">
              <w:rPr>
                <w:rFonts w:asciiTheme="minorHAnsi" w:eastAsia="Calibri" w:hAnsiTheme="minorHAnsi" w:cstheme="minorHAnsi"/>
                <w:color w:val="0070C0"/>
                <w:sz w:val="24"/>
                <w:szCs w:val="24"/>
                <w:lang w:val="en-US" w:eastAsia="en-US"/>
              </w:rPr>
              <w:t>0 (0)</w:t>
            </w:r>
          </w:p>
        </w:tc>
        <w:tc>
          <w:tcPr>
            <w:tcW w:w="1078" w:type="dxa"/>
            <w:tcBorders>
              <w:bottom w:val="single" w:sz="4" w:space="0" w:color="auto"/>
            </w:tcBorders>
          </w:tcPr>
          <w:p w:rsidR="00BE7EE9" w:rsidRPr="00D472E1" w:rsidRDefault="00BE7EE9" w:rsidP="00B042CB">
            <w:pPr>
              <w:spacing w:after="0" w:line="240" w:lineRule="auto"/>
              <w:jc w:val="center"/>
              <w:rPr>
                <w:rFonts w:eastAsia="Calibri" w:cstheme="minorHAnsi"/>
                <w:color w:val="0070C0"/>
                <w:sz w:val="24"/>
                <w:szCs w:val="24"/>
              </w:rPr>
            </w:pPr>
            <w:r w:rsidRPr="00D472E1">
              <w:rPr>
                <w:rFonts w:eastAsia="Calibri" w:cstheme="minorHAnsi"/>
                <w:color w:val="0070C0"/>
                <w:sz w:val="24"/>
                <w:szCs w:val="24"/>
              </w:rPr>
              <w:t>0.381</w:t>
            </w:r>
          </w:p>
        </w:tc>
      </w:tr>
    </w:tbl>
    <w:p w:rsidR="00BE7EE9" w:rsidRPr="00D472E1" w:rsidRDefault="00BE7EE9" w:rsidP="00BE7EE9">
      <w:pPr>
        <w:ind w:right="70"/>
        <w:jc w:val="both"/>
        <w:rPr>
          <w:rFonts w:cstheme="minorHAnsi"/>
          <w:color w:val="0070C0"/>
          <w:sz w:val="24"/>
          <w:szCs w:val="24"/>
          <w:lang w:val="en-US"/>
        </w:rPr>
      </w:pPr>
      <w:r w:rsidRPr="00D472E1">
        <w:rPr>
          <w:rFonts w:eastAsia="Calibri" w:cstheme="minorHAnsi"/>
          <w:i/>
          <w:color w:val="0070C0"/>
          <w:sz w:val="24"/>
          <w:szCs w:val="24"/>
          <w:lang w:val="en-US"/>
        </w:rPr>
        <w:t>Note.</w:t>
      </w:r>
      <w:r w:rsidRPr="00D472E1">
        <w:rPr>
          <w:rFonts w:eastAsia="Calibri" w:cstheme="minorHAnsi"/>
          <w:color w:val="0070C0"/>
          <w:sz w:val="24"/>
          <w:szCs w:val="24"/>
          <w:lang w:val="en-US"/>
        </w:rPr>
        <w:t xml:space="preserve"> Percentages calculated on non-missing data. P-values marked in bold indicate numbers that are statistically significant at the 95% confidence limit.</w:t>
      </w:r>
    </w:p>
    <w:p w:rsidR="00EC6746" w:rsidRPr="00D472E1" w:rsidRDefault="00EC6746" w:rsidP="00EC6746">
      <w:pPr>
        <w:widowControl w:val="0"/>
        <w:suppressAutoHyphens/>
        <w:spacing w:after="0" w:line="480" w:lineRule="auto"/>
        <w:jc w:val="both"/>
        <w:rPr>
          <w:rFonts w:cs="Calibri"/>
          <w:b/>
          <w:bCs/>
          <w:color w:val="0070C0"/>
          <w:sz w:val="24"/>
          <w:szCs w:val="24"/>
          <w:lang w:val="en-US"/>
        </w:rPr>
      </w:pPr>
    </w:p>
    <w:p w:rsidR="00EC6746" w:rsidRDefault="00EC6746" w:rsidP="00EC6746">
      <w:pPr>
        <w:spacing w:after="0" w:line="240" w:lineRule="auto"/>
        <w:rPr>
          <w:rFonts w:cs="Calibri"/>
          <w:b/>
          <w:bCs/>
          <w:sz w:val="24"/>
          <w:szCs w:val="24"/>
          <w:lang w:val="en-GB"/>
        </w:rPr>
      </w:pPr>
      <w:r>
        <w:rPr>
          <w:rFonts w:cs="Calibri"/>
          <w:b/>
          <w:bCs/>
          <w:sz w:val="24"/>
          <w:szCs w:val="24"/>
          <w:lang w:val="en-GB"/>
        </w:rPr>
        <w:br w:type="page"/>
      </w:r>
    </w:p>
    <w:p w:rsidR="0086529A" w:rsidRPr="00651899" w:rsidRDefault="00340BD3" w:rsidP="00651899">
      <w:pPr>
        <w:spacing w:after="0" w:line="240" w:lineRule="auto"/>
        <w:ind w:right="68"/>
        <w:jc w:val="both"/>
        <w:rPr>
          <w:rFonts w:eastAsia="Calibri" w:cs="Calibri"/>
          <w:b/>
          <w:sz w:val="24"/>
          <w:szCs w:val="24"/>
          <w:lang w:val="en-US" w:eastAsia="en-US"/>
        </w:rPr>
      </w:pPr>
      <w:r>
        <w:rPr>
          <w:rFonts w:cs="Calibri"/>
          <w:b/>
          <w:bCs/>
          <w:sz w:val="24"/>
          <w:szCs w:val="24"/>
          <w:lang w:val="en-GB"/>
        </w:rPr>
        <w:lastRenderedPageBreak/>
        <w:t xml:space="preserve">Supplementary </w:t>
      </w:r>
      <w:r>
        <w:rPr>
          <w:rFonts w:eastAsia="Calibri" w:cs="Calibri"/>
          <w:b/>
          <w:sz w:val="24"/>
          <w:szCs w:val="24"/>
          <w:lang w:val="en-US" w:eastAsia="en-US"/>
        </w:rPr>
        <w:t xml:space="preserve">Table </w:t>
      </w:r>
      <w:r w:rsidR="00EC6746">
        <w:rPr>
          <w:rFonts w:eastAsia="Calibri" w:cs="Calibri"/>
          <w:b/>
          <w:sz w:val="24"/>
          <w:szCs w:val="24"/>
          <w:lang w:val="en-US" w:eastAsia="en-US"/>
        </w:rPr>
        <w:t>3</w:t>
      </w:r>
      <w:r w:rsidR="00651899">
        <w:rPr>
          <w:rFonts w:eastAsia="Calibri" w:cs="Calibri"/>
          <w:b/>
          <w:sz w:val="24"/>
          <w:szCs w:val="24"/>
          <w:lang w:val="en-US" w:eastAsia="en-US"/>
        </w:rPr>
        <w:t xml:space="preserve">. </w:t>
      </w:r>
      <w:r w:rsidR="0086529A" w:rsidRPr="00651899">
        <w:rPr>
          <w:rFonts w:eastAsia="Calibri" w:cs="Calibri"/>
          <w:b/>
          <w:sz w:val="24"/>
          <w:szCs w:val="24"/>
          <w:lang w:val="en-US" w:eastAsia="en-US"/>
        </w:rPr>
        <w:t xml:space="preserve">Internal validation of the </w:t>
      </w:r>
      <w:r w:rsidR="001863DD" w:rsidRPr="00D472E1">
        <w:rPr>
          <w:rFonts w:eastAsia="Calibri" w:cs="Calibri"/>
          <w:b/>
          <w:color w:val="0070C0"/>
          <w:sz w:val="24"/>
          <w:szCs w:val="24"/>
          <w:lang w:val="en-US" w:eastAsia="en-US"/>
        </w:rPr>
        <w:t>multivariable Cox regression</w:t>
      </w:r>
      <w:r w:rsidR="001863DD" w:rsidRPr="00651899">
        <w:rPr>
          <w:rFonts w:eastAsia="Calibri" w:cs="Calibri"/>
          <w:b/>
          <w:sz w:val="24"/>
          <w:szCs w:val="24"/>
          <w:lang w:val="en-US" w:eastAsia="en-US"/>
        </w:rPr>
        <w:t xml:space="preserve"> </w:t>
      </w:r>
      <w:r w:rsidR="0086529A" w:rsidRPr="00651899">
        <w:rPr>
          <w:rFonts w:eastAsia="Calibri" w:cs="Calibri"/>
          <w:b/>
          <w:sz w:val="24"/>
          <w:szCs w:val="24"/>
          <w:lang w:val="en-US" w:eastAsia="en-US"/>
        </w:rPr>
        <w:t xml:space="preserve">model for </w:t>
      </w:r>
      <w:r w:rsidR="00651899" w:rsidRPr="00651899">
        <w:rPr>
          <w:rFonts w:eastAsia="Calibri" w:cs="Calibri"/>
          <w:b/>
          <w:sz w:val="24"/>
          <w:szCs w:val="24"/>
          <w:lang w:val="en-US"/>
        </w:rPr>
        <w:t>30-day mortality</w:t>
      </w:r>
      <w:r w:rsidR="00651899" w:rsidRPr="00651899">
        <w:rPr>
          <w:rFonts w:eastAsia="Calibri" w:cs="Calibri"/>
          <w:b/>
          <w:sz w:val="24"/>
          <w:szCs w:val="24"/>
          <w:lang w:val="en-US" w:eastAsia="en-US"/>
        </w:rPr>
        <w:t xml:space="preserve"> </w:t>
      </w:r>
      <w:r w:rsidR="0086529A" w:rsidRPr="00651899">
        <w:rPr>
          <w:rFonts w:eastAsia="Calibri" w:cs="Calibri"/>
          <w:b/>
          <w:sz w:val="24"/>
          <w:szCs w:val="24"/>
          <w:lang w:val="en-US" w:eastAsia="en-US"/>
        </w:rPr>
        <w:t>using nonparametric bootstrap technique</w:t>
      </w:r>
    </w:p>
    <w:tbl>
      <w:tblPr>
        <w:tblW w:w="9192" w:type="dxa"/>
        <w:tblLayout w:type="fixed"/>
        <w:tblLook w:val="0000"/>
      </w:tblPr>
      <w:tblGrid>
        <w:gridCol w:w="3232"/>
        <w:gridCol w:w="1220"/>
        <w:gridCol w:w="1220"/>
        <w:gridCol w:w="828"/>
        <w:gridCol w:w="1006"/>
        <w:gridCol w:w="1686"/>
      </w:tblGrid>
      <w:tr w:rsidR="00D472E1" w:rsidRPr="00D472E1" w:rsidTr="005E74CF">
        <w:trPr>
          <w:trHeight w:val="20"/>
        </w:trPr>
        <w:tc>
          <w:tcPr>
            <w:tcW w:w="3232"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both"/>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Variable</w:t>
            </w:r>
          </w:p>
        </w:tc>
        <w:tc>
          <w:tcPr>
            <w:tcW w:w="1220"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center"/>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Original</w:t>
            </w:r>
          </w:p>
        </w:tc>
        <w:tc>
          <w:tcPr>
            <w:tcW w:w="1220"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center"/>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Bias</w:t>
            </w:r>
          </w:p>
        </w:tc>
        <w:tc>
          <w:tcPr>
            <w:tcW w:w="828"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center"/>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SE</w:t>
            </w:r>
          </w:p>
        </w:tc>
        <w:tc>
          <w:tcPr>
            <w:tcW w:w="1006"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center"/>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P-value</w:t>
            </w:r>
          </w:p>
        </w:tc>
        <w:tc>
          <w:tcPr>
            <w:tcW w:w="1686" w:type="dxa"/>
            <w:tcBorders>
              <w:top w:val="single" w:sz="4" w:space="0" w:color="auto"/>
              <w:bottom w:val="single" w:sz="4" w:space="0" w:color="auto"/>
            </w:tcBorders>
            <w:vAlign w:val="bottom"/>
          </w:tcPr>
          <w:p w:rsidR="00912904" w:rsidRPr="00D472E1" w:rsidRDefault="00912904" w:rsidP="005E74CF">
            <w:pPr>
              <w:widowControl w:val="0"/>
              <w:suppressAutoHyphens/>
              <w:spacing w:after="0" w:line="240" w:lineRule="auto"/>
              <w:jc w:val="center"/>
              <w:rPr>
                <w:rFonts w:asciiTheme="minorHAnsi" w:eastAsiaTheme="minorHAnsi" w:hAnsiTheme="minorHAnsi" w:cstheme="minorHAnsi"/>
                <w:b/>
                <w:bCs/>
                <w:color w:val="0070C0"/>
                <w:lang w:val="en-US" w:eastAsia="en-US"/>
              </w:rPr>
            </w:pPr>
            <w:r w:rsidRPr="00D472E1">
              <w:rPr>
                <w:rFonts w:asciiTheme="minorHAnsi" w:eastAsiaTheme="minorHAnsi" w:hAnsiTheme="minorHAnsi" w:cstheme="minorHAnsi"/>
                <w:b/>
                <w:bCs/>
                <w:color w:val="0070C0"/>
                <w:lang w:val="en-US" w:eastAsia="en-US"/>
              </w:rPr>
              <w:t>95% BCa CI</w:t>
            </w:r>
          </w:p>
        </w:tc>
      </w:tr>
      <w:tr w:rsidR="00D472E1" w:rsidRPr="00D472E1" w:rsidTr="005E74CF">
        <w:trPr>
          <w:trHeight w:val="20"/>
        </w:trPr>
        <w:tc>
          <w:tcPr>
            <w:tcW w:w="3232" w:type="dxa"/>
            <w:tcBorders>
              <w:top w:val="single" w:sz="4" w:space="0" w:color="auto"/>
            </w:tcBorders>
            <w:vAlign w:val="bottom"/>
          </w:tcPr>
          <w:p w:rsidR="00912904" w:rsidRPr="00D472E1" w:rsidRDefault="00912904" w:rsidP="005E74CF">
            <w:pPr>
              <w:widowControl w:val="0"/>
              <w:suppressAutoHyphens/>
              <w:spacing w:after="0" w:line="240" w:lineRule="auto"/>
              <w:jc w:val="both"/>
              <w:rPr>
                <w:rFonts w:asciiTheme="minorHAnsi" w:eastAsiaTheme="minorHAnsi" w:hAnsiTheme="minorHAnsi" w:cstheme="minorHAnsi"/>
                <w:color w:val="0070C0"/>
                <w:lang w:val="en-US" w:eastAsia="en-US"/>
              </w:rPr>
            </w:pPr>
            <w:r w:rsidRPr="00D472E1">
              <w:rPr>
                <w:rFonts w:cstheme="minorHAnsi"/>
                <w:color w:val="0070C0"/>
              </w:rPr>
              <w:t>Age ≥65 years</w:t>
            </w:r>
          </w:p>
        </w:tc>
        <w:tc>
          <w:tcPr>
            <w:tcW w:w="1220" w:type="dxa"/>
            <w:tcBorders>
              <w:top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1.009</w:t>
            </w:r>
          </w:p>
        </w:tc>
        <w:tc>
          <w:tcPr>
            <w:tcW w:w="1220" w:type="dxa"/>
            <w:tcBorders>
              <w:top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0.043</w:t>
            </w:r>
          </w:p>
        </w:tc>
        <w:tc>
          <w:tcPr>
            <w:tcW w:w="828" w:type="dxa"/>
            <w:tcBorders>
              <w:top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0.311</w:t>
            </w:r>
          </w:p>
        </w:tc>
        <w:tc>
          <w:tcPr>
            <w:tcW w:w="1006" w:type="dxa"/>
            <w:tcBorders>
              <w:top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0.002</w:t>
            </w:r>
          </w:p>
        </w:tc>
        <w:tc>
          <w:tcPr>
            <w:tcW w:w="1686" w:type="dxa"/>
            <w:tcBorders>
              <w:top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0.429 to 1.743</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color w:val="0070C0"/>
              </w:rPr>
              <w:t>Male sex</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0.176</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0.007</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0.277</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0.502</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-0.356 to 0.741</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color w:val="0070C0"/>
              </w:rPr>
              <w:t>Chronic heart disease</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0.293</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-0.027</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0.323</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0.339</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-0.364 to 0.816</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bCs/>
                <w:color w:val="0070C0"/>
              </w:rPr>
              <w:t>Chronic liver disease</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1.143</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0.009</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0.377</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0.002</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0.304 to 1.905</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color w:val="0070C0"/>
              </w:rPr>
              <w:t>Previous neoplasm</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0.108</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-0.019</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0.402</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0.768</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-0.779 to 0.795</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color w:val="0070C0"/>
              </w:rPr>
              <w:t>Decreased level of consciousness</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0.394</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0.003</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0.257</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0.110</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-0.123 to 0.887</w:t>
            </w:r>
          </w:p>
        </w:tc>
      </w:tr>
      <w:tr w:rsidR="00D472E1" w:rsidRPr="00D472E1" w:rsidTr="005E74CF">
        <w:trPr>
          <w:trHeight w:val="20"/>
        </w:trPr>
        <w:tc>
          <w:tcPr>
            <w:tcW w:w="3232" w:type="dxa"/>
            <w:vAlign w:val="bottom"/>
          </w:tcPr>
          <w:p w:rsidR="00912904" w:rsidRPr="00D472E1" w:rsidRDefault="00912904" w:rsidP="005E74CF">
            <w:pPr>
              <w:widowControl w:val="0"/>
              <w:suppressAutoHyphens/>
              <w:spacing w:after="0" w:line="240" w:lineRule="auto"/>
              <w:jc w:val="both"/>
              <w:rPr>
                <w:rFonts w:cstheme="minorHAnsi"/>
                <w:color w:val="0070C0"/>
              </w:rPr>
            </w:pPr>
            <w:r w:rsidRPr="00D472E1">
              <w:rPr>
                <w:rFonts w:cstheme="minorHAnsi"/>
                <w:color w:val="0070C0"/>
              </w:rPr>
              <w:t>PSI score IV-V</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-0.320</w:t>
            </w:r>
          </w:p>
        </w:tc>
        <w:tc>
          <w:tcPr>
            <w:tcW w:w="1220"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0.002</w:t>
            </w:r>
          </w:p>
        </w:tc>
        <w:tc>
          <w:tcPr>
            <w:tcW w:w="828"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0.261</w:t>
            </w:r>
          </w:p>
        </w:tc>
        <w:tc>
          <w:tcPr>
            <w:tcW w:w="100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0.198</w:t>
            </w:r>
          </w:p>
        </w:tc>
        <w:tc>
          <w:tcPr>
            <w:tcW w:w="1686" w:type="dxa"/>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-0.804 to 0.238</w:t>
            </w:r>
          </w:p>
        </w:tc>
      </w:tr>
      <w:tr w:rsidR="00D472E1" w:rsidRPr="00D472E1" w:rsidTr="005E74CF">
        <w:trPr>
          <w:trHeight w:val="20"/>
        </w:trPr>
        <w:tc>
          <w:tcPr>
            <w:tcW w:w="3232" w:type="dxa"/>
            <w:tcBorders>
              <w:bottom w:val="single" w:sz="4" w:space="0" w:color="auto"/>
            </w:tcBorders>
            <w:vAlign w:val="bottom"/>
          </w:tcPr>
          <w:p w:rsidR="00912904" w:rsidRPr="00D472E1" w:rsidRDefault="00912904" w:rsidP="005E74CF">
            <w:pPr>
              <w:widowControl w:val="0"/>
              <w:suppressAutoHyphens/>
              <w:spacing w:after="0" w:line="240" w:lineRule="auto"/>
              <w:jc w:val="both"/>
              <w:rPr>
                <w:rFonts w:asciiTheme="minorHAnsi" w:eastAsiaTheme="minorHAnsi" w:hAnsiTheme="minorHAnsi" w:cstheme="minorHAnsi"/>
                <w:color w:val="0070C0"/>
                <w:lang w:val="en-US" w:eastAsia="en-US"/>
              </w:rPr>
            </w:pPr>
            <w:r w:rsidRPr="00D472E1">
              <w:rPr>
                <w:rFonts w:cstheme="minorHAnsi"/>
                <w:bCs/>
                <w:color w:val="0070C0"/>
              </w:rPr>
              <w:t>Eosinopenia (&lt;0.05 x</w:t>
            </w:r>
            <w:r w:rsidRPr="00D472E1">
              <w:rPr>
                <w:rFonts w:eastAsia="Calibri" w:cs="Calibri"/>
                <w:color w:val="0070C0"/>
                <w:sz w:val="24"/>
                <w:szCs w:val="24"/>
              </w:rPr>
              <w:t>10</w:t>
            </w:r>
            <w:r w:rsidRPr="00D472E1">
              <w:rPr>
                <w:rFonts w:eastAsia="Calibri" w:cs="Calibri"/>
                <w:color w:val="0070C0"/>
                <w:sz w:val="24"/>
                <w:szCs w:val="24"/>
                <w:vertAlign w:val="superscript"/>
              </w:rPr>
              <w:t>9</w:t>
            </w:r>
            <w:r w:rsidRPr="00D472E1">
              <w:rPr>
                <w:rFonts w:eastAsia="Calibri" w:cs="Calibri"/>
                <w:color w:val="0070C0"/>
                <w:sz w:val="24"/>
                <w:szCs w:val="24"/>
              </w:rPr>
              <w:t>/L</w:t>
            </w:r>
            <w:r w:rsidRPr="00D472E1">
              <w:rPr>
                <w:rFonts w:cstheme="minorHAnsi"/>
                <w:bCs/>
                <w:color w:val="0070C0"/>
              </w:rPr>
              <w:t>)</w:t>
            </w:r>
          </w:p>
        </w:tc>
        <w:tc>
          <w:tcPr>
            <w:tcW w:w="1220" w:type="dxa"/>
            <w:tcBorders>
              <w:bottom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0.670</w:t>
            </w:r>
          </w:p>
        </w:tc>
        <w:tc>
          <w:tcPr>
            <w:tcW w:w="1220" w:type="dxa"/>
            <w:tcBorders>
              <w:bottom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0.024</w:t>
            </w:r>
          </w:p>
        </w:tc>
        <w:tc>
          <w:tcPr>
            <w:tcW w:w="828" w:type="dxa"/>
            <w:tcBorders>
              <w:bottom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0.270</w:t>
            </w:r>
          </w:p>
        </w:tc>
        <w:tc>
          <w:tcPr>
            <w:tcW w:w="1006" w:type="dxa"/>
            <w:tcBorders>
              <w:bottom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0.006</w:t>
            </w:r>
          </w:p>
        </w:tc>
        <w:tc>
          <w:tcPr>
            <w:tcW w:w="1686" w:type="dxa"/>
            <w:tcBorders>
              <w:bottom w:val="single" w:sz="4" w:space="0" w:color="auto"/>
            </w:tcBorders>
            <w:vAlign w:val="bottom"/>
          </w:tcPr>
          <w:p w:rsidR="00912904" w:rsidRPr="00D472E1" w:rsidRDefault="00912904" w:rsidP="005E74CF">
            <w:pPr>
              <w:widowControl w:val="0"/>
              <w:tabs>
                <w:tab w:val="left" w:pos="250"/>
              </w:tabs>
              <w:suppressAutoHyphens/>
              <w:spacing w:after="0" w:line="240" w:lineRule="auto"/>
              <w:jc w:val="center"/>
              <w:rPr>
                <w:rFonts w:asciiTheme="minorHAnsi" w:eastAsiaTheme="minorHAnsi" w:hAnsiTheme="minorHAnsi" w:cstheme="minorHAnsi"/>
                <w:color w:val="0070C0"/>
                <w:lang w:val="en-US" w:eastAsia="en-US"/>
              </w:rPr>
            </w:pPr>
            <w:r w:rsidRPr="00D472E1">
              <w:rPr>
                <w:rFonts w:asciiTheme="minorHAnsi" w:eastAsiaTheme="minorHAnsi" w:hAnsiTheme="minorHAnsi" w:cstheme="minorHAnsi"/>
                <w:color w:val="0070C0"/>
                <w:lang w:val="en-US" w:eastAsia="en-US"/>
              </w:rPr>
              <w:t>0.074 to 1.250</w:t>
            </w:r>
          </w:p>
        </w:tc>
      </w:tr>
    </w:tbl>
    <w:p w:rsidR="00912904" w:rsidRPr="00D472E1" w:rsidRDefault="00912904" w:rsidP="00912904">
      <w:pPr>
        <w:jc w:val="both"/>
        <w:rPr>
          <w:rFonts w:asciiTheme="minorHAnsi" w:eastAsiaTheme="minorHAnsi" w:hAnsiTheme="minorHAnsi" w:cstheme="minorBidi"/>
          <w:color w:val="0070C0"/>
          <w:lang w:val="ca-ES" w:eastAsia="en-US"/>
        </w:rPr>
      </w:pPr>
      <w:r w:rsidRPr="00D472E1">
        <w:rPr>
          <w:rFonts w:asciiTheme="minorHAnsi" w:eastAsiaTheme="minorHAnsi" w:hAnsiTheme="minorHAnsi" w:cstheme="minorBidi"/>
          <w:i/>
          <w:color w:val="0070C0"/>
          <w:lang w:val="ca-ES" w:eastAsia="en-US"/>
        </w:rPr>
        <w:t>Abbreviations.</w:t>
      </w:r>
      <w:r w:rsidRPr="00D472E1">
        <w:rPr>
          <w:rFonts w:asciiTheme="minorHAnsi" w:eastAsiaTheme="minorHAnsi" w:hAnsiTheme="minorHAnsi" w:cstheme="minorBidi"/>
          <w:color w:val="0070C0"/>
          <w:lang w:val="ca-ES" w:eastAsia="en-US"/>
        </w:rPr>
        <w:t xml:space="preserve"> BCa indicates adjusted bootstrap; CI, confidence interval; SE, standard error.</w:t>
      </w:r>
    </w:p>
    <w:p w:rsidR="0086529A" w:rsidRPr="00912904" w:rsidRDefault="0086529A">
      <w:pPr>
        <w:widowControl w:val="0"/>
        <w:suppressAutoHyphens/>
        <w:spacing w:after="0" w:line="480" w:lineRule="auto"/>
        <w:jc w:val="both"/>
        <w:rPr>
          <w:rFonts w:cs="Calibri"/>
          <w:b/>
          <w:bCs/>
          <w:sz w:val="24"/>
          <w:szCs w:val="24"/>
          <w:lang w:val="ca-ES"/>
        </w:rPr>
      </w:pPr>
    </w:p>
    <w:p w:rsidR="00340BD3" w:rsidRDefault="00340BD3">
      <w:pPr>
        <w:spacing w:after="0" w:line="240" w:lineRule="auto"/>
        <w:rPr>
          <w:rFonts w:cs="Calibri"/>
          <w:b/>
          <w:bCs/>
          <w:sz w:val="24"/>
          <w:szCs w:val="24"/>
          <w:lang w:val="en-GB"/>
        </w:rPr>
      </w:pPr>
      <w:r>
        <w:rPr>
          <w:rFonts w:cs="Calibri"/>
          <w:b/>
          <w:bCs/>
          <w:sz w:val="24"/>
          <w:szCs w:val="24"/>
          <w:lang w:val="en-GB"/>
        </w:rPr>
        <w:br w:type="page"/>
      </w:r>
    </w:p>
    <w:p w:rsidR="00675D8D" w:rsidRPr="00D472E1" w:rsidRDefault="00675D8D" w:rsidP="00675D8D">
      <w:pPr>
        <w:spacing w:after="0" w:line="240" w:lineRule="auto"/>
        <w:ind w:right="68"/>
        <w:jc w:val="both"/>
        <w:rPr>
          <w:rFonts w:eastAsia="Calibri" w:cstheme="minorHAnsi"/>
          <w:b/>
          <w:color w:val="0070C0"/>
          <w:sz w:val="24"/>
          <w:szCs w:val="24"/>
          <w:lang w:val="en-US"/>
        </w:rPr>
      </w:pPr>
      <w:r w:rsidRPr="00D472E1">
        <w:rPr>
          <w:rFonts w:cs="Calibri"/>
          <w:b/>
          <w:bCs/>
          <w:color w:val="0070C0"/>
          <w:sz w:val="24"/>
          <w:szCs w:val="24"/>
          <w:lang w:val="en-GB"/>
        </w:rPr>
        <w:lastRenderedPageBreak/>
        <w:t xml:space="preserve">Supplementary </w:t>
      </w:r>
      <w:r w:rsidRPr="00D472E1">
        <w:rPr>
          <w:rFonts w:eastAsia="Calibri" w:cstheme="minorHAnsi"/>
          <w:b/>
          <w:color w:val="0070C0"/>
          <w:sz w:val="24"/>
          <w:szCs w:val="24"/>
          <w:lang w:val="en-US"/>
        </w:rPr>
        <w:t xml:space="preserve">Table </w:t>
      </w:r>
      <w:r w:rsidR="00EC6746" w:rsidRPr="00D472E1">
        <w:rPr>
          <w:rFonts w:eastAsia="Calibri" w:cstheme="minorHAnsi"/>
          <w:b/>
          <w:color w:val="0070C0"/>
          <w:sz w:val="24"/>
          <w:szCs w:val="24"/>
          <w:lang w:val="en-US"/>
        </w:rPr>
        <w:t>4</w:t>
      </w:r>
      <w:r w:rsidRPr="00D472E1">
        <w:rPr>
          <w:rFonts w:eastAsia="Calibri" w:cstheme="minorHAnsi"/>
          <w:b/>
          <w:color w:val="0070C0"/>
          <w:sz w:val="24"/>
          <w:szCs w:val="24"/>
          <w:lang w:val="en-US"/>
        </w:rPr>
        <w:t xml:space="preserve">. Multivariable Cox regression model </w:t>
      </w:r>
      <w:r w:rsidR="007F6C5D" w:rsidRPr="00D472E1">
        <w:rPr>
          <w:rFonts w:eastAsia="Calibri" w:cstheme="minorHAnsi"/>
          <w:b/>
          <w:color w:val="0070C0"/>
          <w:sz w:val="24"/>
          <w:szCs w:val="24"/>
          <w:lang w:val="en-US"/>
        </w:rPr>
        <w:t>including an expanded set of comorbidities and treatments for</w:t>
      </w:r>
      <w:r w:rsidRPr="00D472E1">
        <w:rPr>
          <w:rFonts w:eastAsia="Calibri" w:cstheme="minorHAnsi"/>
          <w:b/>
          <w:color w:val="0070C0"/>
          <w:sz w:val="24"/>
          <w:szCs w:val="24"/>
          <w:lang w:val="en-US"/>
        </w:rPr>
        <w:t xml:space="preserve"> 30-day mortality</w:t>
      </w:r>
    </w:p>
    <w:tbl>
      <w:tblPr>
        <w:tblW w:w="6909" w:type="dxa"/>
        <w:tblBorders>
          <w:top w:val="single" w:sz="4" w:space="0" w:color="auto"/>
          <w:bottom w:val="single" w:sz="4" w:space="0" w:color="auto"/>
        </w:tblBorders>
        <w:tblLayout w:type="fixed"/>
        <w:tblLook w:val="00A0"/>
      </w:tblPr>
      <w:tblGrid>
        <w:gridCol w:w="3566"/>
        <w:gridCol w:w="762"/>
        <w:gridCol w:w="1503"/>
        <w:gridCol w:w="1078"/>
      </w:tblGrid>
      <w:tr w:rsidR="00D472E1" w:rsidRPr="00D472E1" w:rsidTr="00912904">
        <w:trPr>
          <w:trHeight w:val="20"/>
          <w:tblHeader/>
        </w:trPr>
        <w:tc>
          <w:tcPr>
            <w:tcW w:w="3566" w:type="dxa"/>
            <w:tcBorders>
              <w:top w:val="single" w:sz="4" w:space="0" w:color="auto"/>
              <w:left w:val="nil"/>
              <w:bottom w:val="single" w:sz="4" w:space="0" w:color="auto"/>
              <w:right w:val="nil"/>
            </w:tcBorders>
            <w:vAlign w:val="bottom"/>
          </w:tcPr>
          <w:p w:rsidR="00675D8D" w:rsidRPr="00D472E1" w:rsidRDefault="00675D8D" w:rsidP="00675D8D">
            <w:pPr>
              <w:widowControl w:val="0"/>
              <w:suppressAutoHyphens/>
              <w:spacing w:after="0" w:line="240" w:lineRule="auto"/>
              <w:jc w:val="both"/>
              <w:rPr>
                <w:rFonts w:cstheme="minorHAnsi"/>
                <w:b/>
                <w:bCs/>
                <w:color w:val="0070C0"/>
                <w:sz w:val="24"/>
                <w:szCs w:val="24"/>
              </w:rPr>
            </w:pPr>
            <w:r w:rsidRPr="00D472E1">
              <w:rPr>
                <w:rFonts w:cstheme="minorHAnsi"/>
                <w:b/>
                <w:bCs/>
                <w:color w:val="0070C0"/>
                <w:sz w:val="24"/>
                <w:szCs w:val="24"/>
              </w:rPr>
              <w:t>Variable</w:t>
            </w:r>
          </w:p>
        </w:tc>
        <w:tc>
          <w:tcPr>
            <w:tcW w:w="762" w:type="dxa"/>
            <w:tcBorders>
              <w:top w:val="single" w:sz="4" w:space="0" w:color="auto"/>
              <w:left w:val="nil"/>
              <w:bottom w:val="single" w:sz="4" w:space="0" w:color="auto"/>
              <w:right w:val="nil"/>
            </w:tcBorders>
            <w:vAlign w:val="bottom"/>
          </w:tcPr>
          <w:p w:rsidR="00675D8D" w:rsidRPr="00D472E1" w:rsidRDefault="00675D8D" w:rsidP="00675D8D">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HR</w:t>
            </w:r>
          </w:p>
        </w:tc>
        <w:tc>
          <w:tcPr>
            <w:tcW w:w="1503" w:type="dxa"/>
            <w:tcBorders>
              <w:top w:val="single" w:sz="4" w:space="0" w:color="auto"/>
              <w:left w:val="nil"/>
              <w:bottom w:val="single" w:sz="4" w:space="0" w:color="auto"/>
              <w:right w:val="nil"/>
            </w:tcBorders>
            <w:vAlign w:val="bottom"/>
          </w:tcPr>
          <w:p w:rsidR="00675D8D" w:rsidRPr="00D472E1" w:rsidRDefault="00675D8D" w:rsidP="00675D8D">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95% CI</w:t>
            </w:r>
          </w:p>
        </w:tc>
        <w:tc>
          <w:tcPr>
            <w:tcW w:w="1078" w:type="dxa"/>
            <w:tcBorders>
              <w:top w:val="single" w:sz="4" w:space="0" w:color="auto"/>
              <w:left w:val="nil"/>
              <w:bottom w:val="single" w:sz="4" w:space="0" w:color="auto"/>
              <w:right w:val="nil"/>
            </w:tcBorders>
            <w:vAlign w:val="bottom"/>
          </w:tcPr>
          <w:p w:rsidR="00675D8D" w:rsidRPr="00D472E1" w:rsidRDefault="00675D8D" w:rsidP="00675D8D">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P-value</w:t>
            </w:r>
          </w:p>
        </w:tc>
      </w:tr>
      <w:tr w:rsidR="00D472E1" w:rsidRPr="00D472E1" w:rsidTr="00912904">
        <w:trPr>
          <w:trHeight w:val="20"/>
        </w:trPr>
        <w:tc>
          <w:tcPr>
            <w:tcW w:w="3566" w:type="dxa"/>
            <w:tcBorders>
              <w:top w:val="single" w:sz="4" w:space="0" w:color="auto"/>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color w:val="0070C0"/>
                <w:sz w:val="24"/>
                <w:szCs w:val="24"/>
              </w:rPr>
            </w:pPr>
            <w:r w:rsidRPr="00D472E1">
              <w:rPr>
                <w:rFonts w:cstheme="minorHAnsi"/>
                <w:color w:val="0070C0"/>
                <w:sz w:val="24"/>
                <w:szCs w:val="24"/>
              </w:rPr>
              <w:t>Age ≥65 years</w:t>
            </w:r>
          </w:p>
        </w:tc>
        <w:tc>
          <w:tcPr>
            <w:tcW w:w="762" w:type="dxa"/>
            <w:tcBorders>
              <w:top w:val="single" w:sz="4" w:space="0" w:color="auto"/>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2.70</w:t>
            </w:r>
          </w:p>
        </w:tc>
        <w:tc>
          <w:tcPr>
            <w:tcW w:w="1503" w:type="dxa"/>
            <w:tcBorders>
              <w:top w:val="single" w:sz="4" w:space="0" w:color="auto"/>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1.47 to 4.93</w:t>
            </w:r>
          </w:p>
        </w:tc>
        <w:tc>
          <w:tcPr>
            <w:tcW w:w="1078" w:type="dxa"/>
            <w:tcBorders>
              <w:top w:val="single" w:sz="4" w:space="0" w:color="auto"/>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0.001</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color w:val="0070C0"/>
                <w:sz w:val="24"/>
                <w:szCs w:val="24"/>
              </w:rPr>
            </w:pPr>
            <w:r w:rsidRPr="00D472E1">
              <w:rPr>
                <w:rFonts w:eastAsia="Calibri" w:cstheme="minorHAnsi"/>
                <w:color w:val="0070C0"/>
                <w:sz w:val="24"/>
                <w:szCs w:val="24"/>
              </w:rPr>
              <w:t>Male sex</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1.15</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0.68 to 1.97</w:t>
            </w:r>
          </w:p>
        </w:tc>
        <w:tc>
          <w:tcPr>
            <w:tcW w:w="1078"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0.601</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Systemic corticosteroids</w:t>
            </w:r>
          </w:p>
        </w:tc>
        <w:tc>
          <w:tcPr>
            <w:tcW w:w="762"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0.78</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0.31 to 1.99</w:t>
            </w:r>
          </w:p>
        </w:tc>
        <w:tc>
          <w:tcPr>
            <w:tcW w:w="1078"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0.605</w:t>
            </w:r>
          </w:p>
        </w:tc>
      </w:tr>
      <w:tr w:rsidR="00D472E1" w:rsidRPr="00D472E1" w:rsidTr="00912904">
        <w:trPr>
          <w:trHeight w:val="20"/>
        </w:trPr>
        <w:tc>
          <w:tcPr>
            <w:tcW w:w="3566" w:type="dxa"/>
            <w:tcBorders>
              <w:top w:val="nil"/>
              <w:left w:val="nil"/>
              <w:bottom w:val="nil"/>
              <w:right w:val="nil"/>
            </w:tcBorders>
          </w:tcPr>
          <w:p w:rsidR="00675D8D" w:rsidRPr="00D472E1" w:rsidRDefault="00675D8D" w:rsidP="00675D8D">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Diabetes mellitus</w:t>
            </w:r>
          </w:p>
        </w:tc>
        <w:tc>
          <w:tcPr>
            <w:tcW w:w="762"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1.05</w:t>
            </w:r>
          </w:p>
        </w:tc>
        <w:tc>
          <w:tcPr>
            <w:tcW w:w="1503"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 xml:space="preserve">0.62 to </w:t>
            </w:r>
            <w:r w:rsidR="000270C9" w:rsidRPr="00D472E1">
              <w:rPr>
                <w:rFonts w:cstheme="minorHAnsi"/>
                <w:color w:val="0070C0"/>
                <w:sz w:val="24"/>
                <w:szCs w:val="24"/>
              </w:rPr>
              <w:t>1.78</w:t>
            </w:r>
          </w:p>
        </w:tc>
        <w:tc>
          <w:tcPr>
            <w:tcW w:w="1078"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0.863</w:t>
            </w:r>
          </w:p>
        </w:tc>
      </w:tr>
      <w:tr w:rsidR="00D472E1" w:rsidRPr="00D472E1" w:rsidTr="00912904">
        <w:trPr>
          <w:trHeight w:val="20"/>
        </w:trPr>
        <w:tc>
          <w:tcPr>
            <w:tcW w:w="3566" w:type="dxa"/>
            <w:tcBorders>
              <w:top w:val="nil"/>
              <w:left w:val="nil"/>
              <w:bottom w:val="nil"/>
              <w:right w:val="nil"/>
            </w:tcBorders>
          </w:tcPr>
          <w:p w:rsidR="00675D8D" w:rsidRPr="00D472E1" w:rsidRDefault="00675D8D" w:rsidP="00675D8D">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Chronic lung disease</w:t>
            </w:r>
          </w:p>
        </w:tc>
        <w:tc>
          <w:tcPr>
            <w:tcW w:w="762"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0.90</w:t>
            </w:r>
          </w:p>
        </w:tc>
        <w:tc>
          <w:tcPr>
            <w:tcW w:w="1503"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0.55 to 1.47</w:t>
            </w:r>
          </w:p>
        </w:tc>
        <w:tc>
          <w:tcPr>
            <w:tcW w:w="1078"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0.673</w:t>
            </w:r>
          </w:p>
        </w:tc>
      </w:tr>
      <w:tr w:rsidR="00D472E1" w:rsidRPr="00D472E1" w:rsidTr="00912904">
        <w:trPr>
          <w:trHeight w:val="20"/>
        </w:trPr>
        <w:tc>
          <w:tcPr>
            <w:tcW w:w="3566" w:type="dxa"/>
            <w:tcBorders>
              <w:top w:val="nil"/>
              <w:left w:val="nil"/>
              <w:bottom w:val="nil"/>
              <w:right w:val="nil"/>
            </w:tcBorders>
          </w:tcPr>
          <w:p w:rsidR="00675D8D" w:rsidRPr="00D472E1" w:rsidRDefault="00675D8D" w:rsidP="00675D8D">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Neurologic disease</w:t>
            </w:r>
          </w:p>
        </w:tc>
        <w:tc>
          <w:tcPr>
            <w:tcW w:w="762"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1.51</w:t>
            </w:r>
          </w:p>
        </w:tc>
        <w:tc>
          <w:tcPr>
            <w:tcW w:w="1503"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0.85 to 2.67</w:t>
            </w:r>
          </w:p>
        </w:tc>
        <w:tc>
          <w:tcPr>
            <w:tcW w:w="1078"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0.159</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cstheme="minorHAnsi"/>
                <w:color w:val="0070C0"/>
                <w:sz w:val="24"/>
                <w:szCs w:val="24"/>
              </w:rPr>
              <w:t>Chronic heart disease</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1.3</w:t>
            </w:r>
            <w:r w:rsidR="000270C9" w:rsidRPr="00D472E1">
              <w:rPr>
                <w:rFonts w:cstheme="minorHAnsi"/>
                <w:color w:val="0070C0"/>
                <w:sz w:val="24"/>
                <w:szCs w:val="24"/>
              </w:rPr>
              <w:t>3</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w:t>
            </w:r>
            <w:r w:rsidR="000270C9" w:rsidRPr="00D472E1">
              <w:rPr>
                <w:rFonts w:cstheme="minorHAnsi"/>
                <w:color w:val="0070C0"/>
                <w:sz w:val="24"/>
                <w:szCs w:val="24"/>
              </w:rPr>
              <w:t>0</w:t>
            </w:r>
            <w:r w:rsidRPr="00D472E1">
              <w:rPr>
                <w:rFonts w:cstheme="minorHAnsi"/>
                <w:color w:val="0070C0"/>
                <w:sz w:val="24"/>
                <w:szCs w:val="24"/>
              </w:rPr>
              <w:t xml:space="preserve"> to 2.5</w:t>
            </w:r>
            <w:r w:rsidR="000270C9" w:rsidRPr="00D472E1">
              <w:rPr>
                <w:rFonts w:cstheme="minorHAnsi"/>
                <w:color w:val="0070C0"/>
                <w:sz w:val="24"/>
                <w:szCs w:val="24"/>
              </w:rPr>
              <w:t>4</w:t>
            </w:r>
          </w:p>
        </w:tc>
        <w:tc>
          <w:tcPr>
            <w:tcW w:w="1078"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w:t>
            </w:r>
            <w:r w:rsidR="000270C9" w:rsidRPr="00D472E1">
              <w:rPr>
                <w:rFonts w:cstheme="minorHAnsi"/>
                <w:color w:val="0070C0"/>
                <w:sz w:val="24"/>
                <w:szCs w:val="24"/>
              </w:rPr>
              <w:t>80</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Chronic liver disease</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3.</w:t>
            </w:r>
            <w:r w:rsidR="000270C9" w:rsidRPr="00D472E1">
              <w:rPr>
                <w:rFonts w:cstheme="minorHAnsi"/>
                <w:color w:val="0070C0"/>
                <w:sz w:val="24"/>
                <w:szCs w:val="24"/>
              </w:rPr>
              <w:t>06</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w:t>
            </w:r>
            <w:r w:rsidR="000270C9" w:rsidRPr="00D472E1">
              <w:rPr>
                <w:rFonts w:cstheme="minorHAnsi"/>
                <w:color w:val="0070C0"/>
                <w:sz w:val="24"/>
                <w:szCs w:val="24"/>
              </w:rPr>
              <w:t>58</w:t>
            </w:r>
            <w:r w:rsidRPr="00D472E1">
              <w:rPr>
                <w:rFonts w:cstheme="minorHAnsi"/>
                <w:color w:val="0070C0"/>
                <w:sz w:val="24"/>
                <w:szCs w:val="24"/>
              </w:rPr>
              <w:t xml:space="preserve"> to </w:t>
            </w:r>
            <w:r w:rsidR="000270C9" w:rsidRPr="00D472E1">
              <w:rPr>
                <w:rFonts w:cstheme="minorHAnsi"/>
                <w:color w:val="0070C0"/>
                <w:sz w:val="24"/>
                <w:szCs w:val="24"/>
              </w:rPr>
              <w:t>5</w:t>
            </w:r>
            <w:r w:rsidRPr="00D472E1">
              <w:rPr>
                <w:rFonts w:cstheme="minorHAnsi"/>
                <w:color w:val="0070C0"/>
                <w:sz w:val="24"/>
                <w:szCs w:val="24"/>
              </w:rPr>
              <w:t>.</w:t>
            </w:r>
            <w:r w:rsidR="000270C9" w:rsidRPr="00D472E1">
              <w:rPr>
                <w:rFonts w:cstheme="minorHAnsi"/>
                <w:color w:val="0070C0"/>
                <w:sz w:val="24"/>
                <w:szCs w:val="24"/>
              </w:rPr>
              <w:t>93</w:t>
            </w:r>
          </w:p>
        </w:tc>
        <w:tc>
          <w:tcPr>
            <w:tcW w:w="1078" w:type="dxa"/>
            <w:tcBorders>
              <w:top w:val="nil"/>
              <w:left w:val="nil"/>
              <w:bottom w:val="nil"/>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0.001</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eastAsia="Calibri" w:cstheme="minorHAnsi"/>
                <w:color w:val="0070C0"/>
                <w:sz w:val="24"/>
                <w:szCs w:val="24"/>
              </w:rPr>
              <w:t>Chronic renal disease</w:t>
            </w:r>
          </w:p>
        </w:tc>
        <w:tc>
          <w:tcPr>
            <w:tcW w:w="762"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1.09</w:t>
            </w:r>
          </w:p>
        </w:tc>
        <w:tc>
          <w:tcPr>
            <w:tcW w:w="1503"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0.55 to 2.15</w:t>
            </w:r>
          </w:p>
        </w:tc>
        <w:tc>
          <w:tcPr>
            <w:tcW w:w="1078"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0.799</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eastAsia="Calibri" w:cstheme="minorHAnsi"/>
                <w:color w:val="0070C0"/>
                <w:sz w:val="24"/>
                <w:szCs w:val="24"/>
              </w:rPr>
              <w:t>Previous neoplasm</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w:t>
            </w:r>
            <w:r w:rsidR="000270C9" w:rsidRPr="00D472E1">
              <w:rPr>
                <w:rFonts w:cstheme="minorHAnsi"/>
                <w:color w:val="0070C0"/>
                <w:sz w:val="24"/>
                <w:szCs w:val="24"/>
              </w:rPr>
              <w:t>7</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w:t>
            </w:r>
            <w:r w:rsidR="000270C9" w:rsidRPr="00D472E1">
              <w:rPr>
                <w:rFonts w:cstheme="minorHAnsi"/>
                <w:color w:val="0070C0"/>
                <w:sz w:val="24"/>
                <w:szCs w:val="24"/>
              </w:rPr>
              <w:t>9</w:t>
            </w:r>
            <w:r w:rsidRPr="00D472E1">
              <w:rPr>
                <w:rFonts w:cstheme="minorHAnsi"/>
                <w:color w:val="0070C0"/>
                <w:sz w:val="24"/>
                <w:szCs w:val="24"/>
              </w:rPr>
              <w:t xml:space="preserve"> to 2.</w:t>
            </w:r>
            <w:r w:rsidR="000270C9" w:rsidRPr="00D472E1">
              <w:rPr>
                <w:rFonts w:cstheme="minorHAnsi"/>
                <w:color w:val="0070C0"/>
                <w:sz w:val="24"/>
                <w:szCs w:val="24"/>
              </w:rPr>
              <w:t>34</w:t>
            </w:r>
          </w:p>
        </w:tc>
        <w:tc>
          <w:tcPr>
            <w:tcW w:w="1078"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w:t>
            </w:r>
            <w:r w:rsidR="000270C9" w:rsidRPr="00D472E1">
              <w:rPr>
                <w:rFonts w:cstheme="minorHAnsi"/>
                <w:color w:val="0070C0"/>
                <w:sz w:val="24"/>
                <w:szCs w:val="24"/>
              </w:rPr>
              <w:t>648</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color w:val="0070C0"/>
                <w:sz w:val="24"/>
                <w:szCs w:val="24"/>
              </w:rPr>
            </w:pPr>
            <w:r w:rsidRPr="00D472E1">
              <w:rPr>
                <w:rFonts w:cstheme="minorHAnsi"/>
                <w:color w:val="0070C0"/>
                <w:sz w:val="24"/>
                <w:szCs w:val="24"/>
              </w:rPr>
              <w:t>Decreased level of consciousness</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1.4</w:t>
            </w:r>
            <w:r w:rsidR="000270C9" w:rsidRPr="00D472E1">
              <w:rPr>
                <w:rFonts w:cstheme="minorHAnsi"/>
                <w:color w:val="0070C0"/>
                <w:sz w:val="24"/>
                <w:szCs w:val="24"/>
              </w:rPr>
              <w:t>4</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w:t>
            </w:r>
            <w:r w:rsidR="000270C9" w:rsidRPr="00D472E1">
              <w:rPr>
                <w:rFonts w:cstheme="minorHAnsi"/>
                <w:color w:val="0070C0"/>
                <w:sz w:val="24"/>
                <w:szCs w:val="24"/>
              </w:rPr>
              <w:t>89</w:t>
            </w:r>
            <w:r w:rsidRPr="00D472E1">
              <w:rPr>
                <w:rFonts w:cstheme="minorHAnsi"/>
                <w:color w:val="0070C0"/>
                <w:sz w:val="24"/>
                <w:szCs w:val="24"/>
              </w:rPr>
              <w:t xml:space="preserve"> to 2.3</w:t>
            </w:r>
            <w:r w:rsidR="000270C9" w:rsidRPr="00D472E1">
              <w:rPr>
                <w:rFonts w:cstheme="minorHAnsi"/>
                <w:color w:val="0070C0"/>
                <w:sz w:val="24"/>
                <w:szCs w:val="24"/>
              </w:rPr>
              <w:t>5</w:t>
            </w:r>
          </w:p>
        </w:tc>
        <w:tc>
          <w:tcPr>
            <w:tcW w:w="1078"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0.1</w:t>
            </w:r>
            <w:r w:rsidR="000270C9" w:rsidRPr="00D472E1">
              <w:rPr>
                <w:rFonts w:cstheme="minorHAnsi"/>
                <w:color w:val="0070C0"/>
                <w:sz w:val="24"/>
                <w:szCs w:val="24"/>
              </w:rPr>
              <w:t>39</w:t>
            </w:r>
          </w:p>
        </w:tc>
      </w:tr>
      <w:tr w:rsidR="00D472E1" w:rsidRPr="00D472E1" w:rsidTr="00912904">
        <w:trPr>
          <w:trHeight w:val="20"/>
        </w:trPr>
        <w:tc>
          <w:tcPr>
            <w:tcW w:w="3566" w:type="dxa"/>
            <w:tcBorders>
              <w:top w:val="nil"/>
              <w:left w:val="nil"/>
              <w:bottom w:val="nil"/>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PSI score IV-V</w:t>
            </w:r>
          </w:p>
        </w:tc>
        <w:tc>
          <w:tcPr>
            <w:tcW w:w="762"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w:t>
            </w:r>
            <w:r w:rsidR="000270C9" w:rsidRPr="00D472E1">
              <w:rPr>
                <w:rFonts w:cstheme="minorHAnsi"/>
                <w:color w:val="0070C0"/>
                <w:sz w:val="24"/>
                <w:szCs w:val="24"/>
              </w:rPr>
              <w:t>7</w:t>
            </w:r>
          </w:p>
        </w:tc>
        <w:tc>
          <w:tcPr>
            <w:tcW w:w="1503" w:type="dxa"/>
            <w:tcBorders>
              <w:top w:val="nil"/>
              <w:left w:val="nil"/>
              <w:bottom w:val="nil"/>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0.4</w:t>
            </w:r>
            <w:r w:rsidR="000270C9" w:rsidRPr="00D472E1">
              <w:rPr>
                <w:rFonts w:cstheme="minorHAnsi"/>
                <w:color w:val="0070C0"/>
                <w:sz w:val="24"/>
                <w:szCs w:val="24"/>
              </w:rPr>
              <w:t>7</w:t>
            </w:r>
            <w:r w:rsidRPr="00D472E1">
              <w:rPr>
                <w:rFonts w:cstheme="minorHAnsi"/>
                <w:color w:val="0070C0"/>
                <w:sz w:val="24"/>
                <w:szCs w:val="24"/>
              </w:rPr>
              <w:t xml:space="preserve"> to 1.</w:t>
            </w:r>
            <w:r w:rsidR="000270C9" w:rsidRPr="00D472E1">
              <w:rPr>
                <w:rFonts w:cstheme="minorHAnsi"/>
                <w:color w:val="0070C0"/>
                <w:sz w:val="24"/>
                <w:szCs w:val="24"/>
              </w:rPr>
              <w:t>28</w:t>
            </w:r>
          </w:p>
        </w:tc>
        <w:tc>
          <w:tcPr>
            <w:tcW w:w="1078" w:type="dxa"/>
            <w:tcBorders>
              <w:top w:val="nil"/>
              <w:left w:val="nil"/>
              <w:bottom w:val="nil"/>
              <w:right w:val="nil"/>
            </w:tcBorders>
          </w:tcPr>
          <w:p w:rsidR="00675D8D" w:rsidRPr="00D472E1" w:rsidRDefault="000270C9"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0.311</w:t>
            </w:r>
          </w:p>
        </w:tc>
      </w:tr>
      <w:tr w:rsidR="00D472E1" w:rsidRPr="00D472E1" w:rsidTr="00912904">
        <w:trPr>
          <w:trHeight w:val="20"/>
        </w:trPr>
        <w:tc>
          <w:tcPr>
            <w:tcW w:w="3566" w:type="dxa"/>
            <w:tcBorders>
              <w:top w:val="nil"/>
              <w:left w:val="nil"/>
              <w:bottom w:val="single" w:sz="4" w:space="0" w:color="auto"/>
              <w:right w:val="nil"/>
            </w:tcBorders>
            <w:vAlign w:val="bottom"/>
          </w:tcPr>
          <w:p w:rsidR="00675D8D" w:rsidRPr="00D472E1" w:rsidRDefault="00675D8D" w:rsidP="00675D8D">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Eosinopenia (&lt;0.05 x</w:t>
            </w:r>
            <w:r w:rsidRPr="00D472E1">
              <w:rPr>
                <w:rFonts w:eastAsia="Calibri" w:cstheme="minorHAnsi"/>
                <w:color w:val="0070C0"/>
                <w:sz w:val="24"/>
                <w:szCs w:val="24"/>
              </w:rPr>
              <w:t>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r w:rsidRPr="00D472E1">
              <w:rPr>
                <w:rFonts w:cstheme="minorHAnsi"/>
                <w:bCs/>
                <w:color w:val="0070C0"/>
                <w:sz w:val="24"/>
                <w:szCs w:val="24"/>
              </w:rPr>
              <w:t>)</w:t>
            </w:r>
          </w:p>
        </w:tc>
        <w:tc>
          <w:tcPr>
            <w:tcW w:w="762" w:type="dxa"/>
            <w:tcBorders>
              <w:top w:val="nil"/>
              <w:left w:val="nil"/>
              <w:bottom w:val="single" w:sz="4" w:space="0" w:color="auto"/>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1.94</w:t>
            </w:r>
          </w:p>
        </w:tc>
        <w:tc>
          <w:tcPr>
            <w:tcW w:w="1503" w:type="dxa"/>
            <w:tcBorders>
              <w:top w:val="nil"/>
              <w:left w:val="nil"/>
              <w:bottom w:val="single" w:sz="4" w:space="0" w:color="auto"/>
              <w:right w:val="nil"/>
            </w:tcBorders>
          </w:tcPr>
          <w:p w:rsidR="00675D8D" w:rsidRPr="00D472E1" w:rsidRDefault="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1.18 to 3.19</w:t>
            </w:r>
          </w:p>
        </w:tc>
        <w:tc>
          <w:tcPr>
            <w:tcW w:w="1078" w:type="dxa"/>
            <w:tcBorders>
              <w:top w:val="nil"/>
              <w:left w:val="nil"/>
              <w:bottom w:val="single" w:sz="4" w:space="0" w:color="auto"/>
              <w:right w:val="nil"/>
            </w:tcBorders>
          </w:tcPr>
          <w:p w:rsidR="00675D8D" w:rsidRPr="00D472E1" w:rsidRDefault="00675D8D" w:rsidP="00675D8D">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0.009</w:t>
            </w:r>
          </w:p>
        </w:tc>
      </w:tr>
    </w:tbl>
    <w:p w:rsidR="00675D8D" w:rsidRPr="00D472E1" w:rsidRDefault="00675D8D" w:rsidP="00675D8D">
      <w:pPr>
        <w:spacing w:after="0"/>
        <w:jc w:val="both"/>
        <w:rPr>
          <w:rFonts w:cstheme="minorHAnsi"/>
          <w:color w:val="0070C0"/>
          <w:sz w:val="24"/>
          <w:szCs w:val="24"/>
          <w:lang w:val="ca-ES"/>
        </w:rPr>
      </w:pPr>
      <w:r w:rsidRPr="00D472E1">
        <w:rPr>
          <w:rFonts w:cstheme="minorHAnsi"/>
          <w:i/>
          <w:color w:val="0070C0"/>
          <w:sz w:val="24"/>
          <w:szCs w:val="24"/>
          <w:lang w:val="ca-ES"/>
        </w:rPr>
        <w:t>Abbreviations.</w:t>
      </w:r>
      <w:r w:rsidRPr="00D472E1">
        <w:rPr>
          <w:rFonts w:cstheme="minorHAnsi"/>
          <w:color w:val="0070C0"/>
          <w:sz w:val="24"/>
          <w:szCs w:val="24"/>
          <w:lang w:val="ca-ES"/>
        </w:rPr>
        <w:t xml:space="preserve"> HR indicates hazard ratio. CI, confidence interval.</w:t>
      </w:r>
    </w:p>
    <w:p w:rsidR="00675D8D" w:rsidRPr="00D472E1" w:rsidRDefault="00675D8D" w:rsidP="00675D8D">
      <w:pPr>
        <w:jc w:val="both"/>
        <w:rPr>
          <w:rFonts w:cstheme="minorHAnsi"/>
          <w:color w:val="0070C0"/>
          <w:sz w:val="24"/>
          <w:szCs w:val="24"/>
          <w:lang w:val="ca-ES"/>
        </w:rPr>
      </w:pPr>
      <w:r w:rsidRPr="00D472E1">
        <w:rPr>
          <w:rFonts w:cstheme="minorHAnsi"/>
          <w:i/>
          <w:color w:val="0070C0"/>
          <w:sz w:val="24"/>
          <w:szCs w:val="24"/>
          <w:lang w:val="ca-ES"/>
        </w:rPr>
        <w:t>Note.</w:t>
      </w:r>
      <w:r w:rsidRPr="00D472E1">
        <w:rPr>
          <w:rFonts w:cstheme="minorHAnsi"/>
          <w:color w:val="0070C0"/>
          <w:sz w:val="24"/>
          <w:szCs w:val="24"/>
          <w:lang w:val="ca-ES"/>
        </w:rPr>
        <w:t xml:space="preserve"> Data are presented as estimated HRs (95% CIs) of the explanatory variables in the 30-day mortality group. The HR is defined as the ratio of the hazard rates corresponding to the conditions described by two levels of an explanatory variable (the hazard rate is the risk of death [i.e., the probability of death], given that the patient has survived up to a specific time). The P-value is based on the null hypothesis that all HRs relating to an explanatory variable equal unity (no effect). Harrell's C statistic is 0.7</w:t>
      </w:r>
      <w:r w:rsidR="000270C9" w:rsidRPr="00D472E1">
        <w:rPr>
          <w:rFonts w:cstheme="minorHAnsi"/>
          <w:color w:val="0070C0"/>
          <w:sz w:val="24"/>
          <w:szCs w:val="24"/>
          <w:lang w:val="ca-ES"/>
        </w:rPr>
        <w:t>1</w:t>
      </w:r>
      <w:r w:rsidRPr="00D472E1">
        <w:rPr>
          <w:rFonts w:cstheme="minorHAnsi"/>
          <w:color w:val="0070C0"/>
          <w:sz w:val="24"/>
          <w:szCs w:val="24"/>
          <w:lang w:val="ca-ES"/>
        </w:rPr>
        <w:t xml:space="preserve"> and Somers' D statistic is 0.</w:t>
      </w:r>
      <w:r w:rsidR="000270C9" w:rsidRPr="00D472E1">
        <w:rPr>
          <w:rFonts w:cstheme="minorHAnsi"/>
          <w:color w:val="0070C0"/>
          <w:sz w:val="24"/>
          <w:szCs w:val="24"/>
          <w:lang w:val="ca-ES"/>
        </w:rPr>
        <w:t>43</w:t>
      </w:r>
      <w:r w:rsidRPr="00D472E1">
        <w:rPr>
          <w:rFonts w:cstheme="minorHAnsi"/>
          <w:color w:val="0070C0"/>
          <w:sz w:val="24"/>
          <w:szCs w:val="24"/>
          <w:lang w:val="ca-ES"/>
        </w:rPr>
        <w:t>.</w:t>
      </w:r>
    </w:p>
    <w:p w:rsidR="00675D8D" w:rsidRPr="00D472E1" w:rsidRDefault="00675D8D" w:rsidP="00675D8D">
      <w:pPr>
        <w:rPr>
          <w:rStyle w:val="Textoennegrita"/>
          <w:rFonts w:cstheme="minorHAnsi"/>
          <w:color w:val="0070C0"/>
          <w:sz w:val="24"/>
          <w:szCs w:val="24"/>
          <w:lang w:val="en-US"/>
        </w:rPr>
      </w:pPr>
      <w:r w:rsidRPr="00D472E1">
        <w:rPr>
          <w:rStyle w:val="Textoennegrita"/>
          <w:rFonts w:cstheme="minorHAnsi"/>
          <w:color w:val="0070C0"/>
          <w:sz w:val="24"/>
          <w:szCs w:val="24"/>
          <w:lang w:val="en-US"/>
        </w:rPr>
        <w:br w:type="page"/>
      </w:r>
    </w:p>
    <w:p w:rsidR="00912904" w:rsidRPr="00D472E1" w:rsidRDefault="00912904" w:rsidP="00912904">
      <w:pPr>
        <w:spacing w:after="0" w:line="240" w:lineRule="auto"/>
        <w:ind w:right="68"/>
        <w:jc w:val="both"/>
        <w:rPr>
          <w:rFonts w:eastAsia="Calibri" w:cstheme="minorHAnsi"/>
          <w:b/>
          <w:color w:val="0070C0"/>
          <w:sz w:val="24"/>
          <w:szCs w:val="24"/>
          <w:lang w:val="en-US"/>
        </w:rPr>
      </w:pPr>
      <w:r w:rsidRPr="00D472E1">
        <w:rPr>
          <w:rFonts w:cs="Calibri"/>
          <w:b/>
          <w:bCs/>
          <w:color w:val="0070C0"/>
          <w:sz w:val="24"/>
          <w:szCs w:val="24"/>
          <w:lang w:val="en-GB"/>
        </w:rPr>
        <w:lastRenderedPageBreak/>
        <w:t xml:space="preserve">Supplementary </w:t>
      </w:r>
      <w:r w:rsidRPr="00D472E1">
        <w:rPr>
          <w:rFonts w:eastAsia="Calibri" w:cstheme="minorHAnsi"/>
          <w:b/>
          <w:color w:val="0070C0"/>
          <w:sz w:val="24"/>
          <w:szCs w:val="24"/>
          <w:lang w:val="en-US"/>
        </w:rPr>
        <w:t>Table 5. Multivariable Cox regression model including an expanded set of comorbidities, treatments and inflammatory and hematological parameters for 30-day mortality</w:t>
      </w:r>
    </w:p>
    <w:tbl>
      <w:tblPr>
        <w:tblW w:w="6909" w:type="dxa"/>
        <w:tblBorders>
          <w:top w:val="single" w:sz="4" w:space="0" w:color="auto"/>
          <w:bottom w:val="single" w:sz="4" w:space="0" w:color="auto"/>
        </w:tblBorders>
        <w:tblLayout w:type="fixed"/>
        <w:tblLook w:val="00A0"/>
      </w:tblPr>
      <w:tblGrid>
        <w:gridCol w:w="3566"/>
        <w:gridCol w:w="762"/>
        <w:gridCol w:w="1503"/>
        <w:gridCol w:w="1078"/>
      </w:tblGrid>
      <w:tr w:rsidR="00D472E1" w:rsidRPr="00D472E1" w:rsidTr="005E74CF">
        <w:trPr>
          <w:trHeight w:val="20"/>
          <w:tblHeader/>
        </w:trPr>
        <w:tc>
          <w:tcPr>
            <w:tcW w:w="3566" w:type="dxa"/>
            <w:tcBorders>
              <w:top w:val="single" w:sz="4" w:space="0" w:color="auto"/>
              <w:left w:val="nil"/>
              <w:bottom w:val="single" w:sz="4" w:space="0" w:color="auto"/>
              <w:right w:val="nil"/>
            </w:tcBorders>
            <w:vAlign w:val="bottom"/>
          </w:tcPr>
          <w:p w:rsidR="00912904" w:rsidRPr="00D472E1" w:rsidRDefault="00912904" w:rsidP="005E74CF">
            <w:pPr>
              <w:widowControl w:val="0"/>
              <w:suppressAutoHyphens/>
              <w:spacing w:after="0" w:line="240" w:lineRule="auto"/>
              <w:jc w:val="both"/>
              <w:rPr>
                <w:rFonts w:cstheme="minorHAnsi"/>
                <w:b/>
                <w:bCs/>
                <w:color w:val="0070C0"/>
                <w:sz w:val="24"/>
                <w:szCs w:val="24"/>
              </w:rPr>
            </w:pPr>
            <w:r w:rsidRPr="00D472E1">
              <w:rPr>
                <w:rFonts w:cstheme="minorHAnsi"/>
                <w:b/>
                <w:bCs/>
                <w:color w:val="0070C0"/>
                <w:sz w:val="24"/>
                <w:szCs w:val="24"/>
              </w:rPr>
              <w:t>Variable</w:t>
            </w:r>
          </w:p>
        </w:tc>
        <w:tc>
          <w:tcPr>
            <w:tcW w:w="762" w:type="dxa"/>
            <w:tcBorders>
              <w:top w:val="single" w:sz="4" w:space="0" w:color="auto"/>
              <w:left w:val="nil"/>
              <w:bottom w:val="single" w:sz="4" w:space="0" w:color="auto"/>
              <w:right w:val="nil"/>
            </w:tcBorders>
            <w:vAlign w:val="bottom"/>
          </w:tcPr>
          <w:p w:rsidR="00912904" w:rsidRPr="00D472E1" w:rsidRDefault="00912904" w:rsidP="005E74CF">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HR</w:t>
            </w:r>
          </w:p>
        </w:tc>
        <w:tc>
          <w:tcPr>
            <w:tcW w:w="1503" w:type="dxa"/>
            <w:tcBorders>
              <w:top w:val="single" w:sz="4" w:space="0" w:color="auto"/>
              <w:left w:val="nil"/>
              <w:bottom w:val="single" w:sz="4" w:space="0" w:color="auto"/>
              <w:right w:val="nil"/>
            </w:tcBorders>
            <w:vAlign w:val="bottom"/>
          </w:tcPr>
          <w:p w:rsidR="00912904" w:rsidRPr="00D472E1" w:rsidRDefault="00912904" w:rsidP="005E74CF">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95% CI</w:t>
            </w:r>
          </w:p>
        </w:tc>
        <w:tc>
          <w:tcPr>
            <w:tcW w:w="1078" w:type="dxa"/>
            <w:tcBorders>
              <w:top w:val="single" w:sz="4" w:space="0" w:color="auto"/>
              <w:left w:val="nil"/>
              <w:bottom w:val="single" w:sz="4" w:space="0" w:color="auto"/>
              <w:right w:val="nil"/>
            </w:tcBorders>
            <w:vAlign w:val="bottom"/>
          </w:tcPr>
          <w:p w:rsidR="00912904" w:rsidRPr="00D472E1" w:rsidRDefault="00912904" w:rsidP="005E74CF">
            <w:pPr>
              <w:widowControl w:val="0"/>
              <w:suppressAutoHyphens/>
              <w:spacing w:after="0" w:line="240" w:lineRule="auto"/>
              <w:jc w:val="center"/>
              <w:rPr>
                <w:rFonts w:cstheme="minorHAnsi"/>
                <w:b/>
                <w:bCs/>
                <w:color w:val="0070C0"/>
                <w:sz w:val="24"/>
                <w:szCs w:val="24"/>
              </w:rPr>
            </w:pPr>
            <w:r w:rsidRPr="00D472E1">
              <w:rPr>
                <w:rFonts w:cstheme="minorHAnsi"/>
                <w:b/>
                <w:bCs/>
                <w:color w:val="0070C0"/>
                <w:sz w:val="24"/>
                <w:szCs w:val="24"/>
              </w:rPr>
              <w:t>P-value</w:t>
            </w:r>
          </w:p>
        </w:tc>
      </w:tr>
      <w:tr w:rsidR="00D472E1" w:rsidRPr="00D472E1" w:rsidTr="005E74CF">
        <w:trPr>
          <w:trHeight w:val="20"/>
        </w:trPr>
        <w:tc>
          <w:tcPr>
            <w:tcW w:w="3566" w:type="dxa"/>
            <w:tcBorders>
              <w:top w:val="single" w:sz="4" w:space="0" w:color="auto"/>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color w:val="0070C0"/>
                <w:sz w:val="24"/>
                <w:szCs w:val="24"/>
              </w:rPr>
            </w:pPr>
            <w:r w:rsidRPr="00D472E1">
              <w:rPr>
                <w:rFonts w:cstheme="minorHAnsi"/>
                <w:color w:val="0070C0"/>
                <w:sz w:val="24"/>
                <w:szCs w:val="24"/>
              </w:rPr>
              <w:t>Age ≥65 years</w:t>
            </w:r>
          </w:p>
        </w:tc>
        <w:tc>
          <w:tcPr>
            <w:tcW w:w="762" w:type="dxa"/>
            <w:tcBorders>
              <w:top w:val="single" w:sz="4" w:space="0" w:color="auto"/>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2.74</w:t>
            </w:r>
          </w:p>
        </w:tc>
        <w:tc>
          <w:tcPr>
            <w:tcW w:w="1503" w:type="dxa"/>
            <w:tcBorders>
              <w:top w:val="single" w:sz="4" w:space="0" w:color="auto"/>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1.48 to 5.07</w:t>
            </w:r>
          </w:p>
        </w:tc>
        <w:tc>
          <w:tcPr>
            <w:tcW w:w="1078" w:type="dxa"/>
            <w:tcBorders>
              <w:top w:val="single" w:sz="4" w:space="0" w:color="auto"/>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0.001</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color w:val="0070C0"/>
                <w:sz w:val="24"/>
                <w:szCs w:val="24"/>
              </w:rPr>
            </w:pPr>
            <w:r w:rsidRPr="00D472E1">
              <w:rPr>
                <w:rFonts w:eastAsia="Calibri" w:cstheme="minorHAnsi"/>
                <w:color w:val="0070C0"/>
                <w:sz w:val="24"/>
                <w:szCs w:val="24"/>
              </w:rPr>
              <w:t>Male sex</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1.16</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0.68 to 1.99</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0.578</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Systemic corticosteroids</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0.78</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0.31 to 2.00</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0.606</w:t>
            </w:r>
          </w:p>
        </w:tc>
      </w:tr>
      <w:tr w:rsidR="00D472E1" w:rsidRPr="00D472E1" w:rsidTr="005E74CF">
        <w:trPr>
          <w:trHeight w:val="20"/>
        </w:trPr>
        <w:tc>
          <w:tcPr>
            <w:tcW w:w="3566" w:type="dxa"/>
            <w:tcBorders>
              <w:top w:val="nil"/>
              <w:left w:val="nil"/>
              <w:bottom w:val="nil"/>
              <w:right w:val="nil"/>
            </w:tcBorders>
          </w:tcPr>
          <w:p w:rsidR="00912904" w:rsidRPr="00D472E1" w:rsidRDefault="00912904" w:rsidP="005E74CF">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Diabetes mellitus</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1.07</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0.63 to 1.82</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0.805</w:t>
            </w:r>
          </w:p>
        </w:tc>
      </w:tr>
      <w:tr w:rsidR="00D472E1" w:rsidRPr="00D472E1" w:rsidTr="005E74CF">
        <w:trPr>
          <w:trHeight w:val="20"/>
        </w:trPr>
        <w:tc>
          <w:tcPr>
            <w:tcW w:w="3566" w:type="dxa"/>
            <w:tcBorders>
              <w:top w:val="nil"/>
              <w:left w:val="nil"/>
              <w:bottom w:val="nil"/>
              <w:right w:val="nil"/>
            </w:tcBorders>
          </w:tcPr>
          <w:p w:rsidR="00912904" w:rsidRPr="00D472E1" w:rsidRDefault="00912904" w:rsidP="005E74CF">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Chronic lung disease</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0.90</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0.55 to 1.47</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0.671</w:t>
            </w:r>
          </w:p>
        </w:tc>
      </w:tr>
      <w:tr w:rsidR="00D472E1" w:rsidRPr="00D472E1" w:rsidTr="005E74CF">
        <w:trPr>
          <w:trHeight w:val="20"/>
        </w:trPr>
        <w:tc>
          <w:tcPr>
            <w:tcW w:w="3566" w:type="dxa"/>
            <w:tcBorders>
              <w:top w:val="nil"/>
              <w:left w:val="nil"/>
              <w:bottom w:val="nil"/>
              <w:right w:val="nil"/>
            </w:tcBorders>
          </w:tcPr>
          <w:p w:rsidR="00912904" w:rsidRPr="00D472E1" w:rsidRDefault="00912904" w:rsidP="005E74CF">
            <w:pPr>
              <w:widowControl w:val="0"/>
              <w:suppressAutoHyphens/>
              <w:spacing w:after="0" w:line="240" w:lineRule="auto"/>
              <w:jc w:val="both"/>
              <w:rPr>
                <w:rFonts w:eastAsia="Calibri" w:cstheme="minorHAnsi"/>
                <w:color w:val="0070C0"/>
                <w:sz w:val="24"/>
                <w:szCs w:val="24"/>
              </w:rPr>
            </w:pPr>
            <w:r w:rsidRPr="00D472E1">
              <w:rPr>
                <w:rFonts w:eastAsia="Calibri" w:cstheme="minorHAnsi"/>
                <w:color w:val="0070C0"/>
                <w:sz w:val="24"/>
                <w:szCs w:val="24"/>
              </w:rPr>
              <w:t>Neurologic disease</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1.55</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0.86 to 2.77</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0.142</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cstheme="minorHAnsi"/>
                <w:color w:val="0070C0"/>
                <w:sz w:val="24"/>
                <w:szCs w:val="24"/>
              </w:rPr>
              <w:t>Chronic heart disease</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1.33</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0.69 to 2.57</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0.388</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Chronic liver disease</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3.02</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1.56 to 5.88</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0.001</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eastAsia="Calibri" w:cstheme="minorHAnsi"/>
                <w:color w:val="0070C0"/>
                <w:sz w:val="24"/>
                <w:szCs w:val="24"/>
              </w:rPr>
              <w:t>Chronic renal disease</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1.10</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0.56 to 2.18</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0.777</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eastAsia="Calibri" w:cstheme="minorHAnsi"/>
                <w:color w:val="0070C0"/>
                <w:sz w:val="24"/>
                <w:szCs w:val="24"/>
              </w:rPr>
              <w:t>Previous neoplasm</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1.20</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0.60 to 2.40</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0.613</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color w:val="0070C0"/>
                <w:sz w:val="24"/>
                <w:szCs w:val="24"/>
              </w:rPr>
            </w:pPr>
            <w:r w:rsidRPr="00D472E1">
              <w:rPr>
                <w:rFonts w:cstheme="minorHAnsi"/>
                <w:color w:val="0070C0"/>
                <w:sz w:val="24"/>
                <w:szCs w:val="24"/>
              </w:rPr>
              <w:t>Decreased level of consciousness</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1.46</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0.89 to 2.37</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0.131</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PSI score IV-V</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0.78</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0.47 to 1.30</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0.347</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lang w:val="en-US"/>
              </w:rPr>
            </w:pPr>
            <w:r w:rsidRPr="00D472E1">
              <w:rPr>
                <w:rFonts w:eastAsia="Calibri" w:cstheme="minorHAnsi"/>
                <w:color w:val="0070C0"/>
                <w:sz w:val="24"/>
                <w:szCs w:val="24"/>
                <w:lang w:val="en-US"/>
              </w:rPr>
              <w:t xml:space="preserve">C-reactive protein </w:t>
            </w:r>
            <w:r w:rsidRPr="00D472E1">
              <w:rPr>
                <w:rFonts w:cstheme="minorHAnsi"/>
                <w:color w:val="0070C0"/>
                <w:sz w:val="24"/>
                <w:szCs w:val="24"/>
                <w:lang w:val="en-US"/>
              </w:rPr>
              <w:t>≥15</w:t>
            </w:r>
            <w:r w:rsidRPr="00D472E1">
              <w:rPr>
                <w:rFonts w:eastAsia="Calibri" w:cstheme="minorHAnsi"/>
                <w:color w:val="0070C0"/>
                <w:sz w:val="24"/>
                <w:szCs w:val="24"/>
                <w:lang w:val="en-US"/>
              </w:rPr>
              <w:t xml:space="preserve"> mg/L</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1.11</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0.67 to 1.82</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0.691</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eastAsia="Calibri" w:cstheme="minorHAnsi"/>
                <w:color w:val="0070C0"/>
                <w:sz w:val="24"/>
                <w:szCs w:val="24"/>
                <w:lang w:val="en-US"/>
              </w:rPr>
            </w:pPr>
            <w:r w:rsidRPr="00D472E1">
              <w:rPr>
                <w:rFonts w:eastAsia="Calibri" w:cstheme="minorHAnsi"/>
                <w:color w:val="0070C0"/>
                <w:sz w:val="24"/>
                <w:szCs w:val="24"/>
              </w:rPr>
              <w:t>Neutrophil count</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0.924</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ind w:left="284"/>
              <w:jc w:val="both"/>
              <w:rPr>
                <w:rFonts w:eastAsia="Calibri" w:cstheme="minorHAnsi"/>
                <w:color w:val="0070C0"/>
                <w:sz w:val="24"/>
                <w:szCs w:val="24"/>
                <w:lang w:val="en-US"/>
              </w:rPr>
            </w:pPr>
            <w:r w:rsidRPr="00D472E1">
              <w:rPr>
                <w:rFonts w:eastAsia="Calibri" w:cstheme="minorHAnsi"/>
                <w:color w:val="0070C0"/>
                <w:sz w:val="24"/>
                <w:szCs w:val="24"/>
                <w:lang w:val="en-US"/>
              </w:rPr>
              <w:t>&lt;1.5 x</w:t>
            </w:r>
            <w:r w:rsidRPr="00D472E1">
              <w:rPr>
                <w:rFonts w:eastAsia="Calibri" w:cstheme="minorHAnsi"/>
                <w:color w:val="0070C0"/>
                <w:sz w:val="24"/>
                <w:szCs w:val="24"/>
              </w:rPr>
              <w:t>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1.06</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0.39 to 2.94</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0.905</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ind w:left="284"/>
              <w:jc w:val="both"/>
              <w:rPr>
                <w:rFonts w:eastAsia="Calibri" w:cstheme="minorHAnsi"/>
                <w:color w:val="0070C0"/>
                <w:sz w:val="24"/>
                <w:szCs w:val="24"/>
                <w:lang w:val="en-US"/>
              </w:rPr>
            </w:pPr>
            <w:r w:rsidRPr="00D472E1">
              <w:rPr>
                <w:rFonts w:eastAsia="Calibri" w:cstheme="minorHAnsi"/>
                <w:color w:val="0070C0"/>
                <w:sz w:val="24"/>
                <w:szCs w:val="24"/>
                <w:lang w:val="en-US"/>
              </w:rPr>
              <w:t>1.5 – 7.5 x</w:t>
            </w:r>
            <w:r w:rsidRPr="00D472E1">
              <w:rPr>
                <w:rFonts w:eastAsia="Calibri" w:cstheme="minorHAnsi"/>
                <w:color w:val="0070C0"/>
                <w:sz w:val="24"/>
                <w:szCs w:val="24"/>
              </w:rPr>
              <w:t>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1.00</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ind w:left="284"/>
              <w:jc w:val="both"/>
              <w:rPr>
                <w:rFonts w:cstheme="minorHAnsi"/>
                <w:bCs/>
                <w:color w:val="0070C0"/>
                <w:sz w:val="24"/>
                <w:szCs w:val="24"/>
                <w:lang w:val="en-US"/>
              </w:rPr>
            </w:pPr>
            <w:r w:rsidRPr="00D472E1">
              <w:rPr>
                <w:rFonts w:cstheme="minorHAnsi"/>
                <w:color w:val="0070C0"/>
                <w:sz w:val="24"/>
                <w:szCs w:val="24"/>
                <w:lang w:val="en-US"/>
              </w:rPr>
              <w:t>≥7.5 x</w:t>
            </w:r>
            <w:r w:rsidRPr="00D472E1">
              <w:rPr>
                <w:rFonts w:eastAsia="Calibri" w:cstheme="minorHAnsi"/>
                <w:color w:val="0070C0"/>
                <w:sz w:val="24"/>
                <w:szCs w:val="24"/>
              </w:rPr>
              <w:t>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0.91</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0.52 to 1.61</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0.747</w:t>
            </w:r>
          </w:p>
        </w:tc>
      </w:tr>
      <w:tr w:rsidR="00D472E1" w:rsidRPr="00D472E1" w:rsidTr="005E74CF">
        <w:trPr>
          <w:trHeight w:val="20"/>
        </w:trPr>
        <w:tc>
          <w:tcPr>
            <w:tcW w:w="3566" w:type="dxa"/>
            <w:tcBorders>
              <w:top w:val="nil"/>
              <w:left w:val="nil"/>
              <w:bottom w:val="nil"/>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lang w:val="en-US"/>
              </w:rPr>
            </w:pPr>
            <w:r w:rsidRPr="00D472E1">
              <w:rPr>
                <w:rFonts w:eastAsia="Calibri" w:cstheme="minorHAnsi"/>
                <w:color w:val="0070C0"/>
                <w:sz w:val="24"/>
                <w:szCs w:val="24"/>
              </w:rPr>
              <w:t>Lymphopenia (&lt;1 x10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p>
        </w:tc>
        <w:tc>
          <w:tcPr>
            <w:tcW w:w="762"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0.84</w:t>
            </w:r>
          </w:p>
        </w:tc>
        <w:tc>
          <w:tcPr>
            <w:tcW w:w="1503"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0.49 to 1.44</w:t>
            </w:r>
          </w:p>
        </w:tc>
        <w:tc>
          <w:tcPr>
            <w:tcW w:w="1078" w:type="dxa"/>
            <w:tcBorders>
              <w:top w:val="nil"/>
              <w:left w:val="nil"/>
              <w:bottom w:val="nil"/>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lang w:val="en-US"/>
              </w:rPr>
            </w:pPr>
            <w:r w:rsidRPr="00D472E1">
              <w:rPr>
                <w:rFonts w:cstheme="minorHAnsi"/>
                <w:color w:val="0070C0"/>
                <w:sz w:val="24"/>
                <w:szCs w:val="24"/>
                <w:lang w:val="en-US"/>
              </w:rPr>
              <w:t>0.526</w:t>
            </w:r>
          </w:p>
        </w:tc>
      </w:tr>
      <w:tr w:rsidR="00D472E1" w:rsidRPr="00D472E1" w:rsidTr="005E74CF">
        <w:trPr>
          <w:trHeight w:val="20"/>
        </w:trPr>
        <w:tc>
          <w:tcPr>
            <w:tcW w:w="3566" w:type="dxa"/>
            <w:tcBorders>
              <w:top w:val="nil"/>
              <w:left w:val="nil"/>
              <w:bottom w:val="single" w:sz="4" w:space="0" w:color="auto"/>
              <w:right w:val="nil"/>
            </w:tcBorders>
            <w:vAlign w:val="bottom"/>
          </w:tcPr>
          <w:p w:rsidR="00912904" w:rsidRPr="00D472E1" w:rsidRDefault="00912904" w:rsidP="005E74CF">
            <w:pPr>
              <w:widowControl w:val="0"/>
              <w:suppressAutoHyphens/>
              <w:spacing w:after="0" w:line="240" w:lineRule="auto"/>
              <w:jc w:val="both"/>
              <w:rPr>
                <w:rFonts w:cstheme="minorHAnsi"/>
                <w:bCs/>
                <w:color w:val="0070C0"/>
                <w:sz w:val="24"/>
                <w:szCs w:val="24"/>
              </w:rPr>
            </w:pPr>
            <w:r w:rsidRPr="00D472E1">
              <w:rPr>
                <w:rFonts w:cstheme="minorHAnsi"/>
                <w:bCs/>
                <w:color w:val="0070C0"/>
                <w:sz w:val="24"/>
                <w:szCs w:val="24"/>
              </w:rPr>
              <w:t>Eosinopenia (&lt;0.05 x</w:t>
            </w:r>
            <w:r w:rsidRPr="00D472E1">
              <w:rPr>
                <w:rFonts w:eastAsia="Calibri" w:cstheme="minorHAnsi"/>
                <w:color w:val="0070C0"/>
                <w:sz w:val="24"/>
                <w:szCs w:val="24"/>
              </w:rPr>
              <w:t>10</w:t>
            </w:r>
            <w:r w:rsidRPr="00D472E1">
              <w:rPr>
                <w:rFonts w:eastAsia="Calibri" w:cstheme="minorHAnsi"/>
                <w:color w:val="0070C0"/>
                <w:sz w:val="24"/>
                <w:szCs w:val="24"/>
                <w:vertAlign w:val="superscript"/>
              </w:rPr>
              <w:t>9</w:t>
            </w:r>
            <w:r w:rsidRPr="00D472E1">
              <w:rPr>
                <w:rFonts w:eastAsia="Calibri" w:cstheme="minorHAnsi"/>
                <w:color w:val="0070C0"/>
                <w:sz w:val="24"/>
                <w:szCs w:val="24"/>
              </w:rPr>
              <w:t>/L</w:t>
            </w:r>
            <w:r w:rsidRPr="00D472E1">
              <w:rPr>
                <w:rFonts w:cstheme="minorHAnsi"/>
                <w:bCs/>
                <w:color w:val="0070C0"/>
                <w:sz w:val="24"/>
                <w:szCs w:val="24"/>
              </w:rPr>
              <w:t>)</w:t>
            </w:r>
          </w:p>
        </w:tc>
        <w:tc>
          <w:tcPr>
            <w:tcW w:w="762" w:type="dxa"/>
            <w:tcBorders>
              <w:top w:val="nil"/>
              <w:left w:val="nil"/>
              <w:bottom w:val="single" w:sz="4" w:space="0" w:color="auto"/>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1.97</w:t>
            </w:r>
          </w:p>
        </w:tc>
        <w:tc>
          <w:tcPr>
            <w:tcW w:w="1503" w:type="dxa"/>
            <w:tcBorders>
              <w:top w:val="nil"/>
              <w:left w:val="nil"/>
              <w:bottom w:val="single" w:sz="4" w:space="0" w:color="auto"/>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1.17 to 3.34</w:t>
            </w:r>
          </w:p>
        </w:tc>
        <w:tc>
          <w:tcPr>
            <w:tcW w:w="1078" w:type="dxa"/>
            <w:tcBorders>
              <w:top w:val="nil"/>
              <w:left w:val="nil"/>
              <w:bottom w:val="single" w:sz="4" w:space="0" w:color="auto"/>
              <w:right w:val="nil"/>
            </w:tcBorders>
          </w:tcPr>
          <w:p w:rsidR="00912904" w:rsidRPr="00D472E1" w:rsidRDefault="00912904" w:rsidP="005E74CF">
            <w:pPr>
              <w:widowControl w:val="0"/>
              <w:tabs>
                <w:tab w:val="left" w:pos="250"/>
              </w:tabs>
              <w:suppressAutoHyphens/>
              <w:spacing w:after="0" w:line="240" w:lineRule="auto"/>
              <w:jc w:val="center"/>
              <w:rPr>
                <w:rFonts w:cstheme="minorHAnsi"/>
                <w:color w:val="0070C0"/>
                <w:sz w:val="24"/>
                <w:szCs w:val="24"/>
              </w:rPr>
            </w:pPr>
            <w:r w:rsidRPr="00D472E1">
              <w:rPr>
                <w:rFonts w:cstheme="minorHAnsi"/>
                <w:color w:val="0070C0"/>
                <w:sz w:val="24"/>
                <w:szCs w:val="24"/>
              </w:rPr>
              <w:t>0.011</w:t>
            </w:r>
          </w:p>
        </w:tc>
      </w:tr>
    </w:tbl>
    <w:p w:rsidR="00912904" w:rsidRPr="00D472E1" w:rsidRDefault="00912904" w:rsidP="00912904">
      <w:pPr>
        <w:spacing w:after="0"/>
        <w:jc w:val="both"/>
        <w:rPr>
          <w:rFonts w:cstheme="minorHAnsi"/>
          <w:color w:val="0070C0"/>
          <w:sz w:val="24"/>
          <w:szCs w:val="24"/>
          <w:lang w:val="ca-ES"/>
        </w:rPr>
      </w:pPr>
      <w:r w:rsidRPr="00D472E1">
        <w:rPr>
          <w:rFonts w:cstheme="minorHAnsi"/>
          <w:i/>
          <w:color w:val="0070C0"/>
          <w:sz w:val="24"/>
          <w:szCs w:val="24"/>
          <w:lang w:val="ca-ES"/>
        </w:rPr>
        <w:t>Abbreviations.</w:t>
      </w:r>
      <w:r w:rsidRPr="00D472E1">
        <w:rPr>
          <w:rFonts w:cstheme="minorHAnsi"/>
          <w:color w:val="0070C0"/>
          <w:sz w:val="24"/>
          <w:szCs w:val="24"/>
          <w:lang w:val="ca-ES"/>
        </w:rPr>
        <w:t xml:space="preserve"> HR indicates hazard ratio. CI, confidence interval.</w:t>
      </w:r>
    </w:p>
    <w:p w:rsidR="00912904" w:rsidRPr="00D472E1" w:rsidRDefault="00912904" w:rsidP="00912904">
      <w:pPr>
        <w:jc w:val="both"/>
        <w:rPr>
          <w:rFonts w:cstheme="minorHAnsi"/>
          <w:color w:val="0070C0"/>
          <w:sz w:val="24"/>
          <w:szCs w:val="24"/>
          <w:lang w:val="ca-ES"/>
        </w:rPr>
      </w:pPr>
      <w:r w:rsidRPr="00D472E1">
        <w:rPr>
          <w:rFonts w:cstheme="minorHAnsi"/>
          <w:i/>
          <w:color w:val="0070C0"/>
          <w:sz w:val="24"/>
          <w:szCs w:val="24"/>
          <w:lang w:val="ca-ES"/>
        </w:rPr>
        <w:t>Note.</w:t>
      </w:r>
      <w:r w:rsidRPr="00D472E1">
        <w:rPr>
          <w:rFonts w:cstheme="minorHAnsi"/>
          <w:color w:val="0070C0"/>
          <w:sz w:val="24"/>
          <w:szCs w:val="24"/>
          <w:lang w:val="ca-ES"/>
        </w:rPr>
        <w:t xml:space="preserve"> Data are presented as estimated HRs (95% CIs) of the explanatory variables in the 30-day mortality group. The HR is defined as the ratio of the hazard rates corresponding to the conditions described by two levels of an explanatory variable (the hazard rate is the risk of death [i.e., the probability of death], given that the patient has survived up to a specific time). The P-value is based on the null hypothesis that all HRs relating to an explanatory variable equal unity (no effect). Harrell's C statistic is 0.72 and Somers' D statistic is 0.44.</w:t>
      </w:r>
    </w:p>
    <w:p w:rsidR="00675D8D" w:rsidRPr="00D472E1" w:rsidRDefault="00675D8D" w:rsidP="00675D8D">
      <w:pPr>
        <w:rPr>
          <w:rStyle w:val="Textoennegrita"/>
          <w:rFonts w:cstheme="minorHAnsi"/>
          <w:color w:val="0070C0"/>
          <w:sz w:val="24"/>
          <w:szCs w:val="24"/>
          <w:lang w:val="en-US"/>
        </w:rPr>
      </w:pPr>
      <w:r w:rsidRPr="00D472E1">
        <w:rPr>
          <w:rStyle w:val="Textoennegrita"/>
          <w:rFonts w:cstheme="minorHAnsi"/>
          <w:color w:val="0070C0"/>
          <w:sz w:val="24"/>
          <w:szCs w:val="24"/>
          <w:lang w:val="en-US"/>
        </w:rPr>
        <w:br w:type="page"/>
      </w:r>
    </w:p>
    <w:p w:rsidR="00000000" w:rsidRDefault="00E84512">
      <w:pPr>
        <w:spacing w:after="0" w:line="240" w:lineRule="auto"/>
        <w:ind w:right="68"/>
        <w:jc w:val="both"/>
        <w:rPr>
          <w:rFonts w:eastAsia="Calibri" w:cs="Calibri"/>
          <w:b/>
          <w:color w:val="0070C0"/>
          <w:sz w:val="24"/>
          <w:szCs w:val="24"/>
          <w:lang w:val="en-US" w:eastAsia="en-US"/>
        </w:rPr>
      </w:pPr>
      <w:r w:rsidRPr="00E84512">
        <w:rPr>
          <w:rFonts w:eastAsia="Calibri" w:cs="Calibri"/>
          <w:b/>
          <w:color w:val="0070C0"/>
          <w:sz w:val="24"/>
          <w:szCs w:val="24"/>
          <w:lang w:val="en-US" w:eastAsia="en-US"/>
        </w:rPr>
        <w:lastRenderedPageBreak/>
        <w:t>Supplementary Figure 1. Association b</w:t>
      </w:r>
      <w:bookmarkStart w:id="0" w:name="_GoBack"/>
      <w:bookmarkEnd w:id="0"/>
      <w:r w:rsidRPr="00E84512">
        <w:rPr>
          <w:rFonts w:eastAsia="Calibri" w:cs="Calibri"/>
          <w:b/>
          <w:color w:val="0070C0"/>
          <w:sz w:val="24"/>
          <w:szCs w:val="24"/>
          <w:lang w:val="en-US" w:eastAsia="en-US"/>
        </w:rPr>
        <w:t>etween eosinophil count and lymphocyte count, stratified by systemic corticosteroid use</w:t>
      </w:r>
    </w:p>
    <w:p w:rsidR="00AE2FA2" w:rsidRDefault="00AE2FA2">
      <w:pPr>
        <w:widowControl w:val="0"/>
        <w:suppressAutoHyphens/>
        <w:spacing w:after="0" w:line="480" w:lineRule="auto"/>
        <w:jc w:val="both"/>
        <w:rPr>
          <w:rFonts w:cs="Calibri"/>
          <w:b/>
          <w:bCs/>
          <w:sz w:val="24"/>
          <w:szCs w:val="24"/>
          <w:lang w:val="en-GB"/>
        </w:rPr>
      </w:pPr>
      <w:r w:rsidRPr="0059225C">
        <w:rPr>
          <w:noProof/>
          <w:lang w:val="ca-ES" w:eastAsia="ca-ES"/>
        </w:rPr>
        <w:drawing>
          <wp:inline distT="0" distB="0" distL="0" distR="0">
            <wp:extent cx="5400040" cy="3383915"/>
            <wp:effectExtent l="0" t="0" r="0" b="0"/>
            <wp:docPr id="1" name="Imagen 1"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A graph with red and blue dots&#10;&#10;AI-generated content may be incorrect."/>
                    <pic:cNvPicPr/>
                  </pic:nvPicPr>
                  <pic:blipFill>
                    <a:blip r:embed="rId9"/>
                    <a:stretch>
                      <a:fillRect/>
                    </a:stretch>
                  </pic:blipFill>
                  <pic:spPr>
                    <a:xfrm>
                      <a:off x="0" y="0"/>
                      <a:ext cx="5400040" cy="3383915"/>
                    </a:xfrm>
                    <a:prstGeom prst="rect">
                      <a:avLst/>
                    </a:prstGeom>
                  </pic:spPr>
                </pic:pic>
              </a:graphicData>
            </a:graphic>
          </wp:inline>
        </w:drawing>
      </w:r>
    </w:p>
    <w:p w:rsidR="0086529A" w:rsidRDefault="0086529A">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340BD3" w:rsidRDefault="00340BD3">
      <w:pPr>
        <w:widowControl w:val="0"/>
        <w:suppressAutoHyphens/>
        <w:spacing w:after="0" w:line="480" w:lineRule="auto"/>
        <w:jc w:val="both"/>
        <w:rPr>
          <w:rFonts w:cs="Calibri"/>
          <w:b/>
          <w:bCs/>
          <w:sz w:val="24"/>
          <w:szCs w:val="24"/>
          <w:lang w:val="en-GB"/>
        </w:rPr>
      </w:pPr>
    </w:p>
    <w:p w:rsidR="00340BD3" w:rsidRDefault="00340BD3">
      <w:pPr>
        <w:widowControl w:val="0"/>
        <w:suppressAutoHyphens/>
        <w:spacing w:after="0" w:line="480" w:lineRule="auto"/>
        <w:jc w:val="both"/>
        <w:rPr>
          <w:rFonts w:cs="Calibri"/>
          <w:b/>
          <w:bCs/>
          <w:sz w:val="24"/>
          <w:szCs w:val="24"/>
          <w:lang w:val="en-GB"/>
        </w:rPr>
      </w:pPr>
    </w:p>
    <w:p w:rsidR="00340BD3" w:rsidRDefault="00340BD3">
      <w:pPr>
        <w:widowControl w:val="0"/>
        <w:suppressAutoHyphens/>
        <w:spacing w:after="0" w:line="480" w:lineRule="auto"/>
        <w:jc w:val="both"/>
        <w:rPr>
          <w:rFonts w:cs="Calibri"/>
          <w:b/>
          <w:bCs/>
          <w:sz w:val="24"/>
          <w:szCs w:val="24"/>
          <w:lang w:val="en-GB"/>
        </w:rPr>
      </w:pPr>
    </w:p>
    <w:p w:rsidR="00340BD3" w:rsidRDefault="00340BD3">
      <w:pPr>
        <w:widowControl w:val="0"/>
        <w:suppressAutoHyphens/>
        <w:spacing w:after="0" w:line="480" w:lineRule="auto"/>
        <w:jc w:val="both"/>
        <w:rPr>
          <w:rFonts w:cs="Calibri"/>
          <w:b/>
          <w:bCs/>
          <w:sz w:val="24"/>
          <w:szCs w:val="24"/>
          <w:lang w:val="en-GB"/>
        </w:rPr>
      </w:pPr>
    </w:p>
    <w:p w:rsidR="0009462A" w:rsidRDefault="0009462A">
      <w:pPr>
        <w:widowControl w:val="0"/>
        <w:suppressAutoHyphens/>
        <w:spacing w:after="0" w:line="480" w:lineRule="auto"/>
        <w:jc w:val="both"/>
        <w:rPr>
          <w:rFonts w:cs="Calibri"/>
          <w:b/>
          <w:bCs/>
          <w:sz w:val="24"/>
          <w:szCs w:val="24"/>
          <w:lang w:val="en-GB"/>
        </w:rPr>
      </w:pPr>
    </w:p>
    <w:p w:rsidR="00000000" w:rsidRDefault="00E84512">
      <w:pPr>
        <w:spacing w:after="0" w:line="240" w:lineRule="auto"/>
        <w:ind w:right="68"/>
        <w:jc w:val="both"/>
        <w:rPr>
          <w:rFonts w:eastAsia="Calibri" w:cs="Calibri"/>
          <w:b/>
          <w:color w:val="0070C0"/>
          <w:sz w:val="24"/>
          <w:szCs w:val="24"/>
          <w:lang w:val="en-US" w:eastAsia="en-US"/>
        </w:rPr>
      </w:pPr>
      <w:r w:rsidRPr="00E84512">
        <w:rPr>
          <w:rFonts w:eastAsia="Calibri" w:cs="Calibri"/>
          <w:b/>
          <w:color w:val="0070C0"/>
          <w:sz w:val="24"/>
          <w:szCs w:val="24"/>
          <w:lang w:val="en-US" w:eastAsia="en-US"/>
        </w:rPr>
        <w:lastRenderedPageBreak/>
        <w:t>Supplementary Figure 2. Association between eosinophil count and total leukocyte count, stratified by systemic corticosteroid use</w:t>
      </w:r>
    </w:p>
    <w:p w:rsidR="00865FD8" w:rsidRDefault="00AE2FA2">
      <w:pPr>
        <w:widowControl w:val="0"/>
        <w:suppressAutoHyphens/>
        <w:spacing w:after="0" w:line="480" w:lineRule="auto"/>
        <w:jc w:val="both"/>
        <w:rPr>
          <w:rFonts w:cs="Calibri"/>
          <w:b/>
          <w:bCs/>
          <w:sz w:val="24"/>
          <w:szCs w:val="24"/>
          <w:lang w:val="en-GB"/>
        </w:rPr>
      </w:pPr>
      <w:r w:rsidRPr="0059225C">
        <w:rPr>
          <w:noProof/>
          <w:lang w:val="ca-ES" w:eastAsia="ca-ES"/>
        </w:rPr>
        <w:drawing>
          <wp:inline distT="0" distB="0" distL="0" distR="0">
            <wp:extent cx="5400040" cy="3383915"/>
            <wp:effectExtent l="0" t="0" r="0" b="0"/>
            <wp:docPr id="5" name="Imagen 5"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A graph with red and blue dots&#10;&#10;AI-generated content may be incorrect."/>
                    <pic:cNvPicPr/>
                  </pic:nvPicPr>
                  <pic:blipFill>
                    <a:blip r:embed="rId10"/>
                    <a:stretch>
                      <a:fillRect/>
                    </a:stretch>
                  </pic:blipFill>
                  <pic:spPr>
                    <a:xfrm>
                      <a:off x="0" y="0"/>
                      <a:ext cx="5400040" cy="3383915"/>
                    </a:xfrm>
                    <a:prstGeom prst="rect">
                      <a:avLst/>
                    </a:prstGeom>
                  </pic:spPr>
                </pic:pic>
              </a:graphicData>
            </a:graphic>
          </wp:inline>
        </w:drawing>
      </w:r>
    </w:p>
    <w:p w:rsidR="00340BD3" w:rsidRDefault="00340BD3">
      <w:pPr>
        <w:widowControl w:val="0"/>
        <w:suppressAutoHyphens/>
        <w:spacing w:after="0" w:line="480" w:lineRule="auto"/>
        <w:jc w:val="both"/>
        <w:rPr>
          <w:rFonts w:cs="Calibri"/>
          <w:b/>
          <w:bCs/>
          <w:sz w:val="24"/>
          <w:szCs w:val="24"/>
          <w:lang w:val="en-GB"/>
        </w:rPr>
      </w:pPr>
    </w:p>
    <w:p w:rsidR="00340BD3" w:rsidRDefault="00340BD3">
      <w:pPr>
        <w:spacing w:after="0" w:line="240" w:lineRule="auto"/>
        <w:rPr>
          <w:rFonts w:cs="Calibri"/>
          <w:b/>
          <w:bCs/>
          <w:sz w:val="24"/>
          <w:szCs w:val="24"/>
          <w:lang w:val="en-GB"/>
        </w:rPr>
      </w:pPr>
      <w:r>
        <w:rPr>
          <w:rFonts w:cs="Calibri"/>
          <w:b/>
          <w:bCs/>
          <w:sz w:val="24"/>
          <w:szCs w:val="24"/>
          <w:lang w:val="en-GB"/>
        </w:rPr>
        <w:br w:type="page"/>
      </w:r>
    </w:p>
    <w:p w:rsidR="00000000" w:rsidRDefault="00E84512">
      <w:pPr>
        <w:spacing w:after="0" w:line="240" w:lineRule="auto"/>
        <w:ind w:right="68"/>
        <w:jc w:val="both"/>
        <w:rPr>
          <w:rFonts w:eastAsia="Calibri" w:cs="Calibri"/>
          <w:b/>
          <w:color w:val="0070C0"/>
          <w:sz w:val="24"/>
          <w:szCs w:val="24"/>
          <w:lang w:val="en-US" w:eastAsia="en-US"/>
        </w:rPr>
      </w:pPr>
      <w:r w:rsidRPr="00E84512">
        <w:rPr>
          <w:rFonts w:eastAsia="Calibri" w:cs="Calibri"/>
          <w:b/>
          <w:color w:val="0070C0"/>
          <w:sz w:val="24"/>
          <w:szCs w:val="24"/>
          <w:lang w:val="en-US" w:eastAsia="en-US"/>
        </w:rPr>
        <w:lastRenderedPageBreak/>
        <w:t>Supplementary Figure 3. Association between eosinophil count and neutrophil count, stratified by systemic corticosteroid use</w:t>
      </w:r>
    </w:p>
    <w:p w:rsidR="00AE2FA2" w:rsidRDefault="00AE2FA2">
      <w:pPr>
        <w:widowControl w:val="0"/>
        <w:suppressAutoHyphens/>
        <w:spacing w:after="0" w:line="480" w:lineRule="auto"/>
        <w:jc w:val="both"/>
        <w:rPr>
          <w:rFonts w:cs="Calibri"/>
          <w:b/>
          <w:bCs/>
          <w:sz w:val="24"/>
          <w:szCs w:val="24"/>
          <w:lang w:val="en-GB"/>
        </w:rPr>
      </w:pPr>
      <w:r w:rsidRPr="0059225C">
        <w:rPr>
          <w:noProof/>
          <w:lang w:val="ca-ES" w:eastAsia="ca-ES"/>
        </w:rPr>
        <w:drawing>
          <wp:inline distT="0" distB="0" distL="0" distR="0">
            <wp:extent cx="5400040" cy="3383915"/>
            <wp:effectExtent l="0" t="0" r="0" b="0"/>
            <wp:docPr id="6" name="Imagen 6"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A graph with red and blue dots&#10;&#10;AI-generated content may be incorrect."/>
                    <pic:cNvPicPr/>
                  </pic:nvPicPr>
                  <pic:blipFill>
                    <a:blip r:embed="rId11"/>
                    <a:stretch>
                      <a:fillRect/>
                    </a:stretch>
                  </pic:blipFill>
                  <pic:spPr>
                    <a:xfrm>
                      <a:off x="0" y="0"/>
                      <a:ext cx="5400040" cy="3383915"/>
                    </a:xfrm>
                    <a:prstGeom prst="rect">
                      <a:avLst/>
                    </a:prstGeom>
                  </pic:spPr>
                </pic:pic>
              </a:graphicData>
            </a:graphic>
          </wp:inline>
        </w:drawing>
      </w:r>
    </w:p>
    <w:p w:rsidR="00AE2FA2" w:rsidRDefault="00AE2FA2">
      <w:pPr>
        <w:widowControl w:val="0"/>
        <w:suppressAutoHyphens/>
        <w:spacing w:after="0" w:line="480" w:lineRule="auto"/>
        <w:jc w:val="both"/>
        <w:rPr>
          <w:rFonts w:cs="Calibri"/>
          <w:b/>
          <w:bCs/>
          <w:sz w:val="24"/>
          <w:szCs w:val="24"/>
          <w:lang w:val="en-GB"/>
        </w:rPr>
      </w:pPr>
    </w:p>
    <w:p w:rsidR="00AE2FA2" w:rsidRDefault="00AE2FA2">
      <w:pPr>
        <w:widowControl w:val="0"/>
        <w:suppressAutoHyphens/>
        <w:spacing w:after="0" w:line="480" w:lineRule="auto"/>
        <w:jc w:val="both"/>
        <w:rPr>
          <w:rFonts w:cs="Calibri"/>
          <w:b/>
          <w:bCs/>
          <w:sz w:val="24"/>
          <w:szCs w:val="24"/>
          <w:lang w:val="en-GB"/>
        </w:rPr>
      </w:pPr>
    </w:p>
    <w:p w:rsidR="00340BD3" w:rsidRDefault="00340BD3">
      <w:pPr>
        <w:spacing w:after="0" w:line="240" w:lineRule="auto"/>
        <w:rPr>
          <w:rFonts w:cs="Calibri"/>
          <w:b/>
          <w:bCs/>
          <w:sz w:val="24"/>
          <w:szCs w:val="24"/>
          <w:lang w:val="en-GB"/>
        </w:rPr>
      </w:pPr>
      <w:r>
        <w:rPr>
          <w:rFonts w:cs="Calibri"/>
          <w:b/>
          <w:bCs/>
          <w:sz w:val="24"/>
          <w:szCs w:val="24"/>
          <w:lang w:val="en-GB"/>
        </w:rPr>
        <w:br w:type="page"/>
      </w:r>
    </w:p>
    <w:p w:rsidR="00000000" w:rsidRDefault="00E84512">
      <w:pPr>
        <w:spacing w:after="0" w:line="240" w:lineRule="auto"/>
        <w:ind w:right="68"/>
        <w:jc w:val="both"/>
        <w:rPr>
          <w:rFonts w:eastAsia="Calibri" w:cs="Calibri"/>
          <w:b/>
          <w:color w:val="0070C0"/>
          <w:sz w:val="24"/>
          <w:szCs w:val="24"/>
          <w:lang w:val="en-US" w:eastAsia="en-US"/>
        </w:rPr>
      </w:pPr>
      <w:r w:rsidRPr="00E84512">
        <w:rPr>
          <w:rFonts w:eastAsia="Calibri" w:cs="Calibri"/>
          <w:b/>
          <w:color w:val="0070C0"/>
          <w:sz w:val="24"/>
          <w:szCs w:val="24"/>
          <w:lang w:val="en-US" w:eastAsia="en-US"/>
        </w:rPr>
        <w:lastRenderedPageBreak/>
        <w:t>Supplementary Figure 4. Association between eosinophil count and C-reactive protein levels, stratified by systemic corticosteroid use</w:t>
      </w:r>
    </w:p>
    <w:p w:rsidR="00AE2FA2" w:rsidRDefault="00AE2FA2">
      <w:pPr>
        <w:widowControl w:val="0"/>
        <w:suppressAutoHyphens/>
        <w:spacing w:after="0" w:line="480" w:lineRule="auto"/>
        <w:jc w:val="both"/>
        <w:rPr>
          <w:rFonts w:cs="Calibri"/>
          <w:b/>
          <w:bCs/>
          <w:sz w:val="24"/>
          <w:szCs w:val="24"/>
          <w:lang w:val="en-GB"/>
        </w:rPr>
      </w:pPr>
      <w:r w:rsidRPr="0059225C">
        <w:rPr>
          <w:noProof/>
          <w:lang w:val="ca-ES" w:eastAsia="ca-ES"/>
        </w:rPr>
        <w:drawing>
          <wp:inline distT="0" distB="0" distL="0" distR="0">
            <wp:extent cx="5400040" cy="3383915"/>
            <wp:effectExtent l="0" t="0" r="0" b="0"/>
            <wp:docPr id="7" name="Imagen 7"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A graph with red and blue dots&#10;&#10;AI-generated content may be incorrect."/>
                    <pic:cNvPicPr/>
                  </pic:nvPicPr>
                  <pic:blipFill>
                    <a:blip r:embed="rId12"/>
                    <a:stretch>
                      <a:fillRect/>
                    </a:stretch>
                  </pic:blipFill>
                  <pic:spPr>
                    <a:xfrm>
                      <a:off x="0" y="0"/>
                      <a:ext cx="5400040" cy="3383915"/>
                    </a:xfrm>
                    <a:prstGeom prst="rect">
                      <a:avLst/>
                    </a:prstGeom>
                  </pic:spPr>
                </pic:pic>
              </a:graphicData>
            </a:graphic>
          </wp:inline>
        </w:drawing>
      </w: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p w:rsidR="00865FD8" w:rsidRDefault="00865FD8">
      <w:pPr>
        <w:widowControl w:val="0"/>
        <w:suppressAutoHyphens/>
        <w:spacing w:after="0" w:line="480" w:lineRule="auto"/>
        <w:jc w:val="both"/>
        <w:rPr>
          <w:rFonts w:cs="Calibri"/>
          <w:b/>
          <w:bCs/>
          <w:sz w:val="24"/>
          <w:szCs w:val="24"/>
          <w:lang w:val="en-GB"/>
        </w:rPr>
      </w:pPr>
    </w:p>
    <w:sectPr w:rsidR="00865FD8" w:rsidSect="00865FD8">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5CB" w:rsidRDefault="006D35CB" w:rsidP="00401A67">
      <w:pPr>
        <w:spacing w:after="0" w:line="240" w:lineRule="auto"/>
      </w:pPr>
      <w:r>
        <w:separator/>
      </w:r>
    </w:p>
  </w:endnote>
  <w:endnote w:type="continuationSeparator" w:id="0">
    <w:p w:rsidR="006D35CB" w:rsidRDefault="006D35CB" w:rsidP="00401A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5CB" w:rsidRDefault="006D35CB" w:rsidP="00401A67">
      <w:pPr>
        <w:spacing w:after="0" w:line="240" w:lineRule="auto"/>
      </w:pPr>
      <w:r>
        <w:separator/>
      </w:r>
    </w:p>
  </w:footnote>
  <w:footnote w:type="continuationSeparator" w:id="0">
    <w:p w:rsidR="006D35CB" w:rsidRDefault="006D35CB" w:rsidP="00401A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80DCE"/>
    <w:multiLevelType w:val="hybridMultilevel"/>
    <w:tmpl w:val="6E7282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2EFE0A6A"/>
    <w:multiLevelType w:val="hybridMultilevel"/>
    <w:tmpl w:val="8120227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bert Gabarrús">
    <w15:presenceInfo w15:providerId="Windows Live" w15:userId="d9b2df65d8c3fb4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06109B"/>
    <w:rsid w:val="0000243C"/>
    <w:rsid w:val="000270C9"/>
    <w:rsid w:val="0004169F"/>
    <w:rsid w:val="00047C11"/>
    <w:rsid w:val="00054F33"/>
    <w:rsid w:val="0006109B"/>
    <w:rsid w:val="00066D40"/>
    <w:rsid w:val="0009462A"/>
    <w:rsid w:val="000B42FD"/>
    <w:rsid w:val="000C2E90"/>
    <w:rsid w:val="000C5B84"/>
    <w:rsid w:val="000D1CBF"/>
    <w:rsid w:val="000E0699"/>
    <w:rsid w:val="000E0FBA"/>
    <w:rsid w:val="00115FD0"/>
    <w:rsid w:val="00122607"/>
    <w:rsid w:val="00126CEF"/>
    <w:rsid w:val="00127465"/>
    <w:rsid w:val="00130600"/>
    <w:rsid w:val="001703A8"/>
    <w:rsid w:val="00171DD6"/>
    <w:rsid w:val="001847FC"/>
    <w:rsid w:val="001863DD"/>
    <w:rsid w:val="00192655"/>
    <w:rsid w:val="001A1ADE"/>
    <w:rsid w:val="001A32DF"/>
    <w:rsid w:val="001B3AD1"/>
    <w:rsid w:val="001B3DFB"/>
    <w:rsid w:val="001B43BE"/>
    <w:rsid w:val="001C149F"/>
    <w:rsid w:val="001C5A7A"/>
    <w:rsid w:val="001D3DAA"/>
    <w:rsid w:val="001E01A9"/>
    <w:rsid w:val="001E76E1"/>
    <w:rsid w:val="001F7A1F"/>
    <w:rsid w:val="00221D89"/>
    <w:rsid w:val="0025111D"/>
    <w:rsid w:val="00255CF4"/>
    <w:rsid w:val="00273959"/>
    <w:rsid w:val="00290FCB"/>
    <w:rsid w:val="00292145"/>
    <w:rsid w:val="00296C9B"/>
    <w:rsid w:val="002D2ED1"/>
    <w:rsid w:val="002D53C9"/>
    <w:rsid w:val="002E6EDD"/>
    <w:rsid w:val="002F2611"/>
    <w:rsid w:val="003143A9"/>
    <w:rsid w:val="00317071"/>
    <w:rsid w:val="00321667"/>
    <w:rsid w:val="0032276C"/>
    <w:rsid w:val="00331087"/>
    <w:rsid w:val="00340BD3"/>
    <w:rsid w:val="00364075"/>
    <w:rsid w:val="0036677A"/>
    <w:rsid w:val="00367104"/>
    <w:rsid w:val="00374DC0"/>
    <w:rsid w:val="00396B5D"/>
    <w:rsid w:val="0039790E"/>
    <w:rsid w:val="003C2E6F"/>
    <w:rsid w:val="003D2411"/>
    <w:rsid w:val="003D2BEC"/>
    <w:rsid w:val="003D2F33"/>
    <w:rsid w:val="003D6599"/>
    <w:rsid w:val="003E552B"/>
    <w:rsid w:val="00401A67"/>
    <w:rsid w:val="00415789"/>
    <w:rsid w:val="00423BEA"/>
    <w:rsid w:val="00435702"/>
    <w:rsid w:val="004674BE"/>
    <w:rsid w:val="00490F63"/>
    <w:rsid w:val="004A0D1D"/>
    <w:rsid w:val="004B4FB5"/>
    <w:rsid w:val="0050472F"/>
    <w:rsid w:val="00517F92"/>
    <w:rsid w:val="00526326"/>
    <w:rsid w:val="0056326E"/>
    <w:rsid w:val="00594819"/>
    <w:rsid w:val="005965F0"/>
    <w:rsid w:val="005A43CD"/>
    <w:rsid w:val="005A6A6B"/>
    <w:rsid w:val="005B697C"/>
    <w:rsid w:val="005C4B57"/>
    <w:rsid w:val="005D4716"/>
    <w:rsid w:val="005D6F67"/>
    <w:rsid w:val="005F5BD9"/>
    <w:rsid w:val="006147D8"/>
    <w:rsid w:val="00617D44"/>
    <w:rsid w:val="00633553"/>
    <w:rsid w:val="00651899"/>
    <w:rsid w:val="00675D8D"/>
    <w:rsid w:val="00681FD6"/>
    <w:rsid w:val="006A2108"/>
    <w:rsid w:val="006A511B"/>
    <w:rsid w:val="006C4285"/>
    <w:rsid w:val="006D35CB"/>
    <w:rsid w:val="006E14EB"/>
    <w:rsid w:val="006F2F32"/>
    <w:rsid w:val="006F6190"/>
    <w:rsid w:val="00711BDB"/>
    <w:rsid w:val="00713CDC"/>
    <w:rsid w:val="0072712D"/>
    <w:rsid w:val="00734190"/>
    <w:rsid w:val="007412FC"/>
    <w:rsid w:val="0077025C"/>
    <w:rsid w:val="00774019"/>
    <w:rsid w:val="00775BD4"/>
    <w:rsid w:val="00783A49"/>
    <w:rsid w:val="0079191B"/>
    <w:rsid w:val="00792201"/>
    <w:rsid w:val="007C3A2E"/>
    <w:rsid w:val="007D3B6F"/>
    <w:rsid w:val="007D6D09"/>
    <w:rsid w:val="007F6C5D"/>
    <w:rsid w:val="008010E1"/>
    <w:rsid w:val="00802586"/>
    <w:rsid w:val="008163CB"/>
    <w:rsid w:val="008302D5"/>
    <w:rsid w:val="00846C66"/>
    <w:rsid w:val="0085193C"/>
    <w:rsid w:val="00853459"/>
    <w:rsid w:val="0085753C"/>
    <w:rsid w:val="008602D7"/>
    <w:rsid w:val="0086529A"/>
    <w:rsid w:val="00865FD8"/>
    <w:rsid w:val="008716FA"/>
    <w:rsid w:val="00876665"/>
    <w:rsid w:val="00882BCC"/>
    <w:rsid w:val="00884ED0"/>
    <w:rsid w:val="008A0955"/>
    <w:rsid w:val="008B2455"/>
    <w:rsid w:val="008C4D94"/>
    <w:rsid w:val="008C5E02"/>
    <w:rsid w:val="008E1B6B"/>
    <w:rsid w:val="008E22E0"/>
    <w:rsid w:val="008F2226"/>
    <w:rsid w:val="009043B4"/>
    <w:rsid w:val="00912904"/>
    <w:rsid w:val="0091690B"/>
    <w:rsid w:val="00920B27"/>
    <w:rsid w:val="0092586D"/>
    <w:rsid w:val="00947FA8"/>
    <w:rsid w:val="00956323"/>
    <w:rsid w:val="009729AB"/>
    <w:rsid w:val="009A5D12"/>
    <w:rsid w:val="009C0D37"/>
    <w:rsid w:val="009C59A3"/>
    <w:rsid w:val="009F30C5"/>
    <w:rsid w:val="00A11CA8"/>
    <w:rsid w:val="00A200FA"/>
    <w:rsid w:val="00A2483B"/>
    <w:rsid w:val="00A4063F"/>
    <w:rsid w:val="00A42A5E"/>
    <w:rsid w:val="00A64663"/>
    <w:rsid w:val="00A67A23"/>
    <w:rsid w:val="00A722AE"/>
    <w:rsid w:val="00A825E1"/>
    <w:rsid w:val="00A84DE7"/>
    <w:rsid w:val="00A9603E"/>
    <w:rsid w:val="00AA7064"/>
    <w:rsid w:val="00AB05FF"/>
    <w:rsid w:val="00AB4832"/>
    <w:rsid w:val="00AC3936"/>
    <w:rsid w:val="00AC45DC"/>
    <w:rsid w:val="00AE2FA2"/>
    <w:rsid w:val="00AE5E48"/>
    <w:rsid w:val="00AF11D6"/>
    <w:rsid w:val="00B308C1"/>
    <w:rsid w:val="00B50FFB"/>
    <w:rsid w:val="00B5796E"/>
    <w:rsid w:val="00B641EF"/>
    <w:rsid w:val="00B74E2E"/>
    <w:rsid w:val="00BA429B"/>
    <w:rsid w:val="00BA63EC"/>
    <w:rsid w:val="00BB04A4"/>
    <w:rsid w:val="00BC6EC5"/>
    <w:rsid w:val="00BE7EE9"/>
    <w:rsid w:val="00C041C2"/>
    <w:rsid w:val="00C05FB8"/>
    <w:rsid w:val="00C07DD8"/>
    <w:rsid w:val="00C2196F"/>
    <w:rsid w:val="00C61387"/>
    <w:rsid w:val="00C64EBA"/>
    <w:rsid w:val="00C6770F"/>
    <w:rsid w:val="00C75999"/>
    <w:rsid w:val="00C825B7"/>
    <w:rsid w:val="00C86DD2"/>
    <w:rsid w:val="00CA469B"/>
    <w:rsid w:val="00CB138A"/>
    <w:rsid w:val="00CB557B"/>
    <w:rsid w:val="00CC7693"/>
    <w:rsid w:val="00CD1794"/>
    <w:rsid w:val="00CD58A1"/>
    <w:rsid w:val="00D315B3"/>
    <w:rsid w:val="00D31806"/>
    <w:rsid w:val="00D376EB"/>
    <w:rsid w:val="00D4194E"/>
    <w:rsid w:val="00D472E1"/>
    <w:rsid w:val="00D60113"/>
    <w:rsid w:val="00D60123"/>
    <w:rsid w:val="00D60C5E"/>
    <w:rsid w:val="00D75F1B"/>
    <w:rsid w:val="00D80E06"/>
    <w:rsid w:val="00D925E8"/>
    <w:rsid w:val="00D979AF"/>
    <w:rsid w:val="00D97AB1"/>
    <w:rsid w:val="00DA3D47"/>
    <w:rsid w:val="00DC1E9B"/>
    <w:rsid w:val="00DC3945"/>
    <w:rsid w:val="00DD17DD"/>
    <w:rsid w:val="00DD3DAC"/>
    <w:rsid w:val="00DD7AFB"/>
    <w:rsid w:val="00E4556D"/>
    <w:rsid w:val="00E46BE1"/>
    <w:rsid w:val="00E54901"/>
    <w:rsid w:val="00E61A2B"/>
    <w:rsid w:val="00E63F80"/>
    <w:rsid w:val="00E8165F"/>
    <w:rsid w:val="00E81833"/>
    <w:rsid w:val="00E84512"/>
    <w:rsid w:val="00E87922"/>
    <w:rsid w:val="00EA13B7"/>
    <w:rsid w:val="00EB7DB5"/>
    <w:rsid w:val="00EC6746"/>
    <w:rsid w:val="00EC73F6"/>
    <w:rsid w:val="00F16664"/>
    <w:rsid w:val="00F20BF6"/>
    <w:rsid w:val="00F234B3"/>
    <w:rsid w:val="00F3596D"/>
    <w:rsid w:val="00F42679"/>
    <w:rsid w:val="00F5285B"/>
    <w:rsid w:val="00F814D1"/>
    <w:rsid w:val="00FC3B66"/>
    <w:rsid w:val="00FD46C6"/>
    <w:rsid w:val="00FD506B"/>
    <w:rsid w:val="00FE6053"/>
    <w:rsid w:val="00FF1A48"/>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600"/>
    <w:pPr>
      <w:spacing w:after="200" w:line="276" w:lineRule="auto"/>
    </w:pPr>
  </w:style>
  <w:style w:type="paragraph" w:styleId="Ttulo1">
    <w:name w:val="heading 1"/>
    <w:basedOn w:val="Normal"/>
    <w:link w:val="Ttulo1Car"/>
    <w:uiPriority w:val="99"/>
    <w:qFormat/>
    <w:rsid w:val="0006109B"/>
    <w:pPr>
      <w:spacing w:before="100" w:beforeAutospacing="1" w:after="100" w:afterAutospacing="1" w:line="240" w:lineRule="auto"/>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109B"/>
    <w:rPr>
      <w:rFonts w:ascii="Times New Roman" w:hAnsi="Times New Roman" w:cs="Times New Roman"/>
      <w:b/>
      <w:bCs/>
      <w:kern w:val="36"/>
      <w:sz w:val="48"/>
      <w:szCs w:val="48"/>
      <w:lang w:eastAsia="es-ES"/>
    </w:rPr>
  </w:style>
  <w:style w:type="table" w:styleId="Tablaconcuadrcula">
    <w:name w:val="Table Grid"/>
    <w:basedOn w:val="Tablanormal"/>
    <w:uiPriority w:val="99"/>
    <w:rsid w:val="0006109B"/>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rsid w:val="001A1ADE"/>
    <w:rPr>
      <w:rFonts w:cs="Times New Roman"/>
      <w:sz w:val="16"/>
      <w:szCs w:val="16"/>
    </w:rPr>
  </w:style>
  <w:style w:type="paragraph" w:styleId="Textocomentario">
    <w:name w:val="annotation text"/>
    <w:basedOn w:val="Normal"/>
    <w:link w:val="TextocomentarioCar"/>
    <w:uiPriority w:val="99"/>
    <w:semiHidden/>
    <w:rsid w:val="001A1ADE"/>
    <w:pPr>
      <w:spacing w:line="240" w:lineRule="auto"/>
    </w:pPr>
    <w:rPr>
      <w:sz w:val="20"/>
      <w:szCs w:val="20"/>
    </w:rPr>
  </w:style>
  <w:style w:type="character" w:customStyle="1" w:styleId="TextocomentarioCar">
    <w:name w:val="Texto comentario Car"/>
    <w:basedOn w:val="Fuentedeprrafopredeter"/>
    <w:link w:val="Textocomentario"/>
    <w:uiPriority w:val="99"/>
    <w:semiHidden/>
    <w:locked/>
    <w:rsid w:val="001A1ADE"/>
    <w:rPr>
      <w:rFonts w:cs="Times New Roman"/>
      <w:sz w:val="20"/>
      <w:szCs w:val="20"/>
      <w:lang w:val="en-US"/>
    </w:rPr>
  </w:style>
  <w:style w:type="paragraph" w:styleId="Asuntodelcomentario">
    <w:name w:val="annotation subject"/>
    <w:basedOn w:val="Textocomentario"/>
    <w:next w:val="Textocomentario"/>
    <w:link w:val="AsuntodelcomentarioCar"/>
    <w:uiPriority w:val="99"/>
    <w:semiHidden/>
    <w:rsid w:val="001A1ADE"/>
    <w:rPr>
      <w:b/>
      <w:bCs/>
    </w:rPr>
  </w:style>
  <w:style w:type="character" w:customStyle="1" w:styleId="AsuntodelcomentarioCar">
    <w:name w:val="Asunto del comentario Car"/>
    <w:basedOn w:val="TextocomentarioCar"/>
    <w:link w:val="Asuntodelcomentario"/>
    <w:uiPriority w:val="99"/>
    <w:semiHidden/>
    <w:locked/>
    <w:rsid w:val="001A1ADE"/>
    <w:rPr>
      <w:rFonts w:cs="Times New Roman"/>
      <w:b/>
      <w:bCs/>
      <w:sz w:val="20"/>
      <w:szCs w:val="20"/>
      <w:lang w:val="en-US"/>
    </w:rPr>
  </w:style>
  <w:style w:type="paragraph" w:styleId="Textodeglobo">
    <w:name w:val="Balloon Text"/>
    <w:basedOn w:val="Normal"/>
    <w:link w:val="TextodegloboCar"/>
    <w:uiPriority w:val="99"/>
    <w:semiHidden/>
    <w:rsid w:val="00221D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221D89"/>
    <w:rPr>
      <w:rFonts w:ascii="Tahoma" w:hAnsi="Tahoma" w:cs="Tahoma"/>
      <w:sz w:val="16"/>
      <w:szCs w:val="16"/>
      <w:lang w:val="en-US"/>
    </w:rPr>
  </w:style>
  <w:style w:type="paragraph" w:styleId="Encabezado">
    <w:name w:val="header"/>
    <w:basedOn w:val="Normal"/>
    <w:link w:val="EncabezadoCar"/>
    <w:uiPriority w:val="99"/>
    <w:semiHidden/>
    <w:rsid w:val="00401A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locked/>
    <w:rsid w:val="00401A67"/>
    <w:rPr>
      <w:rFonts w:cs="Times New Roman"/>
      <w:lang w:val="en-US"/>
    </w:rPr>
  </w:style>
  <w:style w:type="paragraph" w:styleId="Piedepgina">
    <w:name w:val="footer"/>
    <w:basedOn w:val="Normal"/>
    <w:link w:val="PiedepginaCar"/>
    <w:uiPriority w:val="99"/>
    <w:rsid w:val="00401A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401A67"/>
    <w:rPr>
      <w:rFonts w:cs="Times New Roman"/>
      <w:lang w:val="en-US"/>
    </w:rPr>
  </w:style>
  <w:style w:type="character" w:styleId="Hipervnculo">
    <w:name w:val="Hyperlink"/>
    <w:basedOn w:val="Fuentedeprrafopredeter"/>
    <w:uiPriority w:val="99"/>
    <w:rsid w:val="008716FA"/>
    <w:rPr>
      <w:rFonts w:cs="Times New Roman"/>
      <w:color w:val="0000FF"/>
      <w:u w:val="single"/>
    </w:rPr>
  </w:style>
  <w:style w:type="paragraph" w:customStyle="1" w:styleId="MDPI31text">
    <w:name w:val="MDPI_3.1_text"/>
    <w:uiPriority w:val="99"/>
    <w:rsid w:val="008716FA"/>
    <w:pPr>
      <w:adjustRightInd w:val="0"/>
      <w:snapToGrid w:val="0"/>
      <w:spacing w:line="260" w:lineRule="atLeast"/>
      <w:ind w:firstLine="425"/>
      <w:jc w:val="both"/>
    </w:pPr>
    <w:rPr>
      <w:rFonts w:ascii="Palatino Linotype" w:hAnsi="Palatino Linotype"/>
      <w:color w:val="000000"/>
      <w:sz w:val="20"/>
      <w:lang w:val="en-US" w:eastAsia="de-DE"/>
    </w:rPr>
  </w:style>
  <w:style w:type="paragraph" w:styleId="Bibliografa">
    <w:name w:val="Bibliography"/>
    <w:basedOn w:val="Normal"/>
    <w:next w:val="Normal"/>
    <w:uiPriority w:val="99"/>
    <w:rsid w:val="008716FA"/>
    <w:pPr>
      <w:tabs>
        <w:tab w:val="left" w:pos="264"/>
      </w:tabs>
      <w:spacing w:after="0" w:line="480" w:lineRule="auto"/>
      <w:ind w:left="264" w:hanging="264"/>
    </w:pPr>
  </w:style>
  <w:style w:type="paragraph" w:styleId="Revisin">
    <w:name w:val="Revision"/>
    <w:hidden/>
    <w:uiPriority w:val="99"/>
    <w:semiHidden/>
    <w:rsid w:val="005B697C"/>
    <w:rPr>
      <w:lang w:val="en-US"/>
    </w:rPr>
  </w:style>
  <w:style w:type="character" w:styleId="Textoennegrita">
    <w:name w:val="Strong"/>
    <w:basedOn w:val="Fuentedeprrafopredeter"/>
    <w:uiPriority w:val="22"/>
    <w:qFormat/>
    <w:locked/>
    <w:rsid w:val="0072712D"/>
    <w:rPr>
      <w:b/>
      <w:bCs/>
    </w:rPr>
  </w:style>
  <w:style w:type="character" w:styleId="nfasis">
    <w:name w:val="Emphasis"/>
    <w:basedOn w:val="Fuentedeprrafopredeter"/>
    <w:uiPriority w:val="20"/>
    <w:qFormat/>
    <w:locked/>
    <w:rsid w:val="008E22E0"/>
    <w:rPr>
      <w:rFonts w:cs="Times New Roman"/>
      <w:i/>
    </w:rPr>
  </w:style>
</w:styles>
</file>

<file path=word/webSettings.xml><?xml version="1.0" encoding="utf-8"?>
<w:webSettings xmlns:r="http://schemas.openxmlformats.org/officeDocument/2006/relationships" xmlns:w="http://schemas.openxmlformats.org/wordprocessingml/2006/main">
  <w:divs>
    <w:div w:id="735129019">
      <w:marLeft w:val="0"/>
      <w:marRight w:val="0"/>
      <w:marTop w:val="0"/>
      <w:marBottom w:val="0"/>
      <w:divBdr>
        <w:top w:val="none" w:sz="0" w:space="0" w:color="auto"/>
        <w:left w:val="none" w:sz="0" w:space="0" w:color="auto"/>
        <w:bottom w:val="none" w:sz="0" w:space="0" w:color="auto"/>
        <w:right w:val="none" w:sz="0" w:space="0" w:color="auto"/>
      </w:divBdr>
    </w:div>
    <w:div w:id="1869677295">
      <w:bodyDiv w:val="1"/>
      <w:marLeft w:val="0"/>
      <w:marRight w:val="0"/>
      <w:marTop w:val="0"/>
      <w:marBottom w:val="0"/>
      <w:divBdr>
        <w:top w:val="none" w:sz="0" w:space="0" w:color="auto"/>
        <w:left w:val="none" w:sz="0" w:space="0" w:color="auto"/>
        <w:bottom w:val="none" w:sz="0" w:space="0" w:color="auto"/>
        <w:right w:val="none" w:sz="0" w:space="0" w:color="auto"/>
      </w:divBdr>
      <w:divsChild>
        <w:div w:id="600602586">
          <w:marLeft w:val="0"/>
          <w:marRight w:val="0"/>
          <w:marTop w:val="0"/>
          <w:marBottom w:val="0"/>
          <w:divBdr>
            <w:top w:val="none" w:sz="0" w:space="0" w:color="auto"/>
            <w:left w:val="none" w:sz="0" w:space="0" w:color="auto"/>
            <w:bottom w:val="none" w:sz="0" w:space="0" w:color="auto"/>
            <w:right w:val="none" w:sz="0" w:space="0" w:color="auto"/>
          </w:divBdr>
        </w:div>
        <w:div w:id="505635850">
          <w:marLeft w:val="0"/>
          <w:marRight w:val="0"/>
          <w:marTop w:val="0"/>
          <w:marBottom w:val="0"/>
          <w:divBdr>
            <w:top w:val="none" w:sz="0" w:space="0" w:color="auto"/>
            <w:left w:val="none" w:sz="0" w:space="0" w:color="auto"/>
            <w:bottom w:val="none" w:sz="0" w:space="0" w:color="auto"/>
            <w:right w:val="none" w:sz="0" w:space="0" w:color="auto"/>
          </w:divBdr>
        </w:div>
      </w:divsChild>
    </w:div>
    <w:div w:id="187422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lloniz@recerca.clinic.ca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torres@recerca.clinic.cat"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1504</Words>
  <Characters>8578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CATIA CILLONIZ</dc:creator>
  <cp:lastModifiedBy>cilloniz</cp:lastModifiedBy>
  <cp:revision>2</cp:revision>
  <dcterms:created xsi:type="dcterms:W3CDTF">2026-01-09T09:26:00Z</dcterms:created>
  <dcterms:modified xsi:type="dcterms:W3CDTF">2026-01-09T09:26:00Z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id="UEM5A1OD"/&gt;&lt;style id="http://www.zotero.org/styles/american-journal-of-respiratory-and-critical-care-medicine" hasBibliography="1" bibliographyStyleHasBeenSet="1"/&gt;&lt;prefs&gt;&lt;pref name="fieldType"</vt:lpwstr>
  </property>
  <property fmtid="{D5CDD505-2E9C-101B-9397-08002B2CF9AE}" pid="3" name="ZOTERO_PREF_2">
    <vt:lpwstr> value="Field"/&gt;&lt;/prefs&gt;&lt;/data&gt;</vt:lpwstr>
  </property>
</Properties>
</file>