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F8656" w14:textId="77777777" w:rsidR="00440DBE" w:rsidRPr="00BC43EB" w:rsidRDefault="00440DBE" w:rsidP="00440DBE">
      <w:pPr>
        <w:pStyle w:val="Title"/>
      </w:pPr>
      <w:r>
        <w:t>Methods and Results Supplement for “</w:t>
      </w:r>
      <w:r w:rsidRPr="00BC43EB">
        <w:t>Evaluating the impact of prediction models in clinical practice: challenges and recommendations</w:t>
      </w:r>
      <w:r>
        <w:t>”</w:t>
      </w:r>
    </w:p>
    <w:p w14:paraId="359F8657" w14:textId="77777777" w:rsidR="007209B7" w:rsidRPr="00365BB4" w:rsidRDefault="007209B7" w:rsidP="007209B7">
      <w:pPr>
        <w:rPr>
          <w:lang w:val="en-US"/>
        </w:rPr>
      </w:pPr>
    </w:p>
    <w:p w14:paraId="359F8658" w14:textId="4C6003BC" w:rsidR="00440DBE" w:rsidRDefault="00440DBE" w:rsidP="00440DBE">
      <w:pPr>
        <w:rPr>
          <w:lang w:val="en-US"/>
        </w:rPr>
      </w:pPr>
      <w:r>
        <w:rPr>
          <w:lang w:val="en-US"/>
        </w:rPr>
        <w:t xml:space="preserve">This supplement describes the comparison of </w:t>
      </w:r>
      <w:r w:rsidRPr="00440DBE">
        <w:rPr>
          <w:lang w:val="en-US"/>
        </w:rPr>
        <w:t xml:space="preserve">two consecutive impact studies </w:t>
      </w:r>
      <w:r>
        <w:rPr>
          <w:lang w:val="en-US"/>
        </w:rPr>
        <w:t xml:space="preserve">in which we implemented </w:t>
      </w:r>
      <w:r w:rsidRPr="00440DBE">
        <w:rPr>
          <w:lang w:val="en-US"/>
        </w:rPr>
        <w:t>a specific prediction model for postoperative nausea and vomiting (PONV)</w:t>
      </w:r>
      <w:r>
        <w:rPr>
          <w:lang w:val="en-US"/>
        </w:rPr>
        <w:t xml:space="preserve"> in two different formats.</w:t>
      </w:r>
      <w:r w:rsidRPr="00BC43EB">
        <w:fldChar w:fldCharType="begin" w:fldLock="1"/>
      </w:r>
      <w:r w:rsidR="00B71E75">
        <w:rPr>
          <w:lang w:val="en-US"/>
        </w:rPr>
        <w:instrText>ADDIN CSL_CITATION { "citationItems" : [ { "id" : "ITEM-1", "itemData" : { "DOI" : "10.1097/ALN.0000000000000009", "ISSN" : "1528-1175", "PMID" : "24105403", "abstract" : "BACKGROUND Clinical prediction models have been shown to have moderate sensitivity and specificity, yet their use will depend on implementation in clinical practice. The authors hypothesized that implementation of a prediction model for postoperative nausea and vomiting (PONV) would lower the PONV incidence by stimulating anesthesiologists to administer more \"risk-tailored\" prophylaxis to patients. METHODS A single-center, cluster-randomized trial was performed in 12,032 elective surgical patients receiving anesthesia from 79 anesthesiologists. Anesthesiologists were randomized to either exposure or nonexposure to automated risk calculations for PONV (without patient-specific recommendations on prophylactic antiemetics). Anesthesiologists who treated less than 50 enrolled patients were excluded during the analysis to avoid too small clusters, yielding 11,613 patients and 57 anesthesiologists (intervention group: 5,471 and 31; care-as-usual group: 6,142 and 26). The 24-h incidence of PONV (primary outcome) and the number of prophylactic antiemetics administered per patient were studied for risk-dependent differences between allocation groups. RESULTS There were no differences in PONV incidence between allocation groups (crude incidence intervention group 41%, care-as-usual group 43%; odds ratio, 0.97; 95% CI, 0.87-1.1; risk-dependent odds ratio, 0.92; 95% CI, 0.80-1.1). Nevertheless, intervention-group anesthesiologists administered more prophylactic antiemetics (rate ratio, 2.0; 95% CI, 1.6-2.4) and more risk-tailored than care-as-usual-group anesthesiologists (risk-dependent rate ratio, 1.6; 95% CI, 1.3-2.0). CONCLUSIONS Implementation of a PONV prediction model did not reduce the PONV incidence despite increased antiemetic prescription in high-risk patients by anesthesiologists. Before implementing prediction models into clinical practice, implementation studies that include patient outcomes as an endpoint are needed.", "author" : [ { "dropping-particle" : "", "family" : "Kappen", "given" : "Teus H", "non-dropping-particle" : "", "parse-names" : false, "suffix" : "" }, { "dropping-particle" : "", "family" : "Moons", "given" : "Karel G M", "non-dropping-particle" : "", "parse-names" : false, "suffix" : "" }, { "dropping-particle" : "", "family" : "Wolfswinkel", "given" : "Leo", "non-dropping-particle" : "van", "parse-names" : false, "suffix" : "" }, { "dropping-particle" : "", "family" : "Kalkman", "given" : "Cornelis J", "non-dropping-particle" : "", "parse-names" : false, "suffix" : "" }, { "dropping-particle" : "", "family" : "Vergouwe", "given" : "Yvonne", "non-dropping-particle" : "", "parse-names" : false, "suffix" : "" }, { "dropping-particle" : "", "family" : "Klei", "given" : "Wilton A", "non-dropping-particle" : "van", "parse-names" : false, "suffix" : "" } ], "container-title" : "Anesthesiology", "id" : "ITEM-1", "issue" : "2", "issued" : { "date-parts" : [ [ "2014", "2" ] ] }, "page" : "343-54", "title" : "Impact of risk assessments on prophylactic antiemetic prescription and the incidence of postoperative nausea and vomiting: a cluster-randomized trial.", "type" : "article-journal", "volume" : "120" }, "uris" : [ "http://www.mendeley.com/documents/?uuid=9d1fdf42-d322-4293-b33b-a1317c73e2d1" ] }, { "id" : "ITEM-2", "itemData" : { "DOI" : "10.1093/bja/aeu321", "ISSN" : "1471-6771", "PMID" : "25274048", "abstract" : "BACKGROUND In a large cluster-randomized trial on the impact of a prediction model, presenting the calculated risk of postoperative nausea and vomiting (PONV) on-screen (assistive approach) increased the administration of risk-dependent PONV prophylaxis by anaesthetists. This change in therapeutic decision-making did not improve the patient outcome; that is, the incidence of PONV. The present study aimed to quantify the effects of adding a specific therapeutic recommendation to the predicted risk (directive approach) on PONV prophylaxis decision-making and the incidence of PONV. METHODS A prospective before-after study was conducted in 1483 elective surgical inpatients. The before-period included care-as-usual and the after-period included the directive risk-based (intervention) strategy. Risk-dependent effects on the administered number of prophylactic antiemetics and incidence of PONV were analysed by mixed-effects regression analysis. RESULTS During the intervention period anaesthetists administered 0.5 [95% confidence intervals (CIs): 0.4-0.6] more antiemetics for patients identified as being at greater risk of PONV. This directive approach led to a reduction in PONV [odds ratio (OR): 0.60, 95% CI: 0.43-0.83], with an even greater reduction in PONV in high-risk patients (OR: 0.45, 95% CI: 0.28-0.72). CONCLUSIONS Anaesthetists administered more prophylactic antiemetics when a directive approach was used for risk-tailored intervention compared with care-as-usual. In contrast to the previously studied assistive approach, the increase in PONV prophylaxis now resulted in a lower PONV incidence, particularly in high-risk patients. When one aims for a truly 'PONV-free hospital', a more liberal use of prophylactic antiemetics must be accepted and lower-risk thresholds should be set for the actionable recommendations.", "author" : [ { "dropping-particle" : "", "family" : "Kappen", "given" : "Teus H", "non-dropping-particle" : "", "parse-names" : false, "suffix" : "" }, { "dropping-particle" : "", "family" : "Vergouwe", "given" : "Y.", "non-dropping-particle" : "", "parse-names" : false, "suffix" : "" }, { "dropping-particle" : "", "family" : "Wolfswinkel", "given" : "L", "non-dropping-particle" : "van", "parse-names" : false, "suffix" : "" }, { "dropping-particle" : "", "family" : "Kalkman", "given" : "C.J. J", "non-dropping-particle" : "", "parse-names" : false, "suffix" : "" }, { "dropping-particle" : "", "family" : "Moons", "given" : "K.G.M. G M", "non-dropping-particle" : "", "parse-names" : false, "suffix" : "" }, { "dropping-particle" : "", "family" : "Klei", "given" : "W.A. A", "non-dropping-particle" : "van", "parse-names" : false, "suffix" : "" } ], "container-title" : "British journal of anaesthesia", "id" : "ITEM-2", "issue" : "2", "issued" : { "date-parts" : [ [ "2015", "2" ] ] }, "page" : "252-60", "title" : "Impact of adding therapeutic recommendations to risk assessments from a prediction model for postoperative nausea and vomiting.", "type" : "article-journal", "volume" : "114" }, "uris" : [ "http://www.mendeley.com/documents/?uuid=d5dff424-230d-403f-b126-8a3d01f2b379" ] } ], "mendeley" : { "formattedCitation" : "[1, 2]", "plainTextFormattedCitation" : "[1, 2]", "previouslyFormattedCitation" : "&lt;sup&gt;1,2&lt;/sup&gt;" }, "properties" : { "noteIndex" : 0 }, "schema" : "https://github.com/citation-style-language/schema/raw/master/csl-citation.json" }</w:instrText>
      </w:r>
      <w:r w:rsidRPr="00BC43EB">
        <w:fldChar w:fldCharType="separate"/>
      </w:r>
      <w:r w:rsidR="00B71E75" w:rsidRPr="00B71E75">
        <w:rPr>
          <w:noProof/>
          <w:lang w:val="en-US"/>
        </w:rPr>
        <w:t>[1, 2]</w:t>
      </w:r>
      <w:r w:rsidRPr="00BC43EB">
        <w:fldChar w:fldCharType="end"/>
      </w:r>
      <w:r w:rsidRPr="00440DBE">
        <w:rPr>
          <w:lang w:val="en-US"/>
        </w:rPr>
        <w:t xml:space="preserve"> </w:t>
      </w:r>
      <w:r w:rsidR="00C32027">
        <w:rPr>
          <w:lang w:val="en-US"/>
        </w:rPr>
        <w:t>The first format was</w:t>
      </w:r>
      <w:r w:rsidR="00C56F62">
        <w:rPr>
          <w:lang w:val="en-US"/>
        </w:rPr>
        <w:t xml:space="preserve"> an ‘assistive’ approach </w:t>
      </w:r>
      <w:r w:rsidR="00C56F62" w:rsidRPr="005247DF">
        <w:rPr>
          <w:lang w:val="en-US"/>
        </w:rPr>
        <w:t xml:space="preserve">– i.e. presenting predicted risks </w:t>
      </w:r>
      <w:r w:rsidR="00C56F62">
        <w:rPr>
          <w:lang w:val="en-US"/>
        </w:rPr>
        <w:t xml:space="preserve">to physicians without any </w:t>
      </w:r>
      <w:r w:rsidR="00C56F62" w:rsidRPr="005247DF">
        <w:rPr>
          <w:lang w:val="en-US"/>
        </w:rPr>
        <w:t xml:space="preserve">therapeutic recommendations – </w:t>
      </w:r>
      <w:r w:rsidR="00C56F62">
        <w:rPr>
          <w:lang w:val="en-US"/>
        </w:rPr>
        <w:t xml:space="preserve">and </w:t>
      </w:r>
      <w:r w:rsidR="00C32027">
        <w:rPr>
          <w:lang w:val="en-US"/>
        </w:rPr>
        <w:t xml:space="preserve">the second format was </w:t>
      </w:r>
      <w:r w:rsidR="00C56F62">
        <w:rPr>
          <w:lang w:val="en-US"/>
        </w:rPr>
        <w:t xml:space="preserve">a ‘directive’ approach </w:t>
      </w:r>
      <w:r w:rsidR="00C56F62" w:rsidRPr="005247DF">
        <w:rPr>
          <w:lang w:val="en-US"/>
        </w:rPr>
        <w:t xml:space="preserve">– </w:t>
      </w:r>
      <w:r w:rsidR="00C56F62">
        <w:rPr>
          <w:lang w:val="en-US"/>
        </w:rPr>
        <w:t>i</w:t>
      </w:r>
      <w:r w:rsidR="00C56F62" w:rsidRPr="005247DF">
        <w:rPr>
          <w:lang w:val="en-US"/>
        </w:rPr>
        <w:t>.e. presenting predicted risks accompanied with non-obligatory, therapeutic recommendations</w:t>
      </w:r>
      <w:r w:rsidR="00C56F62">
        <w:rPr>
          <w:lang w:val="en-US"/>
        </w:rPr>
        <w:t xml:space="preserve"> on prophylactic PONV management. </w:t>
      </w:r>
      <w:r w:rsidR="00C32027">
        <w:rPr>
          <w:lang w:val="en-US"/>
        </w:rPr>
        <w:t xml:space="preserve">This supplement describes how we contrasted the </w:t>
      </w:r>
      <w:r w:rsidR="00C32027" w:rsidRPr="005247DF">
        <w:rPr>
          <w:lang w:val="en-US"/>
        </w:rPr>
        <w:t xml:space="preserve">findings </w:t>
      </w:r>
      <w:r w:rsidR="00C32027">
        <w:rPr>
          <w:lang w:val="en-US"/>
        </w:rPr>
        <w:t>of</w:t>
      </w:r>
      <w:r w:rsidR="00B3291D">
        <w:rPr>
          <w:lang w:val="en-US"/>
        </w:rPr>
        <w:t xml:space="preserve"> the assistive approach to the</w:t>
      </w:r>
      <w:r w:rsidR="00C32027">
        <w:rPr>
          <w:lang w:val="en-US"/>
        </w:rPr>
        <w:t xml:space="preserve"> findings of the directive approach. </w:t>
      </w:r>
      <w:r w:rsidR="00C56F62">
        <w:rPr>
          <w:lang w:val="en-US"/>
        </w:rPr>
        <w:t>The methods and results for the individual studies are summarized in this supplement and a more elaborate description is available in the original manuscripts.</w:t>
      </w:r>
    </w:p>
    <w:p w14:paraId="359F8659" w14:textId="77777777" w:rsidR="00440DBE" w:rsidRPr="004817FA" w:rsidRDefault="00440DBE" w:rsidP="00BF5CDB">
      <w:pPr>
        <w:pStyle w:val="Heading1"/>
        <w:rPr>
          <w:lang w:val="en-US"/>
        </w:rPr>
      </w:pPr>
      <w:r w:rsidRPr="004817FA">
        <w:rPr>
          <w:lang w:val="en-US"/>
        </w:rPr>
        <w:t>Methods</w:t>
      </w:r>
    </w:p>
    <w:p w14:paraId="359F865A" w14:textId="40E17101" w:rsidR="00672CF8" w:rsidRPr="005247DF" w:rsidRDefault="00672CF8" w:rsidP="00672CF8">
      <w:pPr>
        <w:pStyle w:val="Heading4"/>
        <w:rPr>
          <w:rFonts w:eastAsia="Arial"/>
          <w:lang w:val="en-US"/>
        </w:rPr>
      </w:pPr>
      <w:r w:rsidRPr="005247DF">
        <w:rPr>
          <w:rFonts w:eastAsia="Arial"/>
          <w:lang w:val="en-US"/>
        </w:rPr>
        <w:t>Design</w:t>
      </w:r>
      <w:r w:rsidR="00851EF2" w:rsidRPr="005247DF">
        <w:rPr>
          <w:rFonts w:eastAsia="Arial"/>
          <w:lang w:val="en-US"/>
        </w:rPr>
        <w:t xml:space="preserve"> and participants</w:t>
      </w:r>
    </w:p>
    <w:p w14:paraId="359F865B" w14:textId="1BF140FD" w:rsidR="00C56F62" w:rsidRDefault="00C56F62" w:rsidP="005174A4">
      <w:pPr>
        <w:rPr>
          <w:lang w:val="en-US"/>
        </w:rPr>
      </w:pPr>
      <w:r>
        <w:rPr>
          <w:lang w:val="en-US"/>
        </w:rPr>
        <w:t xml:space="preserve">The first impact study aimed to quantify the effect of the implementation of </w:t>
      </w:r>
      <w:r w:rsidRPr="005247DF">
        <w:rPr>
          <w:lang w:val="en-US"/>
        </w:rPr>
        <w:t xml:space="preserve">an assistive </w:t>
      </w:r>
      <w:r w:rsidR="00C32027">
        <w:rPr>
          <w:lang w:val="en-US"/>
        </w:rPr>
        <w:t>a</w:t>
      </w:r>
      <w:r w:rsidRPr="005247DF">
        <w:rPr>
          <w:lang w:val="en-US"/>
        </w:rPr>
        <w:t xml:space="preserve">pproach </w:t>
      </w:r>
      <w:r w:rsidRPr="005247DF">
        <w:rPr>
          <w:rFonts w:eastAsia="Arial"/>
          <w:lang w:val="en-US"/>
        </w:rPr>
        <w:t xml:space="preserve">on both </w:t>
      </w:r>
      <w:r w:rsidRPr="0025552D">
        <w:rPr>
          <w:rFonts w:eastAsia="Arial"/>
          <w:lang w:val="en-US"/>
        </w:rPr>
        <w:t>the administration of antiemetic prophylaxis</w:t>
      </w:r>
      <w:r w:rsidR="00BF5CDB">
        <w:rPr>
          <w:rFonts w:eastAsia="Arial"/>
          <w:lang w:val="en-US"/>
        </w:rPr>
        <w:t xml:space="preserve"> and </w:t>
      </w:r>
      <w:r w:rsidR="00BF5CDB" w:rsidRPr="005247DF">
        <w:rPr>
          <w:rFonts w:eastAsia="Arial"/>
          <w:lang w:val="en-US"/>
        </w:rPr>
        <w:t>the incidence of PONV</w:t>
      </w:r>
      <w:r>
        <w:rPr>
          <w:rFonts w:eastAsia="Arial"/>
          <w:lang w:val="en-US"/>
        </w:rPr>
        <w:t>.</w:t>
      </w:r>
      <w:r w:rsidR="00580B3C">
        <w:rPr>
          <w:rFonts w:eastAsia="Arial"/>
          <w:lang w:val="en-US"/>
        </w:rPr>
        <w:fldChar w:fldCharType="begin" w:fldLock="1"/>
      </w:r>
      <w:r w:rsidR="00B71E75">
        <w:rPr>
          <w:rFonts w:eastAsia="Arial"/>
          <w:lang w:val="en-US"/>
        </w:rPr>
        <w:instrText>ADDIN CSL_CITATION { "citationItems" : [ { "id" : "ITEM-1", "itemData" : { "DOI" : "10.1097/ALN.0000000000000009", "ISSN" : "1528-1175", "PMID" : "24105403", "abstract" : "BACKGROUND Clinical prediction models have been shown to have moderate sensitivity and specificity, yet their use will depend on implementation in clinical practice. The authors hypothesized that implementation of a prediction model for postoperative nausea and vomiting (PONV) would lower the PONV incidence by stimulating anesthesiologists to administer more \"risk-tailored\" prophylaxis to patients. METHODS A single-center, cluster-randomized trial was performed in 12,032 elective surgical patients receiving anesthesia from 79 anesthesiologists. Anesthesiologists were randomized to either exposure or nonexposure to automated risk calculations for PONV (without patient-specific recommendations on prophylactic antiemetics). Anesthesiologists who treated less than 50 enrolled patients were excluded during the analysis to avoid too small clusters, yielding 11,613 patients and 57 anesthesiologists (intervention group: 5,471 and 31; care-as-usual group: 6,142 and 26). The 24-h incidence of PONV (primary outcome) and the number of prophylactic antiemetics administered per patient were studied for risk-dependent differences between allocation groups. RESULTS There were no differences in PONV incidence between allocation groups (crude incidence intervention group 41%, care-as-usual group 43%; odds ratio, 0.97; 95% CI, 0.87-1.1; risk-dependent odds ratio, 0.92; 95% CI, 0.80-1.1). Nevertheless, intervention-group anesthesiologists administered more prophylactic antiemetics (rate ratio, 2.0; 95% CI, 1.6-2.4) and more risk-tailored than care-as-usual-group anesthesiologists (risk-dependent rate ratio, 1.6; 95% CI, 1.3-2.0). CONCLUSIONS Implementation of a PONV prediction model did not reduce the PONV incidence despite increased antiemetic prescription in high-risk patients by anesthesiologists. Before implementing prediction models into clinical practice, implementation studies that include patient outcomes as an endpoint are needed.", "author" : [ { "dropping-particle" : "", "family" : "Kappen", "given" : "Teus H", "non-dropping-particle" : "", "parse-names" : false, "suffix" : "" }, { "dropping-particle" : "", "family" : "Moons", "given" : "Karel G M", "non-dropping-particle" : "", "parse-names" : false, "suffix" : "" }, { "dropping-particle" : "", "family" : "Wolfswinkel", "given" : "Leo", "non-dropping-particle" : "van", "parse-names" : false, "suffix" : "" }, { "dropping-particle" : "", "family" : "Kalkman", "given" : "Cornelis J", "non-dropping-particle" : "", "parse-names" : false, "suffix" : "" }, { "dropping-particle" : "", "family" : "Vergouwe", "given" : "Yvonne", "non-dropping-particle" : "", "parse-names" : false, "suffix" : "" }, { "dropping-particle" : "", "family" : "Klei", "given" : "Wilton A", "non-dropping-particle" : "van", "parse-names" : false, "suffix" : "" } ], "container-title" : "Anesthesiology", "id" : "ITEM-1", "issue" : "2", "issued" : { "date-parts" : [ [ "2014", "2" ] ] }, "page" : "343-54", "title" : "Impact of risk assessments on prophylactic antiemetic prescription and the incidence of postoperative nausea and vomiting: a cluster-randomized trial.", "type" : "article-journal", "volume" : "120" }, "uris" : [ "http://www.mendeley.com/documents/?uuid=9d1fdf42-d322-4293-b33b-a1317c73e2d1" ] } ], "mendeley" : { "formattedCitation" : "[1]", "plainTextFormattedCitation" : "[1]", "previouslyFormattedCitation" : "&lt;sup&gt;1&lt;/sup&gt;" }, "properties" : { "noteIndex" : 0 }, "schema" : "https://github.com/citation-style-language/schema/raw/master/csl-citation.json" }</w:instrText>
      </w:r>
      <w:r w:rsidR="00580B3C">
        <w:rPr>
          <w:rFonts w:eastAsia="Arial"/>
          <w:lang w:val="en-US"/>
        </w:rPr>
        <w:fldChar w:fldCharType="separate"/>
      </w:r>
      <w:r w:rsidR="00B71E75" w:rsidRPr="00B71E75">
        <w:rPr>
          <w:rFonts w:eastAsia="Arial"/>
          <w:noProof/>
          <w:lang w:val="en-US"/>
        </w:rPr>
        <w:t>[1]</w:t>
      </w:r>
      <w:r w:rsidR="00580B3C">
        <w:rPr>
          <w:rFonts w:eastAsia="Arial"/>
          <w:lang w:val="en-US"/>
        </w:rPr>
        <w:fldChar w:fldCharType="end"/>
      </w:r>
      <w:r>
        <w:rPr>
          <w:rFonts w:eastAsia="Arial"/>
          <w:lang w:val="en-US"/>
        </w:rPr>
        <w:t xml:space="preserve"> </w:t>
      </w:r>
      <w:r>
        <w:rPr>
          <w:lang w:val="en-US"/>
        </w:rPr>
        <w:t>This study was a</w:t>
      </w:r>
      <w:r w:rsidRPr="009B0D00">
        <w:rPr>
          <w:lang w:val="en-US"/>
        </w:rPr>
        <w:t xml:space="preserve"> cluster-randomized trial, </w:t>
      </w:r>
      <w:r>
        <w:rPr>
          <w:lang w:val="en-US"/>
        </w:rPr>
        <w:t xml:space="preserve">in which </w:t>
      </w:r>
      <w:r w:rsidRPr="009B0D00">
        <w:rPr>
          <w:lang w:val="en-US"/>
        </w:rPr>
        <w:t xml:space="preserve">physicians </w:t>
      </w:r>
      <w:r>
        <w:rPr>
          <w:lang w:val="en-US"/>
        </w:rPr>
        <w:t xml:space="preserve">(i.e. Anesthesiologists) </w:t>
      </w:r>
      <w:r w:rsidRPr="009B0D00">
        <w:rPr>
          <w:lang w:val="en-US"/>
        </w:rPr>
        <w:t>were randomized to either the assist</w:t>
      </w:r>
      <w:r>
        <w:rPr>
          <w:lang w:val="en-US"/>
        </w:rPr>
        <w:t xml:space="preserve">ive prediction model </w:t>
      </w:r>
      <w:r w:rsidRPr="00F9435B">
        <w:rPr>
          <w:lang w:val="en-US"/>
        </w:rPr>
        <w:t>or to care-as-usual.</w:t>
      </w:r>
      <w:r>
        <w:rPr>
          <w:lang w:val="en-US"/>
        </w:rPr>
        <w:t xml:space="preserve"> The study was </w:t>
      </w:r>
      <w:r w:rsidRPr="005247DF">
        <w:rPr>
          <w:lang w:val="en-US"/>
        </w:rPr>
        <w:t xml:space="preserve">conducted at the Anesthesiology Department of a Dutch university hospital </w:t>
      </w:r>
      <w:r>
        <w:rPr>
          <w:lang w:val="en-US"/>
        </w:rPr>
        <w:t xml:space="preserve">(UMC Utrecht) </w:t>
      </w:r>
      <w:r w:rsidRPr="005247DF">
        <w:rPr>
          <w:lang w:val="en-US"/>
        </w:rPr>
        <w:t>in 20</w:t>
      </w:r>
      <w:r>
        <w:rPr>
          <w:lang w:val="en-US"/>
        </w:rPr>
        <w:t>06-2007</w:t>
      </w:r>
      <w:r w:rsidRPr="005247DF">
        <w:rPr>
          <w:lang w:val="en-US"/>
        </w:rPr>
        <w:t>.</w:t>
      </w:r>
    </w:p>
    <w:p w14:paraId="359F865C" w14:textId="7D4BA298" w:rsidR="00520103" w:rsidRDefault="00AB4D4D" w:rsidP="00BF5CDB">
      <w:pPr>
        <w:pStyle w:val="Normal-Indent"/>
      </w:pPr>
      <w:r w:rsidRPr="005247DF">
        <w:t xml:space="preserve">The </w:t>
      </w:r>
      <w:r w:rsidR="00440DBE">
        <w:t xml:space="preserve">second impact </w:t>
      </w:r>
      <w:r w:rsidRPr="005247DF">
        <w:t xml:space="preserve">study </w:t>
      </w:r>
      <w:r w:rsidR="00440DBE" w:rsidRPr="005247DF">
        <w:t>aimed to quantify the effects of a directive PONV prediction model approach</w:t>
      </w:r>
      <w:r w:rsidR="00440DBE" w:rsidRPr="005A7101">
        <w:t>.</w:t>
      </w:r>
      <w:r w:rsidR="00580B3C">
        <w:fldChar w:fldCharType="begin" w:fldLock="1"/>
      </w:r>
      <w:r w:rsidR="00B71E75">
        <w:instrText>ADDIN CSL_CITATION { "citationItems" : [ { "id" : "ITEM-1", "itemData" : { "DOI" : "10.1093/bja/aeu321", "ISSN" : "1471-6771", "PMID" : "25274048", "abstract" : "BACKGROUND In a large cluster-randomized trial on the impact of a prediction model, presenting the calculated risk of postoperative nausea and vomiting (PONV) on-screen (assistive approach) increased the administration of risk-dependent PONV prophylaxis by anaesthetists. This change in therapeutic decision-making did not improve the patient outcome; that is, the incidence of PONV. The present study aimed to quantify the effects of adding a specific therapeutic recommendation to the predicted risk (directive approach) on PONV prophylaxis decision-making and the incidence of PONV. METHODS A prospective before-after study was conducted in 1483 elective surgical inpatients. The before-period included care-as-usual and the after-period included the directive risk-based (intervention) strategy. Risk-dependent effects on the administered number of prophylactic antiemetics and incidence of PONV were analysed by mixed-effects regression analysis. RESULTS During the intervention period anaesthetists administered 0.5 [95% confidence intervals (CIs): 0.4-0.6] more antiemetics for patients identified as being at greater risk of PONV. This directive approach led to a reduction in PONV [odds ratio (OR): 0.60, 95% CI: 0.43-0.83], with an even greater reduction in PONV in high-risk patients (OR: 0.45, 95% CI: 0.28-0.72). CONCLUSIONS Anaesthetists administered more prophylactic antiemetics when a directive approach was used for risk-tailored intervention compared with care-as-usual. In contrast to the previously studied assistive approach, the increase in PONV prophylaxis now resulted in a lower PONV incidence, particularly in high-risk patients. When one aims for a truly 'PONV-free hospital', a more liberal use of prophylactic antiemetics must be accepted and lower-risk thresholds should be set for the actionable recommendations.", "author" : [ { "dropping-particle" : "", "family" : "Kappen", "given" : "Teus H", "non-dropping-particle" : "", "parse-names" : false, "suffix" : "" }, { "dropping-particle" : "", "family" : "Vergouwe", "given" : "Y.", "non-dropping-particle" : "", "parse-names" : false, "suffix" : "" }, { "dropping-particle" : "", "family" : "Wolfswinkel", "given" : "L", "non-dropping-particle" : "van", "parse-names" : false, "suffix" : "" }, { "dropping-particle" : "", "family" : "Kalkman", "given" : "C.J. J", "non-dropping-particle" : "", "parse-names" : false, "suffix" : "" }, { "dropping-particle" : "", "family" : "Moons", "given" : "K.G.M. G M", "non-dropping-particle" : "", "parse-names" : false, "suffix" : "" }, { "dropping-particle" : "", "family" : "Klei", "given" : "W.A. A", "non-dropping-particle" : "van", "parse-names" : false, "suffix" : "" } ], "container-title" : "British journal of anaesthesia", "id" : "ITEM-1", "issue" : "2", "issued" : { "date-parts" : [ [ "2015", "2" ] ] }, "page" : "252-60", "title" : "Impact of adding therapeutic recommendations to risk assessments from a prediction model for postoperative nausea and vomiting.", "type" : "article-journal", "volume" : "114" }, "uris" : [ "http://www.mendeley.com/documents/?uuid=d5dff424-230d-403f-b126-8a3d01f2b379" ] } ], "mendeley" : { "formattedCitation" : "[2]", "plainTextFormattedCitation" : "[2]", "previouslyFormattedCitation" : "&lt;sup&gt;2&lt;/sup&gt;" }, "properties" : { "noteIndex" : 0 }, "schema" : "https://github.com/citation-style-language/schema/raw/master/csl-citation.json" }</w:instrText>
      </w:r>
      <w:r w:rsidR="00580B3C">
        <w:fldChar w:fldCharType="separate"/>
      </w:r>
      <w:r w:rsidR="00B71E75" w:rsidRPr="00B71E75">
        <w:rPr>
          <w:noProof/>
        </w:rPr>
        <w:t>[2]</w:t>
      </w:r>
      <w:r w:rsidR="00580B3C">
        <w:fldChar w:fldCharType="end"/>
      </w:r>
      <w:r w:rsidR="00440DBE" w:rsidRPr="005A7101">
        <w:t xml:space="preserve"> </w:t>
      </w:r>
      <w:r w:rsidR="00C56F62">
        <w:t xml:space="preserve">It </w:t>
      </w:r>
      <w:r w:rsidRPr="005247DF">
        <w:t xml:space="preserve">was a </w:t>
      </w:r>
      <w:r w:rsidR="00215CC5">
        <w:t xml:space="preserve">prospective </w:t>
      </w:r>
      <w:r w:rsidR="005174A4" w:rsidRPr="005247DF">
        <w:t xml:space="preserve">before-after </w:t>
      </w:r>
      <w:r w:rsidR="00215CC5">
        <w:t>cohort</w:t>
      </w:r>
      <w:r w:rsidR="00215CC5" w:rsidRPr="005247DF">
        <w:t xml:space="preserve"> </w:t>
      </w:r>
      <w:r w:rsidR="005174A4" w:rsidRPr="005247DF">
        <w:t>study</w:t>
      </w:r>
      <w:r w:rsidR="00797F9C" w:rsidRPr="005247DF">
        <w:t>,</w:t>
      </w:r>
      <w:r w:rsidR="005174A4" w:rsidRPr="005247DF">
        <w:t xml:space="preserve"> </w:t>
      </w:r>
      <w:r w:rsidR="00797F9C" w:rsidRPr="005247DF">
        <w:t xml:space="preserve">conducted at the </w:t>
      </w:r>
      <w:r w:rsidR="00C32027">
        <w:t xml:space="preserve">same </w:t>
      </w:r>
      <w:r w:rsidR="00797F9C" w:rsidRPr="005247DF">
        <w:lastRenderedPageBreak/>
        <w:t xml:space="preserve">Anesthesiology Department </w:t>
      </w:r>
      <w:r w:rsidR="00C32027">
        <w:t xml:space="preserve">in </w:t>
      </w:r>
      <w:r w:rsidR="00797F9C" w:rsidRPr="005247DF">
        <w:t xml:space="preserve">2010. </w:t>
      </w:r>
      <w:r w:rsidR="00C56F62" w:rsidRPr="009B0D00">
        <w:t>An overview of methodological differences between the two studies is presented in Figure 1</w:t>
      </w:r>
      <w:r w:rsidR="00C32027">
        <w:t xml:space="preserve"> of the manuscript</w:t>
      </w:r>
      <w:r w:rsidR="00C56F62" w:rsidRPr="009B0D00">
        <w:t>.</w:t>
      </w:r>
    </w:p>
    <w:p w14:paraId="359F865D" w14:textId="77777777" w:rsidR="00C56F62" w:rsidRDefault="00C56F62" w:rsidP="005174A4">
      <w:pPr>
        <w:rPr>
          <w:lang w:val="en-US"/>
        </w:rPr>
      </w:pPr>
    </w:p>
    <w:p w14:paraId="359F865E" w14:textId="77777777" w:rsidR="00C32027" w:rsidRDefault="00FA244D" w:rsidP="00C32027">
      <w:pPr>
        <w:rPr>
          <w:lang w:val="en-US"/>
        </w:rPr>
      </w:pPr>
      <w:r w:rsidRPr="005247DF">
        <w:rPr>
          <w:rFonts w:eastAsia="Arial"/>
          <w:lang w:val="en-US"/>
        </w:rPr>
        <w:t xml:space="preserve">All adult patients undergoing general anesthesia for elective, non-ambulatory surgery who </w:t>
      </w:r>
      <w:r w:rsidR="00BD4B16" w:rsidRPr="005247DF">
        <w:rPr>
          <w:rFonts w:eastAsia="Arial"/>
          <w:lang w:val="en-US"/>
        </w:rPr>
        <w:t xml:space="preserve">had </w:t>
      </w:r>
      <w:r w:rsidRPr="005247DF">
        <w:rPr>
          <w:rFonts w:eastAsia="Arial"/>
          <w:lang w:val="en-US"/>
        </w:rPr>
        <w:t>visited the outpatient pre</w:t>
      </w:r>
      <w:r w:rsidR="00DA13C2">
        <w:rPr>
          <w:rFonts w:eastAsia="Arial"/>
          <w:lang w:val="en-US"/>
        </w:rPr>
        <w:t>anesthesia</w:t>
      </w:r>
      <w:r w:rsidRPr="005247DF">
        <w:rPr>
          <w:rFonts w:eastAsia="Arial"/>
          <w:lang w:val="en-US"/>
        </w:rPr>
        <w:t xml:space="preserve"> evaluation clini</w:t>
      </w:r>
      <w:r w:rsidR="00BD4B16" w:rsidRPr="005247DF">
        <w:rPr>
          <w:rFonts w:eastAsia="Arial"/>
          <w:lang w:val="en-US"/>
        </w:rPr>
        <w:t>c were eligible for th</w:t>
      </w:r>
      <w:r w:rsidR="000979EC" w:rsidRPr="005247DF">
        <w:rPr>
          <w:rFonts w:eastAsia="Arial"/>
          <w:lang w:val="en-US"/>
        </w:rPr>
        <w:t xml:space="preserve">e present </w:t>
      </w:r>
      <w:r w:rsidR="00BD4B16" w:rsidRPr="005247DF">
        <w:rPr>
          <w:rFonts w:eastAsia="Arial"/>
          <w:lang w:val="en-US"/>
        </w:rPr>
        <w:t>study</w:t>
      </w:r>
      <w:r w:rsidR="000979EC" w:rsidRPr="005247DF">
        <w:rPr>
          <w:rFonts w:eastAsia="Arial"/>
          <w:lang w:val="en-US"/>
        </w:rPr>
        <w:t xml:space="preserve">. </w:t>
      </w:r>
      <w:r w:rsidR="00C32027" w:rsidRPr="00F336FB">
        <w:rPr>
          <w:rFonts w:eastAsia="Arial"/>
          <w:lang w:val="en-US"/>
        </w:rPr>
        <w:t xml:space="preserve">Both ambulatory and non-ambulatory patients were enrolled in </w:t>
      </w:r>
      <w:r w:rsidR="00C32027">
        <w:rPr>
          <w:rFonts w:eastAsia="Arial"/>
          <w:lang w:val="en-US"/>
        </w:rPr>
        <w:t>the assistive study</w:t>
      </w:r>
      <w:r w:rsidR="00C32027" w:rsidRPr="00F336FB">
        <w:rPr>
          <w:rFonts w:eastAsia="Arial"/>
          <w:lang w:val="en-US"/>
        </w:rPr>
        <w:t>. To compare the effectiveness of the directive versus assistive</w:t>
      </w:r>
      <w:r w:rsidR="00C32027" w:rsidRPr="00F8666B">
        <w:rPr>
          <w:rFonts w:eastAsia="Arial"/>
          <w:lang w:val="en-US"/>
        </w:rPr>
        <w:t xml:space="preserve"> prediction model approach, all ambulatory patients from the </w:t>
      </w:r>
      <w:r w:rsidR="00C32027">
        <w:rPr>
          <w:rFonts w:eastAsia="Arial"/>
          <w:lang w:val="en-US"/>
        </w:rPr>
        <w:t>assistive study</w:t>
      </w:r>
      <w:r w:rsidR="00C32027" w:rsidRPr="00F8666B">
        <w:rPr>
          <w:rFonts w:eastAsia="Arial"/>
          <w:lang w:val="en-US"/>
        </w:rPr>
        <w:t xml:space="preserve"> were excluded for the present analyses</w:t>
      </w:r>
      <w:r w:rsidR="00C32027" w:rsidRPr="006D3985">
        <w:rPr>
          <w:rFonts w:eastAsia="Arial"/>
          <w:lang w:val="en-US"/>
        </w:rPr>
        <w:t>.</w:t>
      </w:r>
    </w:p>
    <w:p w14:paraId="359F865F" w14:textId="2BC2C7C3" w:rsidR="000979EC" w:rsidRPr="00335B53" w:rsidRDefault="00FA244D" w:rsidP="00566320">
      <w:pPr>
        <w:rPr>
          <w:rFonts w:eastAsia="Arial"/>
          <w:lang w:val="en-US"/>
        </w:rPr>
      </w:pPr>
      <w:r w:rsidRPr="005247DF">
        <w:rPr>
          <w:rFonts w:eastAsia="Arial"/>
          <w:lang w:val="en-US"/>
        </w:rPr>
        <w:t>Exclusion criteria were pregnancy, post</w:t>
      </w:r>
      <w:r w:rsidR="00986663">
        <w:rPr>
          <w:rFonts w:eastAsia="Arial"/>
          <w:lang w:val="en-US"/>
        </w:rPr>
        <w:t>operative</w:t>
      </w:r>
      <w:r w:rsidRPr="005247DF">
        <w:rPr>
          <w:rFonts w:eastAsia="Arial"/>
          <w:lang w:val="en-US"/>
        </w:rPr>
        <w:t xml:space="preserve"> admission to the intensive care unit</w:t>
      </w:r>
      <w:r w:rsidR="009939E9" w:rsidRPr="005247DF">
        <w:rPr>
          <w:rFonts w:eastAsia="Arial"/>
          <w:lang w:val="en-US"/>
        </w:rPr>
        <w:t>, overnight ventilation at the postanesthesia care unit,</w:t>
      </w:r>
      <w:r w:rsidRPr="005247DF">
        <w:rPr>
          <w:rFonts w:eastAsia="Arial"/>
          <w:lang w:val="en-US"/>
        </w:rPr>
        <w:t xml:space="preserve"> and inability to communicate in Dutch or English. All eligible patients from the time of</w:t>
      </w:r>
      <w:r w:rsidRPr="004E6975">
        <w:rPr>
          <w:rFonts w:eastAsia="Arial"/>
          <w:lang w:val="en-US"/>
        </w:rPr>
        <w:t xml:space="preserve"> study initiation were automatically included using the anesthesia information management system.</w:t>
      </w:r>
    </w:p>
    <w:p w14:paraId="359F8660" w14:textId="77777777" w:rsidR="00945073" w:rsidRPr="00335B53" w:rsidRDefault="00945073" w:rsidP="00A30ED7">
      <w:pPr>
        <w:pStyle w:val="Heading4"/>
        <w:rPr>
          <w:rFonts w:eastAsia="Arial"/>
          <w:lang w:val="en-US"/>
        </w:rPr>
      </w:pPr>
      <w:r w:rsidRPr="00335B53">
        <w:rPr>
          <w:rFonts w:eastAsia="Arial"/>
          <w:lang w:val="en-US"/>
        </w:rPr>
        <w:t>The prediction model</w:t>
      </w:r>
    </w:p>
    <w:p w14:paraId="359F8661" w14:textId="66168B86" w:rsidR="00945073" w:rsidRPr="005247DF" w:rsidRDefault="00945073" w:rsidP="0028677C">
      <w:pPr>
        <w:rPr>
          <w:rFonts w:eastAsia="Arial"/>
          <w:lang w:val="en-US"/>
        </w:rPr>
      </w:pPr>
      <w:r w:rsidRPr="005247DF">
        <w:rPr>
          <w:rFonts w:eastAsia="Arial"/>
          <w:lang w:val="en-US"/>
        </w:rPr>
        <w:t>The implemented prediction model was originally developed in a population of a different university hospital in the Netherlands and had already been externally validated.</w:t>
      </w:r>
      <w:r w:rsidR="00580B3C">
        <w:rPr>
          <w:rFonts w:eastAsia="Arial"/>
          <w:lang w:val="en-US"/>
        </w:rPr>
        <w:fldChar w:fldCharType="begin" w:fldLock="1"/>
      </w:r>
      <w:r w:rsidR="00B71E75">
        <w:rPr>
          <w:rFonts w:eastAsia="Arial"/>
          <w:lang w:val="en-US"/>
        </w:rPr>
        <w:instrText>ADDIN CSL_CITATION { "citationItems" : [ { "id" : "ITEM-1", "itemData" : { "ISSN" : "0003-3022", "PMID" : "11575532", "abstract" : "BACKGROUND: To assess the incidence of postoperative nausea and vomiting after total intravenous anesthesia (TIVA) with propofol versus inhalational anesthesia with isoflurane-nitrous oxide, the authors performed a randomized trial in 2,010 unselected surgical patients in a Dutch academic institution. An economic evaluation was also performed. METHODS: Elective inpatients (1,447) and outpatients (563) were randomly assigned to inhalational anesthesia with isoflurane-nitrous oxide or TIVA with propofol-air. Cumulative incidence of postoperative nausea and vomiting was recorded for 72 h by blinded observers. Cost data of anesthetics, antiemetics, disposables, and equipment were collected. Cost differences caused by duration of postanesthesia care unit stay and hospitalization were analyzed. RESULTS: Total intravenous anesthesia reduced the absolute risk of postoperative nausea and vomiting up to 72 h by 15 among inpatients (from 61% to 46%, P &lt; 0.001) and by 18% among outpatients (from 46% to 28%, P &lt; 0.001). This effect was most pronounced in the early postoperative period. The cost of anesthesia was more than three times greater for propofol TIVA. Median duration of stay in the postanesthesia care unit was 135 min after isoflurane versus 115 min after TIVA for inpatients (P &lt; 0.001) and 160 min after isoflurane versus 150 min after TIVA for outpatients (P = 0.039). Duration of hospitalization was equal in both arms. CONCLUSION: Propofol TIVA results in a clinically relevant reduction of postoperative nausea and vomiting compared with isoflurane-nitrous oxide anesthesia (number needed to treat = 6). Both anesthetic techniques were otherwise similar. Anesthesia costs were more than three times greater for propofol TIVA, without economic gains from shorter stay in the postanesthesia care unit", "author" : [ { "dropping-particle" : "", "family" : "Visser", "given" : "K", "non-dropping-particle" : "", "parse-names" : false, "suffix" : "" }, { "dropping-particle" : "", "family" : "Hassink", "given" : "E a", "non-dropping-particle" : "", "parse-names" : false, "suffix" : "" }, { "dropping-particle" : "", "family" : "Bonsel", "given" : "G J", "non-dropping-particle" : "", "parse-names" : false, "suffix" : "" }, { "dropping-particle" : "", "family" : "Moen", "given" : "J", "non-dropping-particle" : "", "parse-names" : false, "suffix" : "" }, { "dropping-particle" : "", "family" : "Kalkman", "given" : "C J", "non-dropping-particle" : "", "parse-names" : false, "suffix" : "" } ], "container-title" : "Anesthesiology", "id" : "ITEM-1", "issue" : "3", "issued" : { "date-parts" : [ [ "2001", "9" ] ] }, "note" : "From Duplicate 1 ( \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Randomized controlled trial of total intravenous anesthesia with propofol versus inhalation anesthesia with isoflurane-nitrous oxide: postoperative nausea with vomiting and economic analysis\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 Visser, K.; Hassink, E. A.; Bonsel, G. J.; Moen, J.; Kalkman, C. J. )\n\n\n\n\n\n\n\n\n\n\n\n\n\n\n\n\n\n\n\n\n\n\n\n\n\n\n\n\n\n\n\n\n\n\n\n\n\n\n\n\n\n\n\n\n\n\n\n\n\n\n\n\n\n\n\n\n\n\n\n\n\n\n\n\n\n\n\n\n\n\n\n\n\n\n\n\n\n\n\n\n\n\n\n\n\n\n\n\n\n\n\n\n\n\n\n\n\n\n\n\n\n\n\n\n\n\n\n\n\n\n\n\n\n\n\n\n\n\n\n\n\n\n\n\n\n\n\n\n\n\n\n\n\n\n\n\n\n\n\n\n\n\n\n\n\n\n\n\n\n\n\n\n\n\n\n\n\n\n\n\n\n\n\n\n\n\n\n\n\n\n\n\n\n\n\n\n\n\n\n\n\n\n\n\n\n\n\n\n\n\n\n\n\n\n\n\n\n\n\n\n\n\n\n\n\n\n\n\n\n\n\n\n\n\n\n\n\n\n\n\n\n\n\n\n\n\n\n\n\n\n\n\n\n\n\n\n\n\n\n\n\n\n\n\n\n\n\n\n\n\n\n\n\n\n\nLR: 20061115; PUBM: Print; JID: 1300217; 10024-97-2 (Nitrous Oxide); 2078-54-8 (Propofol); 26675-46-7 (Isoflurane); ppublish", "page" : "616-26", "title" : "Randomized controlled trial of total intravenous anesthesia with propofol versus inhalation anesthesia with isoflurane-nitrous oxide: postoperative nausea with vomiting and economic analysis.", "type" : "article-journal", "volume" : "95" }, "uris" : [ "http://www.mendeley.com/documents/?uuid=160b4aff-a869-468f-b8af-ed17d6ce74a5" ] }, { "id" : "ITEM-2", "itemData" : { "author" : [ { "dropping-particle" : "", "family" : "Bosch", "given" : "J. E.", "non-dropping-particle" : "van den", "parse-names" : false, "suffix" : "" } ], "id" : "ITEM-2", "issued" : { "date-parts" : [ [ "2006" ] ] }, "number-of-pages" : "87-115", "publisher-place" : "Utrecht", "title" : "Prediction of postoperative nausea and vomiting. [PhD Thesis]", "type" : "thesis" }, "uris" : [ "http://www.mendeley.com/documents/?uuid=43e2fb32-8890-4b26-9cdc-21ea093f0faf" ] } ], "mendeley" : { "formattedCitation" : "[3, 4]", "plainTextFormattedCitation" : "[3, 4]", "previouslyFormattedCitation" : "&lt;sup&gt;3,4&lt;/sup&gt;" }, "properties" : { "noteIndex" : 0 }, "schema" : "https://github.com/citation-style-language/schema/raw/master/csl-citation.json" }</w:instrText>
      </w:r>
      <w:r w:rsidR="00580B3C">
        <w:rPr>
          <w:rFonts w:eastAsia="Arial"/>
          <w:lang w:val="en-US"/>
        </w:rPr>
        <w:fldChar w:fldCharType="separate"/>
      </w:r>
      <w:r w:rsidR="00B71E75" w:rsidRPr="00B71E75">
        <w:rPr>
          <w:rFonts w:eastAsia="Arial"/>
          <w:noProof/>
          <w:lang w:val="en-US"/>
        </w:rPr>
        <w:t>[3, 4]</w:t>
      </w:r>
      <w:r w:rsidR="00580B3C">
        <w:rPr>
          <w:rFonts w:eastAsia="Arial"/>
          <w:lang w:val="en-US"/>
        </w:rPr>
        <w:fldChar w:fldCharType="end"/>
      </w:r>
      <w:r w:rsidRPr="005247DF">
        <w:rPr>
          <w:rFonts w:eastAsia="Arial"/>
          <w:lang w:val="en-US"/>
        </w:rPr>
        <w:t xml:space="preserve"> The model was subsequently updated and optimized for implementation at the UMC Utrecht, where </w:t>
      </w:r>
      <w:r w:rsidR="00221E28" w:rsidRPr="005247DF">
        <w:rPr>
          <w:rFonts w:eastAsia="Arial"/>
          <w:lang w:val="en-US"/>
        </w:rPr>
        <w:t xml:space="preserve">both </w:t>
      </w:r>
      <w:r w:rsidRPr="005247DF">
        <w:rPr>
          <w:rFonts w:eastAsia="Arial"/>
          <w:lang w:val="en-US"/>
        </w:rPr>
        <w:t xml:space="preserve">the present </w:t>
      </w:r>
      <w:r w:rsidR="00DA13C2">
        <w:rPr>
          <w:rFonts w:eastAsia="Arial"/>
          <w:lang w:val="en-US"/>
        </w:rPr>
        <w:t xml:space="preserve">study </w:t>
      </w:r>
      <w:r w:rsidRPr="005247DF">
        <w:rPr>
          <w:rFonts w:eastAsia="Arial"/>
          <w:lang w:val="en-US"/>
        </w:rPr>
        <w:t xml:space="preserve">and the previous </w:t>
      </w:r>
      <w:r w:rsidR="00B8408D" w:rsidRPr="005247DF">
        <w:rPr>
          <w:rFonts w:eastAsia="Arial"/>
          <w:lang w:val="en-US"/>
        </w:rPr>
        <w:t xml:space="preserve">randomized </w:t>
      </w:r>
      <w:r w:rsidRPr="005247DF">
        <w:rPr>
          <w:rFonts w:eastAsia="Arial"/>
          <w:lang w:val="en-US"/>
        </w:rPr>
        <w:t>study took place.</w:t>
      </w:r>
      <w:r w:rsidR="00580B3C">
        <w:rPr>
          <w:rFonts w:eastAsia="Arial"/>
          <w:lang w:val="en-US"/>
        </w:rPr>
        <w:fldChar w:fldCharType="begin" w:fldLock="1"/>
      </w:r>
      <w:r w:rsidR="00B71E75">
        <w:rPr>
          <w:rFonts w:eastAsia="Arial"/>
          <w:lang w:val="en-US"/>
        </w:rPr>
        <w:instrText>ADDIN CSL_CITATION { "citationItems" : [ { "id" : "ITEM-1", "itemData" : { "DOI" : "10.1177/0272989X12439755", "ISSN" : "1552-681X", "PMID" : "22427369", "abstract" : "BACKGROUND: When planning to use a validated prediction model in new patients, adequate performance is not guaranteed. For example, changes in clinical practice over time or a different case mix than the original validation population may result in inaccurate risk predictions.\\n\\nOBJECTIVE: To demonstrate how clinical information can direct updating a prediction model and development of a strategy for handling missing predictor values in clinical practice.\\n\\nMETHODS: A previously derived and validated prediction model for postoperative nausea and vomiting was updated using a data set of 1847 patients. The update consisted of 1) changing the definition of an existing predictor, 2) reestimating the regression coefficient of a predictor, and 3) adding a new predictor to the model. The updated model was then validated in a new series of 3822 patients. Furthermore, several imputation models were considered to handle real-time missing values, so that possible missing predictor values could be anticipated during actual model use.\\n\\nRESULTS: Differences in clinical practice between our local population and the original derivation population guided the update strategy of the prediction model. The predictive accuracy of the updated model was better (c statistic, 0.68; calibration slope, 1.0) than the original model (c statistic, 0.62; calibration slope, 0.57). Inclusion of logistical variables in the imputation models, besides observed patient characteristics, contributed to a strategy to deal with missing predictor values at the time of risk calculation.\\n\\nCONCLUSIONS: Extensive knowledge of local, clinical processes provides crucial information to guide the process of adapting a prediction model to new clinical practices.", "author" : [ { "dropping-particle" : "", "family" : "Kappen", "given" : "Teus H", "non-dropping-particle" : "", "parse-names" : false, "suffix" : "" }, { "dropping-particle" : "", "family" : "Vergouwe", "given" : "Yvonne", "non-dropping-particle" : "", "parse-names" : false, "suffix" : "" }, { "dropping-particle" : "", "family" : "Klei", "given" : "Wilton A", "non-dropping-particle" : "van", "parse-names" : false, "suffix" : "" }, { "dropping-particle" : "", "family" : "Wolfswinkel", "given" : "Leo", "non-dropping-particle" : "van", "parse-names" : false, "suffix" : "" }, { "dropping-particle" : "", "family" : "Kalkman", "given" : "Cor J", "non-dropping-particle" : "", "parse-names" : false, "suffix" : "" }, { "dropping-particle" : "", "family" : "Moons", "given" : "Karel G M", "non-dropping-particle" : "", "parse-names" : false, "suffix" : "" } ], "container-title" : "Medical decision making : an international journal of the Society for Medical Decision Making", "id" : "ITEM-1", "issue" : "3", "issued" : { "date-parts" : [ [ "2012", "3", "16" ] ] }, "page" : "E1-10", "title" : "Adaptation of clinical prediction models for application in local settings.", "type" : "article-journal", "volume" : "32" }, "uris" : [ "http://www.mendeley.com/documents/?uuid=32805017-7090-4cc0-91b2-bb5cce87803e" ] } ], "mendeley" : { "formattedCitation" : "[5]", "plainTextFormattedCitation" : "[5]", "previouslyFormattedCitation" : "&lt;sup&gt;5&lt;/sup&gt;" }, "properties" : { "noteIndex" : 0 }, "schema" : "https://github.com/citation-style-language/schema/raw/master/csl-citation.json" }</w:instrText>
      </w:r>
      <w:r w:rsidR="00580B3C">
        <w:rPr>
          <w:rFonts w:eastAsia="Arial"/>
          <w:lang w:val="en-US"/>
        </w:rPr>
        <w:fldChar w:fldCharType="separate"/>
      </w:r>
      <w:r w:rsidR="00B71E75" w:rsidRPr="00B71E75">
        <w:rPr>
          <w:rFonts w:eastAsia="Arial"/>
          <w:noProof/>
          <w:lang w:val="en-US"/>
        </w:rPr>
        <w:t>[5]</w:t>
      </w:r>
      <w:r w:rsidR="00580B3C">
        <w:rPr>
          <w:rFonts w:eastAsia="Arial"/>
          <w:lang w:val="en-US"/>
        </w:rPr>
        <w:fldChar w:fldCharType="end"/>
      </w:r>
      <w:r w:rsidRPr="005247DF">
        <w:rPr>
          <w:rFonts w:eastAsia="Arial"/>
          <w:lang w:val="en-US"/>
        </w:rPr>
        <w:t xml:space="preserve"> The model consisted of seven predictor variables: age; gender; current smoking; type of surgery; inhalational anesthesia; ambulatory surgery; and history of motion sickness or PONV (for </w:t>
      </w:r>
      <w:r w:rsidR="00C32027">
        <w:rPr>
          <w:rFonts w:eastAsia="Arial"/>
          <w:lang w:val="en-US"/>
        </w:rPr>
        <w:t xml:space="preserve">a </w:t>
      </w:r>
      <w:r w:rsidRPr="005247DF">
        <w:rPr>
          <w:rFonts w:eastAsia="Arial"/>
          <w:lang w:val="en-US"/>
        </w:rPr>
        <w:t>full model description see</w:t>
      </w:r>
      <w:r w:rsidR="00C32027">
        <w:rPr>
          <w:rFonts w:eastAsia="Arial"/>
          <w:lang w:val="en-US"/>
        </w:rPr>
        <w:t xml:space="preserve"> T</w:t>
      </w:r>
      <w:r w:rsidRPr="005247DF">
        <w:rPr>
          <w:rFonts w:eastAsia="Arial"/>
          <w:lang w:val="en-US"/>
        </w:rPr>
        <w:t>able</w:t>
      </w:r>
      <w:r w:rsidR="00C32027">
        <w:rPr>
          <w:rFonts w:eastAsia="Arial"/>
          <w:lang w:val="en-US"/>
        </w:rPr>
        <w:t xml:space="preserve"> 1 of the manuscript</w:t>
      </w:r>
      <w:r w:rsidRPr="005247DF">
        <w:rPr>
          <w:rFonts w:eastAsia="Arial"/>
          <w:lang w:val="en-US"/>
        </w:rPr>
        <w:t>).</w:t>
      </w:r>
    </w:p>
    <w:p w14:paraId="359F8662" w14:textId="77777777" w:rsidR="00025826" w:rsidRPr="005247DF" w:rsidRDefault="00025826" w:rsidP="00025826">
      <w:pPr>
        <w:pStyle w:val="Heading4"/>
        <w:rPr>
          <w:lang w:val="en-US"/>
        </w:rPr>
      </w:pPr>
      <w:r w:rsidRPr="005247DF">
        <w:rPr>
          <w:lang w:val="en-US"/>
        </w:rPr>
        <w:t>Intervention</w:t>
      </w:r>
    </w:p>
    <w:p w14:paraId="359F8663" w14:textId="77777777" w:rsidR="00455C60" w:rsidRPr="00511BDD" w:rsidRDefault="00455C60" w:rsidP="00511BDD">
      <w:pPr>
        <w:pStyle w:val="Heading6"/>
        <w:rPr>
          <w:lang w:val="en-US"/>
        </w:rPr>
      </w:pPr>
      <w:r w:rsidRPr="00511BDD">
        <w:rPr>
          <w:lang w:val="en-US"/>
        </w:rPr>
        <w:t>In</w:t>
      </w:r>
      <w:r w:rsidR="000000CA" w:rsidRPr="00511BDD">
        <w:rPr>
          <w:lang w:val="en-US"/>
        </w:rPr>
        <w:t>tervention</w:t>
      </w:r>
      <w:r w:rsidRPr="00511BDD">
        <w:rPr>
          <w:lang w:val="en-US"/>
        </w:rPr>
        <w:t xml:space="preserve"> group</w:t>
      </w:r>
    </w:p>
    <w:p w14:paraId="359F8664" w14:textId="6A763DFB" w:rsidR="00CA4D9C" w:rsidRPr="005247DF" w:rsidRDefault="00E43647" w:rsidP="000C14C1">
      <w:pPr>
        <w:rPr>
          <w:lang w:val="en-US"/>
        </w:rPr>
      </w:pPr>
      <w:r w:rsidRPr="005247DF">
        <w:rPr>
          <w:rFonts w:eastAsia="Arial"/>
          <w:lang w:val="en-US"/>
        </w:rPr>
        <w:t>T</w:t>
      </w:r>
      <w:r w:rsidR="00C22152" w:rsidRPr="00416594">
        <w:rPr>
          <w:rFonts w:eastAsia="Arial"/>
          <w:lang w:val="en-US"/>
        </w:rPr>
        <w:t xml:space="preserve">he prediction model </w:t>
      </w:r>
      <w:r w:rsidRPr="008A68AF">
        <w:rPr>
          <w:rFonts w:eastAsia="Arial"/>
          <w:lang w:val="en-US"/>
        </w:rPr>
        <w:t xml:space="preserve">was implemented </w:t>
      </w:r>
      <w:r w:rsidR="00C22152" w:rsidRPr="008A68AF">
        <w:rPr>
          <w:rFonts w:eastAsia="Arial"/>
          <w:lang w:val="en-US"/>
        </w:rPr>
        <w:t xml:space="preserve">as a decision support </w:t>
      </w:r>
      <w:r w:rsidR="003F3EC2" w:rsidRPr="005247DF">
        <w:rPr>
          <w:rFonts w:eastAsia="Arial"/>
          <w:lang w:val="en-US"/>
        </w:rPr>
        <w:t xml:space="preserve">tool </w:t>
      </w:r>
      <w:r w:rsidRPr="005247DF">
        <w:rPr>
          <w:rFonts w:eastAsia="Arial"/>
          <w:lang w:val="en-US"/>
        </w:rPr>
        <w:t>in the anesthesia information management system</w:t>
      </w:r>
      <w:r w:rsidR="000000CA" w:rsidRPr="005247DF">
        <w:rPr>
          <w:rFonts w:eastAsia="Arial"/>
          <w:lang w:val="en-US"/>
        </w:rPr>
        <w:t xml:space="preserve"> (</w:t>
      </w:r>
      <w:r w:rsidR="00C32027">
        <w:rPr>
          <w:rFonts w:eastAsia="Arial"/>
          <w:lang w:val="en-US"/>
        </w:rPr>
        <w:t>AnStat</w:t>
      </w:r>
      <w:r w:rsidR="00534F16">
        <w:rPr>
          <w:rFonts w:eastAsia="Arial"/>
          <w:lang w:val="en-US"/>
        </w:rPr>
        <w:t>®</w:t>
      </w:r>
      <w:r w:rsidR="000000CA" w:rsidRPr="005247DF">
        <w:rPr>
          <w:rFonts w:eastAsia="Arial"/>
          <w:lang w:val="en-US"/>
        </w:rPr>
        <w:t>), a custom-made system written by one of the authors (LvW)</w:t>
      </w:r>
      <w:r w:rsidR="003F0E9C" w:rsidRPr="00365BB4">
        <w:rPr>
          <w:rFonts w:eastAsia="Arial"/>
          <w:lang w:val="en-US"/>
        </w:rPr>
        <w:t xml:space="preserve">. The </w:t>
      </w:r>
      <w:r w:rsidR="0086739D" w:rsidRPr="00365BB4">
        <w:rPr>
          <w:rFonts w:eastAsia="Arial"/>
          <w:lang w:val="en-US"/>
        </w:rPr>
        <w:t xml:space="preserve">model </w:t>
      </w:r>
      <w:r w:rsidR="00B8408D" w:rsidRPr="00365BB4">
        <w:rPr>
          <w:rFonts w:eastAsia="Arial"/>
          <w:lang w:val="en-US"/>
        </w:rPr>
        <w:t>presented a</w:t>
      </w:r>
      <w:r w:rsidR="0086739D" w:rsidRPr="00704F1C">
        <w:rPr>
          <w:rFonts w:eastAsia="Arial"/>
          <w:lang w:val="en-US"/>
        </w:rPr>
        <w:t xml:space="preserve"> patient’s predicted PONV risk</w:t>
      </w:r>
      <w:r w:rsidR="00C32027">
        <w:rPr>
          <w:rFonts w:eastAsia="Arial"/>
          <w:lang w:val="en-US"/>
        </w:rPr>
        <w:t xml:space="preserve"> as a percentage without any categorization. For the directive study, this risk was categorized in four risk </w:t>
      </w:r>
      <w:r w:rsidR="00C32027">
        <w:rPr>
          <w:rFonts w:eastAsia="Arial"/>
          <w:lang w:val="en-US"/>
        </w:rPr>
        <w:lastRenderedPageBreak/>
        <w:t>groups and was</w:t>
      </w:r>
      <w:r w:rsidR="0086739D" w:rsidRPr="00704F1C" w:rsidDel="0086739D">
        <w:rPr>
          <w:rFonts w:eastAsia="Arial"/>
          <w:lang w:val="en-US"/>
        </w:rPr>
        <w:t xml:space="preserve"> </w:t>
      </w:r>
      <w:r w:rsidR="0086739D" w:rsidRPr="00704F1C">
        <w:rPr>
          <w:rFonts w:eastAsia="Arial"/>
          <w:lang w:val="en-US"/>
        </w:rPr>
        <w:t xml:space="preserve">accompanied with </w:t>
      </w:r>
      <w:r w:rsidR="00C32027">
        <w:rPr>
          <w:rFonts w:eastAsia="Arial"/>
          <w:lang w:val="en-US"/>
        </w:rPr>
        <w:t xml:space="preserve">an </w:t>
      </w:r>
      <w:r w:rsidR="00DF6F5D" w:rsidRPr="00657300">
        <w:rPr>
          <w:rFonts w:eastAsia="Arial"/>
          <w:lang w:val="en-US"/>
        </w:rPr>
        <w:t>advi</w:t>
      </w:r>
      <w:r w:rsidR="00B105E1" w:rsidRPr="009C1213">
        <w:rPr>
          <w:rFonts w:eastAsia="Arial"/>
          <w:lang w:val="en-US"/>
        </w:rPr>
        <w:t>c</w:t>
      </w:r>
      <w:r w:rsidR="00DF6F5D" w:rsidRPr="009B0D00">
        <w:rPr>
          <w:rFonts w:eastAsia="Arial"/>
          <w:lang w:val="en-US"/>
        </w:rPr>
        <w:t xml:space="preserve">e on the </w:t>
      </w:r>
      <w:r w:rsidR="008B0772" w:rsidRPr="009B0D00">
        <w:rPr>
          <w:rFonts w:eastAsia="Arial"/>
          <w:lang w:val="en-US"/>
        </w:rPr>
        <w:t>number of</w:t>
      </w:r>
      <w:r w:rsidR="0086739D" w:rsidRPr="009B0D00">
        <w:rPr>
          <w:rFonts w:eastAsia="Arial"/>
          <w:lang w:val="en-US"/>
        </w:rPr>
        <w:t xml:space="preserve"> </w:t>
      </w:r>
      <w:r w:rsidR="008B0772" w:rsidRPr="009B0D00">
        <w:rPr>
          <w:rFonts w:eastAsia="Arial"/>
          <w:lang w:val="en-US"/>
        </w:rPr>
        <w:t>prop</w:t>
      </w:r>
      <w:r w:rsidR="00DF6F5D" w:rsidRPr="009B0D00">
        <w:rPr>
          <w:rFonts w:eastAsia="Arial"/>
          <w:lang w:val="en-US"/>
        </w:rPr>
        <w:t>hylactic antiemetics</w:t>
      </w:r>
      <w:r w:rsidR="0086739D" w:rsidRPr="00F9435B">
        <w:rPr>
          <w:rFonts w:eastAsia="Arial"/>
          <w:lang w:val="en-US"/>
        </w:rPr>
        <w:t xml:space="preserve"> </w:t>
      </w:r>
      <w:r w:rsidR="00B34CAB" w:rsidRPr="00F336FB">
        <w:rPr>
          <w:rFonts w:eastAsia="Arial"/>
          <w:lang w:val="en-US"/>
        </w:rPr>
        <w:t xml:space="preserve">to administer </w:t>
      </w:r>
      <w:r w:rsidR="0086739D" w:rsidRPr="00F336FB">
        <w:rPr>
          <w:rFonts w:eastAsia="Arial"/>
          <w:lang w:val="en-US"/>
        </w:rPr>
        <w:t xml:space="preserve">based on that </w:t>
      </w:r>
      <w:r w:rsidR="00141256">
        <w:rPr>
          <w:rFonts w:eastAsia="Arial"/>
          <w:lang w:val="en-US"/>
        </w:rPr>
        <w:t>individual</w:t>
      </w:r>
      <w:r w:rsidR="00B34CAB" w:rsidRPr="00F336FB">
        <w:rPr>
          <w:rFonts w:eastAsia="Arial"/>
          <w:lang w:val="en-US"/>
        </w:rPr>
        <w:t xml:space="preserve">’s </w:t>
      </w:r>
      <w:r w:rsidR="0086739D" w:rsidRPr="00696791">
        <w:rPr>
          <w:rFonts w:eastAsia="Arial"/>
          <w:lang w:val="en-US"/>
        </w:rPr>
        <w:t>risk</w:t>
      </w:r>
      <w:r w:rsidR="00DF6F5D" w:rsidRPr="00696791">
        <w:rPr>
          <w:rFonts w:eastAsia="Arial"/>
          <w:lang w:val="en-US"/>
        </w:rPr>
        <w:t>.</w:t>
      </w:r>
      <w:r w:rsidRPr="00F8666B">
        <w:rPr>
          <w:rFonts w:eastAsia="Arial"/>
          <w:lang w:val="en-US"/>
        </w:rPr>
        <w:t xml:space="preserve"> </w:t>
      </w:r>
      <w:r w:rsidR="009939E9" w:rsidRPr="00F8666B">
        <w:rPr>
          <w:rFonts w:eastAsia="Arial"/>
          <w:lang w:val="en-US"/>
        </w:rPr>
        <w:t xml:space="preserve">The anesthesia information management system automatically presented </w:t>
      </w:r>
      <w:r w:rsidR="009939E9" w:rsidRPr="006D3985">
        <w:rPr>
          <w:rFonts w:eastAsia="Arial"/>
          <w:lang w:val="en-US"/>
        </w:rPr>
        <w:t>t</w:t>
      </w:r>
      <w:r w:rsidR="00DF6F5D" w:rsidRPr="00B82D51">
        <w:rPr>
          <w:rFonts w:eastAsia="Arial"/>
          <w:lang w:val="en-US"/>
        </w:rPr>
        <w:t>h</w:t>
      </w:r>
      <w:r w:rsidR="0086739D" w:rsidRPr="00B82D51">
        <w:rPr>
          <w:rFonts w:eastAsia="Arial"/>
          <w:lang w:val="en-US"/>
        </w:rPr>
        <w:t xml:space="preserve">is risk and </w:t>
      </w:r>
      <w:r w:rsidR="00141256">
        <w:rPr>
          <w:rFonts w:eastAsia="Arial"/>
          <w:lang w:val="en-US"/>
        </w:rPr>
        <w:t xml:space="preserve">the </w:t>
      </w:r>
      <w:r w:rsidR="00DF6F5D" w:rsidRPr="00335B53">
        <w:rPr>
          <w:rFonts w:eastAsia="Arial"/>
          <w:lang w:val="en-US"/>
        </w:rPr>
        <w:t xml:space="preserve">recommendation </w:t>
      </w:r>
      <w:r w:rsidR="000000CA" w:rsidRPr="005247DF">
        <w:rPr>
          <w:rFonts w:eastAsia="Arial"/>
          <w:lang w:val="en-US"/>
        </w:rPr>
        <w:t xml:space="preserve">to the responsible </w:t>
      </w:r>
      <w:r w:rsidR="00C32027">
        <w:rPr>
          <w:rFonts w:eastAsia="Arial"/>
          <w:lang w:val="en-US"/>
        </w:rPr>
        <w:t>physician</w:t>
      </w:r>
      <w:r w:rsidR="000000CA" w:rsidRPr="005247DF">
        <w:rPr>
          <w:rFonts w:eastAsia="Arial"/>
          <w:lang w:val="en-US"/>
        </w:rPr>
        <w:t xml:space="preserve"> on </w:t>
      </w:r>
      <w:r w:rsidR="00141256">
        <w:rPr>
          <w:rFonts w:eastAsia="Arial"/>
          <w:lang w:val="en-US"/>
        </w:rPr>
        <w:t>the</w:t>
      </w:r>
      <w:r w:rsidR="009939E9" w:rsidRPr="005247DF">
        <w:rPr>
          <w:rFonts w:eastAsia="Arial"/>
          <w:lang w:val="en-US"/>
        </w:rPr>
        <w:t xml:space="preserve"> </w:t>
      </w:r>
      <w:r w:rsidR="000000CA" w:rsidRPr="005247DF">
        <w:rPr>
          <w:rFonts w:eastAsia="Arial"/>
          <w:lang w:val="en-US"/>
        </w:rPr>
        <w:t>computer</w:t>
      </w:r>
      <w:r w:rsidR="00DF6F5D" w:rsidRPr="005247DF">
        <w:rPr>
          <w:rFonts w:eastAsia="Arial"/>
          <w:lang w:val="en-US"/>
        </w:rPr>
        <w:t xml:space="preserve"> </w:t>
      </w:r>
      <w:r w:rsidR="000000CA" w:rsidRPr="005247DF">
        <w:rPr>
          <w:rFonts w:eastAsia="Arial"/>
          <w:lang w:val="en-US"/>
        </w:rPr>
        <w:t xml:space="preserve">screen </w:t>
      </w:r>
      <w:r w:rsidR="00DF6F5D" w:rsidRPr="005247DF">
        <w:rPr>
          <w:rFonts w:eastAsia="Arial"/>
          <w:lang w:val="en-US"/>
        </w:rPr>
        <w:t>during the anesthetic case</w:t>
      </w:r>
      <w:r w:rsidR="00C32027">
        <w:rPr>
          <w:rFonts w:eastAsia="Arial"/>
          <w:lang w:val="en-US"/>
        </w:rPr>
        <w:t xml:space="preserve">. </w:t>
      </w:r>
      <w:r w:rsidR="008A3898">
        <w:rPr>
          <w:rFonts w:eastAsia="Arial"/>
          <w:lang w:val="en-US"/>
        </w:rPr>
        <w:t xml:space="preserve">In both studies, the physicians </w:t>
      </w:r>
      <w:r w:rsidR="008A3898" w:rsidRPr="008A3898">
        <w:rPr>
          <w:rFonts w:eastAsia="Arial"/>
          <w:lang w:val="en-US"/>
        </w:rPr>
        <w:t>then decided if, which and how many prophylactic antiemetics would be administered in view of the patient’s individual risk</w:t>
      </w:r>
      <w:r w:rsidR="00C32027">
        <w:rPr>
          <w:rFonts w:eastAsia="Arial"/>
          <w:lang w:val="en-US"/>
        </w:rPr>
        <w:t xml:space="preserve"> or </w:t>
      </w:r>
      <w:r w:rsidR="00811294" w:rsidRPr="002B3203">
        <w:rPr>
          <w:rFonts w:eastAsia="Arial"/>
          <w:lang w:val="en-US"/>
        </w:rPr>
        <w:t>whether to follow the advice and administer prophylactic antiemetics accordingly.</w:t>
      </w:r>
    </w:p>
    <w:p w14:paraId="359F8665" w14:textId="77777777" w:rsidR="00C22152" w:rsidRPr="00705B68" w:rsidRDefault="00C32027" w:rsidP="00BF5CDB">
      <w:pPr>
        <w:pStyle w:val="Normal-Indent"/>
      </w:pPr>
      <w:r>
        <w:t xml:space="preserve">The </w:t>
      </w:r>
      <w:r w:rsidR="008A3898">
        <w:t xml:space="preserve">assistive study included several educational sessions </w:t>
      </w:r>
      <w:r w:rsidR="008A3898" w:rsidRPr="008A3898">
        <w:t xml:space="preserve">before patient enrollment, at the start and throughout the study period. </w:t>
      </w:r>
      <w:r w:rsidR="008A3898">
        <w:t xml:space="preserve">In addition, the physicians </w:t>
      </w:r>
      <w:r w:rsidR="008A3898" w:rsidRPr="008A3898">
        <w:t xml:space="preserve">received individualized feedback by email after the first twelve months of </w:t>
      </w:r>
      <w:r w:rsidR="008A3898">
        <w:t xml:space="preserve">the assistive </w:t>
      </w:r>
      <w:r w:rsidR="008A3898" w:rsidRPr="008A3898">
        <w:t>study.</w:t>
      </w:r>
      <w:r w:rsidR="008A3898">
        <w:t xml:space="preserve"> For the directive study, the </w:t>
      </w:r>
      <w:r w:rsidR="00CA4D9C" w:rsidRPr="005247DF">
        <w:t xml:space="preserve">implementation of the decision support tool was announced to all </w:t>
      </w:r>
      <w:r w:rsidR="008A3898">
        <w:t xml:space="preserve">physicians </w:t>
      </w:r>
      <w:r w:rsidR="00CA4D9C" w:rsidRPr="005247DF">
        <w:t>and anesthetic nurses in an email from the department head</w:t>
      </w:r>
      <w:r w:rsidR="008A3898">
        <w:t xml:space="preserve"> t</w:t>
      </w:r>
      <w:r w:rsidR="008A3898" w:rsidRPr="005247DF">
        <w:t>wo weeks before the start of the intervention period</w:t>
      </w:r>
      <w:r w:rsidR="00CA4D9C" w:rsidRPr="005247DF">
        <w:t>, including an attached instruction on the use of the decision s</w:t>
      </w:r>
      <w:r w:rsidR="008A3898">
        <w:t>upport tool. No other educational sessions or feedback reports were employed during the directive study.</w:t>
      </w:r>
    </w:p>
    <w:p w14:paraId="359F8666" w14:textId="77777777" w:rsidR="00134F5C" w:rsidRPr="0025552D" w:rsidRDefault="00134F5C" w:rsidP="00A30ED7">
      <w:pPr>
        <w:pStyle w:val="Heading6"/>
        <w:rPr>
          <w:b/>
          <w:lang w:val="en-US"/>
        </w:rPr>
      </w:pPr>
      <w:r w:rsidRPr="0025552D">
        <w:rPr>
          <w:lang w:val="en-US"/>
        </w:rPr>
        <w:t>Control group</w:t>
      </w:r>
    </w:p>
    <w:p w14:paraId="359F8667" w14:textId="77777777" w:rsidR="00134F5C" w:rsidRPr="00511BDD" w:rsidRDefault="008A3898" w:rsidP="00A30ED7">
      <w:pPr>
        <w:rPr>
          <w:lang w:val="en-US"/>
        </w:rPr>
      </w:pPr>
      <w:r>
        <w:rPr>
          <w:lang w:val="en-US"/>
        </w:rPr>
        <w:t xml:space="preserve">The control group was defined as care-as-usual, achieved by randomization of physicians to care-as-usual in the assistive study or care-as-usual in </w:t>
      </w:r>
      <w:r w:rsidR="00134F5C" w:rsidRPr="0025552D">
        <w:rPr>
          <w:lang w:val="en-US"/>
        </w:rPr>
        <w:t>period</w:t>
      </w:r>
      <w:r>
        <w:rPr>
          <w:lang w:val="en-US"/>
        </w:rPr>
        <w:t xml:space="preserve"> before the implementation of the intervention in the directive studied. Physicians of the control group </w:t>
      </w:r>
      <w:r w:rsidR="00134F5C" w:rsidRPr="002F0FD2">
        <w:rPr>
          <w:lang w:val="en-US"/>
        </w:rPr>
        <w:t xml:space="preserve">were not exposed to any automated prognostic information by a prediction model. Prophylactic management of PONV was not standardized in any way, which was according </w:t>
      </w:r>
      <w:r w:rsidR="00134F5C" w:rsidRPr="00505094">
        <w:rPr>
          <w:lang w:val="en-US"/>
        </w:rPr>
        <w:t>to care-as-usual</w:t>
      </w:r>
      <w:r w:rsidR="00EA3204" w:rsidRPr="002B3203">
        <w:rPr>
          <w:lang w:val="en-US"/>
        </w:rPr>
        <w:t xml:space="preserve"> in our hospital</w:t>
      </w:r>
      <w:r>
        <w:rPr>
          <w:lang w:val="en-US"/>
        </w:rPr>
        <w:t>.</w:t>
      </w:r>
    </w:p>
    <w:p w14:paraId="359F8668" w14:textId="2BDAD414" w:rsidR="006B30AF" w:rsidRPr="00511BDD" w:rsidRDefault="006B30AF" w:rsidP="00A30ED7">
      <w:pPr>
        <w:pStyle w:val="Heading4"/>
        <w:rPr>
          <w:rFonts w:eastAsia="Arial"/>
          <w:lang w:val="en-US"/>
        </w:rPr>
      </w:pPr>
      <w:r w:rsidRPr="00511BDD">
        <w:rPr>
          <w:rFonts w:eastAsia="Arial"/>
          <w:lang w:val="en-US"/>
        </w:rPr>
        <w:t xml:space="preserve">Outcome and </w:t>
      </w:r>
      <w:r w:rsidR="00986663">
        <w:rPr>
          <w:rFonts w:eastAsia="Arial"/>
          <w:lang w:val="en-US"/>
        </w:rPr>
        <w:t>f</w:t>
      </w:r>
      <w:r w:rsidRPr="00511BDD">
        <w:rPr>
          <w:rFonts w:eastAsia="Arial"/>
          <w:lang w:val="en-US"/>
        </w:rPr>
        <w:t>ollow-up</w:t>
      </w:r>
    </w:p>
    <w:p w14:paraId="359F8669" w14:textId="77777777" w:rsidR="0019710A" w:rsidRDefault="00455C60" w:rsidP="00BF5CDB">
      <w:pPr>
        <w:rPr>
          <w:rFonts w:eastAsia="Arial"/>
          <w:lang w:val="en-US"/>
        </w:rPr>
      </w:pPr>
      <w:r w:rsidRPr="00704F1C">
        <w:rPr>
          <w:rFonts w:eastAsia="Arial"/>
          <w:lang w:val="en-US"/>
        </w:rPr>
        <w:t>The change in administration of risk-dependent PONV prophylaxis (physician behavior) was def</w:t>
      </w:r>
      <w:r w:rsidRPr="00657300">
        <w:rPr>
          <w:rFonts w:eastAsia="Arial"/>
          <w:lang w:val="en-US"/>
        </w:rPr>
        <w:t xml:space="preserve">ined as the number of prophylactic antiemetics administered per patient and was recorded in the anesthesia information management system. </w:t>
      </w:r>
      <w:r w:rsidR="008A3898">
        <w:rPr>
          <w:rFonts w:eastAsia="Arial"/>
          <w:lang w:val="en-US"/>
        </w:rPr>
        <w:t xml:space="preserve">In contrast to the assistive </w:t>
      </w:r>
      <w:r w:rsidR="008A3898">
        <w:rPr>
          <w:rFonts w:eastAsia="Arial"/>
          <w:lang w:val="en-US"/>
        </w:rPr>
        <w:lastRenderedPageBreak/>
        <w:t>study, t</w:t>
      </w:r>
      <w:r w:rsidRPr="00657300">
        <w:rPr>
          <w:rFonts w:eastAsia="Arial"/>
          <w:lang w:val="en-US"/>
        </w:rPr>
        <w:t>he use of total intravenous anesthesia was not counted as a prophylactic intervention regarding the primary o</w:t>
      </w:r>
      <w:r w:rsidRPr="009C1213">
        <w:rPr>
          <w:rFonts w:eastAsia="Arial"/>
          <w:lang w:val="en-US"/>
        </w:rPr>
        <w:t xml:space="preserve">utcome, as it was unlikely to change during the anesthetic case. However, as inhalational anesthesia was a predictor within the prediction model, the presented recommendation did depend on the type of anesthesia used. </w:t>
      </w:r>
      <w:r w:rsidR="007F6C60" w:rsidRPr="00511BDD">
        <w:rPr>
          <w:rFonts w:eastAsia="Arial"/>
          <w:lang w:val="en-US"/>
        </w:rPr>
        <w:t>There was no active surveillance of ad</w:t>
      </w:r>
      <w:r w:rsidR="008A3898">
        <w:rPr>
          <w:rFonts w:eastAsia="Arial"/>
          <w:lang w:val="en-US"/>
        </w:rPr>
        <w:t>verse events during this study.</w:t>
      </w:r>
    </w:p>
    <w:p w14:paraId="359F866A" w14:textId="6A795DEB" w:rsidR="00BF5CDB" w:rsidRPr="00BF5CDB" w:rsidRDefault="00BF5CDB" w:rsidP="00BF5CDB">
      <w:pPr>
        <w:pStyle w:val="Normal-Indent"/>
      </w:pPr>
      <w:r w:rsidRPr="00511BDD">
        <w:t xml:space="preserve">The incidence of PONV (patient outcome) was defined as the occurrence of nausea, vomiting or the need for rescue antiemetics within 24 hours after surgery. </w:t>
      </w:r>
      <w:r w:rsidRPr="00511BDD">
        <w:rPr>
          <w:rFonts w:cs="Arial"/>
        </w:rPr>
        <w:t>Nausea was rated on a three-point verbal rating scale (no / yes a bit / yes definitely). Vomiting was recorded as a binary outcome (no / yes).</w:t>
      </w:r>
      <w:r w:rsidRPr="00511BDD">
        <w:t xml:space="preserve"> Research nurses and trained medical students collected data on the occurrence of postoperative nausea using a validated questionnaire.</w:t>
      </w:r>
      <w:r w:rsidR="00580B3C">
        <w:fldChar w:fldCharType="begin" w:fldLock="1"/>
      </w:r>
      <w:r w:rsidR="00B71E75">
        <w:instrText>ADDIN CSL_CITATION { "citationItems" : [ { "id" : "ITEM-1", "itemData" : { "DOI" : "10.1111/j.1365-2044.2005.04121.x", "ISSN" : "0003-2409", "PMID" : "15766334", "abstract" : "We have validated two scoring systems for predicting postoperative nausea and vomiting, derived by Apfel et al. and Koivuranta et al. from 1388 adult inpatients undergoing a wide range of surgical procedures. The predictive accuracy of the scoring systems was evaluated in terms of the ability to discriminate between patients with and without postoperative nausea and vomiting (discrimination) and agreement between observed and predicted outcomes (calibration). Discrimination and calibration were less than expected based on previous reports, with both scoring systems providing risk predictions that were too extreme. The area under the ROC curve was 0.63 for Apfel et al.'s scoring system and 0.66 for Koivuranta et al.'s scoring system. Neither of the scoring systems provided a risk threshold for administering anti-emetic prophylaxis that yielded satisfying results in terms of predictive values, sensitivity and specificity. Hence, in their original forms, the scoring systems do not guarantee accurate prediction of the risk of postoperative nausea and vomiting in other patient populations. Koivuranta et al.'s scoring system appears to be more robust across different populations.", "author" : [ { "dropping-particle" : "", "family" : "Bosch", "given" : "J E", "non-dropping-particle" : "van den", "parse-names" : false, "suffix" : "" }, { "dropping-particle" : "", "family" : "Kalkman", "given" : "C J", "non-dropping-particle" : "", "parse-names" : false, "suffix" : "" }, { "dropping-particle" : "", "family" : "Vergouwe", "given" : "Y", "non-dropping-particle" : "", "parse-names" : false, "suffix" : "" }, { "dropping-particle" : "", "family" : "Klei", "given" : "W a", "non-dropping-particle" : "Van", "parse-names" : false, "suffix" : "" }, { "dropping-particle" : "", "family" : "Bonsel", "given" : "G J", "non-dropping-particle" : "", "parse-names" : false, "suffix" : "" }, { "dropping-particle" : "", "family" : "Grobbee", "given" : "D E", "non-dropping-particle" : "", "parse-names" : false, "suffix" : "" }, { "dropping-particle" : "", "family" : "Moons", "given" : "K G M", "non-dropping-particle" : "", "parse-names" : false, "suffix" : "" } ], "container-title" : "Anaesthesia", "id" : "ITEM-1", "issue" : "4", "issued" : { "date-parts" : [ [ "2005", "4" ] ] }, "note" : "From Duplicate 1 ( \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Assessing the applicability of scoring systems for predicting postoperative nausea and vomiting\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 den Bosch, J. E. Van; Kalkman, C. J.; Vergouwe, Y.; Klei, W. A. Van; Bonsel, G. J.; Grobbee, D. E.; Moons, K. G. )\n\n\n\n\n\n\n\n\n\n\n\n\n\n\n\n\n\n\n\n\n\n\n\n\n\n\n\n\n\n\n\n\n\n\n\n\n\n\n\n\n\n\n\n\n\n\n\n\n\n\n\n\n\n\n\n\n\n\n\n\n\n\n\n\n\n\n\n\n\n\n\n\n\n\n\n\n\n\n\n\n\n\n\n\n\n\n\n\n\n\n\n\n\n\n\n\n\n\n\n\n\n\n\n\n\n\n\n\n\n\n\n\n\n\n\n\n\n\n\n\n\n\n\n\n\n\n\n\n\n\n\n\n\n\n\n\n\n\n\n\n\n\n\n\n\n\n\n\n\n\n\n\n\n\n\n\n\n\n\n\n\n\n\n\n\n\n\n\n\n\n\n\n\n\n\n\n\n\n\n\n\n\n\n\n\n\n\n\n\n\n\n\n\n\n\n\n\n\n\n\n\n\n\n\n\n\n\n\n\n\n\n\n\n\n\n\n\n\n\n\n\n\n\n\n\n\n\n\n\n\n\n\n\n\n\n\n\n\n\n\n\n\n\n\n\n\n\n\n\n\n\n\n\n\n\nLR: 20061115; PUBM: Print; JID: 0370524; 0 (Antiemetics); ppublish", "page" : "323-31", "title" : "Assessing the applicability of scoring systems for predicting postoperative nausea and vomiting.", "type" : "article-journal", "volume" : "60" }, "uris" : [ "http://www.mendeley.com/documents/?uuid=1b69c013-a989-4f2c-b930-b7ffcadfeaae" ] }, { "id" : "ITEM-2", "itemData" : { "ISSN" : "0003-3022", "PMID" : "11575532", "abstract" : "BACKGROUND: To assess the incidence of postoperative nausea and vomiting after total intravenous anesthesia (TIVA) with propofol versus inhalational anesthesia with isoflurane-nitrous oxide, the authors performed a randomized trial in 2,010 unselected surgical patients in a Dutch academic institution. An economic evaluation was also performed. METHODS: Elective inpatients (1,447) and outpatients (563) were randomly assigned to inhalational anesthesia with isoflurane-nitrous oxide or TIVA with propofol-air. Cumulative incidence of postoperative nausea and vomiting was recorded for 72 h by blinded observers. Cost data of anesthetics, antiemetics, disposables, and equipment were collected. Cost differences caused by duration of postanesthesia care unit stay and hospitalization were analyzed. RESULTS: Total intravenous anesthesia reduced the absolute risk of postoperative nausea and vomiting up to 72 h by 15 among inpatients (from 61% to 46%, P &lt; 0.001) and by 18% among outpatients (from 46% to 28%, P &lt; 0.001). This effect was most pronounced in the early postoperative period. The cost of anesthesia was more than three times greater for propofol TIVA. Median duration of stay in the postanesthesia care unit was 135 min after isoflurane versus 115 min after TIVA for inpatients (P &lt; 0.001) and 160 min after isoflurane versus 150 min after TIVA for outpatients (P = 0.039). Duration of hospitalization was equal in both arms. CONCLUSION: Propofol TIVA results in a clinically relevant reduction of postoperative nausea and vomiting compared with isoflurane-nitrous oxide anesthesia (number needed to treat = 6). Both anesthetic techniques were otherwise similar. Anesthesia costs were more than three times greater for propofol TIVA, without economic gains from shorter stay in the postanesthesia care unit", "author" : [ { "dropping-particle" : "", "family" : "Visser", "given" : "K", "non-dropping-particle" : "", "parse-names" : false, "suffix" : "" }, { "dropping-particle" : "", "family" : "Hassink", "given" : "E a", "non-dropping-particle" : "", "parse-names" : false, "suffix" : "" }, { "dropping-particle" : "", "family" : "Bonsel", "given" : "G J", "non-dropping-particle" : "", "parse-names" : false, "suffix" : "" }, { "dropping-particle" : "", "family" : "Moen", "given" : "J", "non-dropping-particle" : "", "parse-names" : false, "suffix" : "" }, { "dropping-particle" : "", "family" : "Kalkman", "given" : "C J", "non-dropping-particle" : "", "parse-names" : false, "suffix" : "" } ], "container-title" : "Anesthesiology", "id" : "ITEM-2", "issue" : "3", "issued" : { "date-parts" : [ [ "2001", "9" ] ] }, "note" : "From Duplicate 1 ( \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Randomized controlled trial of total intravenous anesthesia with propofol versus inhalation anesthesia with isoflurane-nitrous oxide: postoperative nausea with vomiting and economic analysis\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 Visser, K.; Hassink, E. A.; Bonsel, G. J.; Moen, J.; Kalkman, C. J. )\n\n\n\n\n\n\n\n\n\n\n\n\n\n\n\n\n\n\n\n\n\n\n\n\n\n\n\n\n\n\n\n\n\n\n\n\n\n\n\n\n\n\n\n\n\n\n\n\n\n\n\n\n\n\n\n\n\n\n\n\n\n\n\n\n\n\n\n\n\n\n\n\n\n\n\n\n\n\n\n\n\n\n\n\n\n\n\n\n\n\n\n\n\n\n\n\n\n\n\n\n\n\n\n\n\n\n\n\n\n\n\n\n\n\n\n\n\n\n\n\n\n\n\n\n\n\n\n\n\n\n\n\n\n\n\n\n\n\n\n\n\n\n\n\n\n\n\n\n\n\n\n\n\n\n\n\n\n\n\n\n\n\n\n\n\n\n\n\n\n\n\n\n\n\n\n\n\n\n\n\n\n\n\n\n\n\n\n\n\n\n\n\n\n\n\n\n\n\n\n\n\n\n\n\n\n\n\n\n\n\n\n\n\n\n\n\n\n\n\n\n\n\n\n\n\n\n\n\n\n\n\n\n\n\n\n\n\n\n\n\n\n\n\n\n\n\n\n\n\n\n\n\n\n\n\nLR: 20061115; PUBM: Print; JID: 1300217; 10024-97-2 (Nitrous Oxide); 2078-54-8 (Propofol); 26675-46-7 (Isoflurane); ppublish", "page" : "616-26", "title" : "Randomized controlled trial of total intravenous anesthesia with propofol versus inhalation anesthesia with isoflurane-nitrous oxide: postoperative nausea with vomiting and economic analysis.", "type" : "article-journal", "volume" : "95" }, "uris" : [ "http://www.mendeley.com/documents/?uuid=160b4aff-a869-468f-b8af-ed17d6ce74a5" ] } ], "mendeley" : { "formattedCitation" : "[3, 6]", "plainTextFormattedCitation" : "[3, 6]", "previouslyFormattedCitation" : "&lt;sup&gt;3,6&lt;/sup&gt;" }, "properties" : { "noteIndex" : 0 }, "schema" : "https://github.com/citation-style-language/schema/raw/master/csl-citation.json" }</w:instrText>
      </w:r>
      <w:r w:rsidR="00580B3C">
        <w:fldChar w:fldCharType="separate"/>
      </w:r>
      <w:r w:rsidR="00B71E75" w:rsidRPr="00B71E75">
        <w:rPr>
          <w:noProof/>
        </w:rPr>
        <w:t>[3, 6]</w:t>
      </w:r>
      <w:r w:rsidR="00580B3C">
        <w:fldChar w:fldCharType="end"/>
      </w:r>
      <w:r w:rsidRPr="00511BDD">
        <w:t xml:space="preserve"> Data were collected at the post anesthesia care unit (30 minutes and 60 minutes after arrival, and when leaving the unit), and 24 hours after surgery on the ward. </w:t>
      </w:r>
      <w:r w:rsidRPr="00365BB4">
        <w:t>The outcome variable for PONV was coded as missing when any of the follow-up measurements had not been completed.</w:t>
      </w:r>
    </w:p>
    <w:p w14:paraId="359F866B" w14:textId="0EFA22C1" w:rsidR="005E5AB4" w:rsidRPr="005247DF" w:rsidRDefault="00D44E7F" w:rsidP="00D44E7F">
      <w:pPr>
        <w:pStyle w:val="Heading4"/>
        <w:rPr>
          <w:rFonts w:eastAsia="Arial"/>
          <w:lang w:val="en-US"/>
        </w:rPr>
      </w:pPr>
      <w:r w:rsidRPr="005247DF">
        <w:rPr>
          <w:rFonts w:eastAsia="Arial"/>
          <w:lang w:val="en-US"/>
        </w:rPr>
        <w:t xml:space="preserve">Statistical </w:t>
      </w:r>
      <w:r w:rsidR="00986663">
        <w:rPr>
          <w:rFonts w:eastAsia="Arial"/>
          <w:lang w:val="en-US"/>
        </w:rPr>
        <w:t>a</w:t>
      </w:r>
      <w:r w:rsidRPr="005247DF">
        <w:rPr>
          <w:rFonts w:eastAsia="Arial"/>
          <w:lang w:val="en-US"/>
        </w:rPr>
        <w:t>nalysis</w:t>
      </w:r>
    </w:p>
    <w:p w14:paraId="359F866C" w14:textId="4EFE7A3A" w:rsidR="00BF5CDB" w:rsidRDefault="00BF5CDB" w:rsidP="00D82B2A">
      <w:pPr>
        <w:rPr>
          <w:rFonts w:eastAsia="Arial"/>
          <w:lang w:val="en-US"/>
        </w:rPr>
      </w:pPr>
      <w:r>
        <w:rPr>
          <w:lang w:val="en-US"/>
        </w:rPr>
        <w:t>T</w:t>
      </w:r>
      <w:r w:rsidRPr="005247DF">
        <w:rPr>
          <w:lang w:val="en-US"/>
        </w:rPr>
        <w:t xml:space="preserve">he data of the </w:t>
      </w:r>
      <w:r>
        <w:rPr>
          <w:lang w:val="en-US"/>
        </w:rPr>
        <w:t>assistive</w:t>
      </w:r>
      <w:r w:rsidRPr="00416594">
        <w:rPr>
          <w:lang w:val="en-US"/>
        </w:rPr>
        <w:t xml:space="preserve"> </w:t>
      </w:r>
      <w:r w:rsidRPr="008A68AF">
        <w:rPr>
          <w:lang w:val="en-US"/>
        </w:rPr>
        <w:t xml:space="preserve">study and of the </w:t>
      </w:r>
      <w:r>
        <w:rPr>
          <w:lang w:val="en-US"/>
        </w:rPr>
        <w:t xml:space="preserve">directive </w:t>
      </w:r>
      <w:r w:rsidRPr="008A68AF">
        <w:rPr>
          <w:lang w:val="en-US"/>
        </w:rPr>
        <w:t xml:space="preserve">study </w:t>
      </w:r>
      <w:r w:rsidRPr="005247DF">
        <w:rPr>
          <w:lang w:val="en-US"/>
        </w:rPr>
        <w:t xml:space="preserve">were merged to quantify the impact of </w:t>
      </w:r>
      <w:r>
        <w:rPr>
          <w:lang w:val="en-US"/>
        </w:rPr>
        <w:t>a</w:t>
      </w:r>
      <w:r w:rsidRPr="005247DF">
        <w:rPr>
          <w:lang w:val="en-US"/>
        </w:rPr>
        <w:t xml:space="preserve"> more directive implementation of the prediction model on clinical practice </w:t>
      </w:r>
      <w:r w:rsidRPr="00365BB4">
        <w:rPr>
          <w:lang w:val="en-US"/>
        </w:rPr>
        <w:t xml:space="preserve">as compared to </w:t>
      </w:r>
      <w:r>
        <w:rPr>
          <w:lang w:val="en-US"/>
        </w:rPr>
        <w:t>an</w:t>
      </w:r>
      <w:r w:rsidRPr="00365BB4">
        <w:rPr>
          <w:lang w:val="en-US"/>
        </w:rPr>
        <w:t xml:space="preserve"> assistive approach. </w:t>
      </w:r>
      <w:r w:rsidR="00DE0A8E" w:rsidRPr="005247DF">
        <w:rPr>
          <w:rFonts w:eastAsia="Arial"/>
          <w:lang w:val="en-US"/>
        </w:rPr>
        <w:t xml:space="preserve">Analysis was performed under the intention-to-treat principle. </w:t>
      </w:r>
      <w:r w:rsidR="00143978" w:rsidRPr="009B0D00">
        <w:rPr>
          <w:lang w:val="en-US"/>
        </w:rPr>
        <w:t xml:space="preserve">Mixed effects </w:t>
      </w:r>
      <w:r w:rsidR="00143978" w:rsidRPr="009B0D00">
        <w:rPr>
          <w:rFonts w:eastAsia="Arial"/>
          <w:lang w:val="en-US"/>
        </w:rPr>
        <w:t>r</w:t>
      </w:r>
      <w:r w:rsidR="00DE0A8E" w:rsidRPr="009B0D00">
        <w:rPr>
          <w:rFonts w:eastAsia="Arial"/>
          <w:lang w:val="en-US"/>
        </w:rPr>
        <w:t xml:space="preserve">egression analyses were used </w:t>
      </w:r>
      <w:r w:rsidR="00B105E1" w:rsidRPr="009B0D00">
        <w:rPr>
          <w:rFonts w:eastAsia="Arial"/>
          <w:lang w:val="en-US"/>
        </w:rPr>
        <w:t>for</w:t>
      </w:r>
      <w:r w:rsidR="00DE0A8E" w:rsidRPr="009B0D00">
        <w:rPr>
          <w:rFonts w:eastAsia="Arial"/>
          <w:lang w:val="en-US"/>
        </w:rPr>
        <w:t xml:space="preserve"> </w:t>
      </w:r>
      <w:r w:rsidR="00A20E6A" w:rsidRPr="00F9435B">
        <w:rPr>
          <w:rFonts w:eastAsia="Arial"/>
          <w:lang w:val="en-US"/>
        </w:rPr>
        <w:t xml:space="preserve">both </w:t>
      </w:r>
      <w:r w:rsidR="00DE0A8E" w:rsidRPr="00F336FB">
        <w:rPr>
          <w:rFonts w:eastAsia="Arial"/>
          <w:lang w:val="en-US"/>
        </w:rPr>
        <w:t>outcome</w:t>
      </w:r>
      <w:r w:rsidR="00B105E1" w:rsidRPr="00F336FB">
        <w:rPr>
          <w:rFonts w:eastAsia="Arial"/>
          <w:lang w:val="en-US"/>
        </w:rPr>
        <w:t>s</w:t>
      </w:r>
      <w:r w:rsidR="00DE0A8E" w:rsidRPr="00F336FB">
        <w:rPr>
          <w:rFonts w:eastAsia="Arial"/>
          <w:lang w:val="en-US"/>
        </w:rPr>
        <w:t xml:space="preserve">: </w:t>
      </w:r>
      <w:r w:rsidRPr="00F8666B">
        <w:rPr>
          <w:rFonts w:eastAsia="Arial"/>
          <w:lang w:val="en-US"/>
        </w:rPr>
        <w:t xml:space="preserve">linear regression for the </w:t>
      </w:r>
      <w:r w:rsidRPr="006D3985">
        <w:rPr>
          <w:rFonts w:eastAsia="Arial"/>
          <w:lang w:val="en-US"/>
        </w:rPr>
        <w:t xml:space="preserve">number of prophylactic antiemetics per patient </w:t>
      </w:r>
      <w:r>
        <w:rPr>
          <w:rFonts w:eastAsia="Arial"/>
          <w:lang w:val="en-US"/>
        </w:rPr>
        <w:t xml:space="preserve">and </w:t>
      </w:r>
      <w:r w:rsidR="00A87FA4" w:rsidRPr="00F8666B">
        <w:rPr>
          <w:rFonts w:eastAsia="Arial"/>
          <w:lang w:val="en-US"/>
        </w:rPr>
        <w:t xml:space="preserve">logistic regression for the incidence of PONV </w:t>
      </w:r>
      <w:r w:rsidR="00DE0A8E" w:rsidRPr="00B82D51">
        <w:rPr>
          <w:rFonts w:eastAsia="Arial"/>
          <w:lang w:val="en-US"/>
        </w:rPr>
        <w:t>(glm</w:t>
      </w:r>
      <w:r w:rsidR="00850868" w:rsidRPr="00B82D51">
        <w:rPr>
          <w:rFonts w:eastAsia="Arial"/>
          <w:lang w:val="en-US"/>
        </w:rPr>
        <w:t>er</w:t>
      </w:r>
      <w:r w:rsidR="00DE0A8E" w:rsidRPr="00B82D51">
        <w:rPr>
          <w:lang w:val="en-US"/>
        </w:rPr>
        <w:t xml:space="preserve">, </w:t>
      </w:r>
      <w:r w:rsidR="00850868" w:rsidRPr="00511BDD">
        <w:rPr>
          <w:lang w:val="en-US"/>
        </w:rPr>
        <w:t xml:space="preserve">lme4 library, </w:t>
      </w:r>
      <w:r w:rsidR="00DE0A8E" w:rsidRPr="005247DF">
        <w:rPr>
          <w:lang w:val="en-US"/>
        </w:rPr>
        <w:t>R software).</w:t>
      </w:r>
      <w:r w:rsidR="00D7227C" w:rsidRPr="005247DF">
        <w:rPr>
          <w:lang w:val="en-US"/>
        </w:rPr>
        <w:t xml:space="preserve"> </w:t>
      </w:r>
      <w:r w:rsidR="00143978" w:rsidRPr="00416594">
        <w:rPr>
          <w:lang w:val="en-US"/>
        </w:rPr>
        <w:t>A random intercept was included in the models, as the stud</w:t>
      </w:r>
      <w:r>
        <w:rPr>
          <w:lang w:val="en-US"/>
        </w:rPr>
        <w:t>ies</w:t>
      </w:r>
      <w:r w:rsidR="00143978" w:rsidRPr="00416594">
        <w:rPr>
          <w:lang w:val="en-US"/>
        </w:rPr>
        <w:t xml:space="preserve"> w</w:t>
      </w:r>
      <w:r>
        <w:rPr>
          <w:lang w:val="en-US"/>
        </w:rPr>
        <w:t>ere</w:t>
      </w:r>
      <w:r w:rsidR="00143978" w:rsidRPr="00416594">
        <w:rPr>
          <w:lang w:val="en-US"/>
        </w:rPr>
        <w:t xml:space="preserve"> clustered by anesthesiologists. </w:t>
      </w:r>
      <w:r w:rsidR="001D4082" w:rsidRPr="005247DF">
        <w:rPr>
          <w:lang w:val="en-US"/>
        </w:rPr>
        <w:t xml:space="preserve">For </w:t>
      </w:r>
      <w:r w:rsidR="00A87FA4" w:rsidRPr="005247DF">
        <w:rPr>
          <w:lang w:val="en-US"/>
        </w:rPr>
        <w:t>both outcomes</w:t>
      </w:r>
      <w:r w:rsidR="001D4082" w:rsidRPr="005247DF">
        <w:rPr>
          <w:lang w:val="en-US"/>
        </w:rPr>
        <w:t xml:space="preserve">, </w:t>
      </w:r>
      <w:r>
        <w:rPr>
          <w:lang w:val="en-US"/>
        </w:rPr>
        <w:t xml:space="preserve">the ‘study’, </w:t>
      </w:r>
      <w:r w:rsidRPr="009B0D00">
        <w:rPr>
          <w:lang w:val="en-US"/>
        </w:rPr>
        <w:t>(</w:t>
      </w:r>
      <w:r>
        <w:rPr>
          <w:lang w:val="en-US"/>
        </w:rPr>
        <w:t xml:space="preserve">assistive </w:t>
      </w:r>
      <w:r w:rsidRPr="009B0D00">
        <w:rPr>
          <w:lang w:val="en-US"/>
        </w:rPr>
        <w:t xml:space="preserve">versus </w:t>
      </w:r>
      <w:r>
        <w:rPr>
          <w:lang w:val="en-US"/>
        </w:rPr>
        <w:t xml:space="preserve">directive </w:t>
      </w:r>
      <w:r w:rsidRPr="00F336FB">
        <w:rPr>
          <w:lang w:val="en-US"/>
        </w:rPr>
        <w:t>study)</w:t>
      </w:r>
      <w:r>
        <w:rPr>
          <w:lang w:val="en-US"/>
        </w:rPr>
        <w:t xml:space="preserve">, </w:t>
      </w:r>
      <w:r w:rsidR="001D4082" w:rsidRPr="005247DF">
        <w:rPr>
          <w:lang w:val="en-US"/>
        </w:rPr>
        <w:t>a</w:t>
      </w:r>
      <w:r w:rsidR="00791A72" w:rsidRPr="005247DF">
        <w:rPr>
          <w:lang w:val="en-US"/>
        </w:rPr>
        <w:t>llocation group (</w:t>
      </w:r>
      <w:r>
        <w:rPr>
          <w:lang w:val="en-US"/>
        </w:rPr>
        <w:t>intervention</w:t>
      </w:r>
      <w:r w:rsidR="001D4082" w:rsidRPr="005247DF">
        <w:rPr>
          <w:lang w:val="en-US"/>
        </w:rPr>
        <w:t xml:space="preserve"> </w:t>
      </w:r>
      <w:r w:rsidR="00791A72" w:rsidRPr="00365BB4">
        <w:rPr>
          <w:lang w:val="en-US"/>
        </w:rPr>
        <w:t xml:space="preserve">versus care-as-usual), predicted PONV risks, and </w:t>
      </w:r>
      <w:r>
        <w:rPr>
          <w:lang w:val="en-US"/>
        </w:rPr>
        <w:t xml:space="preserve">the </w:t>
      </w:r>
      <w:r w:rsidR="00791A72" w:rsidRPr="00365BB4">
        <w:rPr>
          <w:lang w:val="en-US"/>
        </w:rPr>
        <w:t xml:space="preserve">interaction between </w:t>
      </w:r>
      <w:r>
        <w:rPr>
          <w:lang w:val="en-US"/>
        </w:rPr>
        <w:t xml:space="preserve">all three variables were included </w:t>
      </w:r>
      <w:r w:rsidR="00791A72" w:rsidRPr="00704F1C">
        <w:rPr>
          <w:lang w:val="en-US"/>
        </w:rPr>
        <w:t xml:space="preserve">as independent variables in the </w:t>
      </w:r>
      <w:r w:rsidR="00871191" w:rsidRPr="00704F1C">
        <w:rPr>
          <w:lang w:val="en-US"/>
        </w:rPr>
        <w:t>model</w:t>
      </w:r>
      <w:r w:rsidR="00791A72" w:rsidRPr="00704F1C">
        <w:rPr>
          <w:lang w:val="en-US"/>
        </w:rPr>
        <w:t xml:space="preserve">. </w:t>
      </w:r>
      <w:r w:rsidR="00791A72" w:rsidRPr="00704F1C">
        <w:rPr>
          <w:rFonts w:eastAsia="Arial"/>
          <w:lang w:val="en-US"/>
        </w:rPr>
        <w:t>The interaction term</w:t>
      </w:r>
      <w:r>
        <w:rPr>
          <w:rFonts w:eastAsia="Arial"/>
          <w:lang w:val="en-US"/>
        </w:rPr>
        <w:t>s</w:t>
      </w:r>
      <w:r w:rsidR="00791A72" w:rsidRPr="00704F1C">
        <w:rPr>
          <w:rFonts w:eastAsia="Arial"/>
          <w:lang w:val="en-US"/>
        </w:rPr>
        <w:t xml:space="preserve"> </w:t>
      </w:r>
      <w:r>
        <w:rPr>
          <w:rFonts w:eastAsia="Arial"/>
          <w:lang w:val="en-US"/>
        </w:rPr>
        <w:t xml:space="preserve">were </w:t>
      </w:r>
      <w:r w:rsidR="00791A72" w:rsidRPr="00704F1C">
        <w:rPr>
          <w:rFonts w:eastAsia="Arial"/>
          <w:lang w:val="en-US"/>
        </w:rPr>
        <w:t xml:space="preserve">included to </w:t>
      </w:r>
      <w:r w:rsidR="001D4082" w:rsidRPr="00E61C95">
        <w:rPr>
          <w:rFonts w:eastAsia="Arial"/>
          <w:lang w:val="en-US"/>
        </w:rPr>
        <w:t>quantify to what extent the difference in treatment effect (</w:t>
      </w:r>
      <w:r>
        <w:rPr>
          <w:rFonts w:eastAsia="Arial"/>
          <w:lang w:val="en-US"/>
        </w:rPr>
        <w:t xml:space="preserve">between assistive and directive, and </w:t>
      </w:r>
      <w:r w:rsidR="001D4082" w:rsidRPr="00E61C95">
        <w:rPr>
          <w:rFonts w:eastAsia="Arial"/>
          <w:lang w:val="en-US"/>
        </w:rPr>
        <w:t xml:space="preserve">between </w:t>
      </w:r>
      <w:r w:rsidR="0071750F" w:rsidRPr="00657300">
        <w:rPr>
          <w:rFonts w:eastAsia="Arial"/>
          <w:lang w:val="en-US"/>
        </w:rPr>
        <w:t>interventi</w:t>
      </w:r>
      <w:r w:rsidR="0071750F" w:rsidRPr="009C1213">
        <w:rPr>
          <w:rFonts w:eastAsia="Arial"/>
          <w:lang w:val="en-US"/>
        </w:rPr>
        <w:t xml:space="preserve">on </w:t>
      </w:r>
      <w:r w:rsidR="001D4082" w:rsidRPr="009B0D00">
        <w:rPr>
          <w:rFonts w:eastAsia="Arial"/>
          <w:lang w:val="en-US"/>
        </w:rPr>
        <w:t>and care-as-usual) differed across predicted risk</w:t>
      </w:r>
      <w:r w:rsidR="0071750F" w:rsidRPr="009B0D00">
        <w:rPr>
          <w:rFonts w:eastAsia="Arial"/>
          <w:lang w:val="en-US"/>
        </w:rPr>
        <w:t>s</w:t>
      </w:r>
      <w:r w:rsidR="001D4082" w:rsidRPr="009B0D00">
        <w:rPr>
          <w:rFonts w:eastAsia="Arial"/>
          <w:lang w:val="en-US"/>
        </w:rPr>
        <w:t xml:space="preserve">; e.g. </w:t>
      </w:r>
      <w:r w:rsidR="008957CB" w:rsidRPr="009B0D00">
        <w:rPr>
          <w:rFonts w:eastAsia="Arial"/>
          <w:lang w:val="en-US"/>
        </w:rPr>
        <w:t xml:space="preserve">an odds ratio below one would signify that a reduction in PONV </w:t>
      </w:r>
      <w:r w:rsidR="001D4082" w:rsidRPr="00F9435B">
        <w:rPr>
          <w:rFonts w:eastAsia="Arial"/>
          <w:lang w:val="en-US"/>
        </w:rPr>
        <w:t xml:space="preserve">due to the directive approach </w:t>
      </w:r>
      <w:r w:rsidR="008957CB" w:rsidRPr="00F336FB">
        <w:rPr>
          <w:rFonts w:eastAsia="Arial"/>
          <w:lang w:val="en-US"/>
        </w:rPr>
        <w:t>was greater in patients with higher risks.</w:t>
      </w:r>
    </w:p>
    <w:p w14:paraId="359F866D" w14:textId="319C0CE7" w:rsidR="00D82B2A" w:rsidRPr="005247DF" w:rsidRDefault="00BF5CDB" w:rsidP="00BF5CDB">
      <w:pPr>
        <w:pStyle w:val="Normal-Indent"/>
      </w:pPr>
      <w:r w:rsidRPr="00F336FB">
        <w:lastRenderedPageBreak/>
        <w:t>For the analysis of physician behavior</w:t>
      </w:r>
      <w:r w:rsidRPr="00696791">
        <w:t xml:space="preserve">, we expected a linear association between the outcome </w:t>
      </w:r>
      <w:r w:rsidRPr="00F8666B">
        <w:t xml:space="preserve">(actual number of administered prophylactic antiemetics, ranging from 0 to 3) and intervention (recommended number of antiemetics per predicted PONV risk category). </w:t>
      </w:r>
      <w:r w:rsidRPr="006D3985">
        <w:t xml:space="preserve">Therefore, </w:t>
      </w:r>
      <w:r w:rsidRPr="00B82D51">
        <w:t xml:space="preserve">not the continuous predicted risk variable but rather the advised number of antiemetics and its interaction with allocation group were used as independent variables in </w:t>
      </w:r>
      <w:r w:rsidRPr="00335B53">
        <w:t>a linear regression model with the administered number of antiemetics as the dependent variable.</w:t>
      </w:r>
      <w:r>
        <w:t xml:space="preserve"> </w:t>
      </w:r>
      <w:r w:rsidR="0073744E" w:rsidRPr="00F336FB">
        <w:t>For the PONV incidence analysis predicted PONV risks were included as a continuous variable.</w:t>
      </w:r>
    </w:p>
    <w:p w14:paraId="359F866E" w14:textId="74AA6728" w:rsidR="0066183F" w:rsidRPr="005247DF" w:rsidRDefault="00133677" w:rsidP="00696837">
      <w:pPr>
        <w:pStyle w:val="Normal-Indent"/>
      </w:pPr>
      <w:r w:rsidRPr="005247DF">
        <w:t xml:space="preserve">As this </w:t>
      </w:r>
      <w:r w:rsidR="00BF5CDB">
        <w:t xml:space="preserve">is analysis is </w:t>
      </w:r>
      <w:r w:rsidRPr="005247DF">
        <w:t>a non-randomized study</w:t>
      </w:r>
      <w:r w:rsidR="00BF5CDB">
        <w:t>,</w:t>
      </w:r>
      <w:r w:rsidRPr="005247DF">
        <w:t xml:space="preserve"> we had to adjust for potential differences between </w:t>
      </w:r>
      <w:r w:rsidR="00BF5CDB">
        <w:t xml:space="preserve">various </w:t>
      </w:r>
      <w:r w:rsidRPr="005247DF">
        <w:t>group</w:t>
      </w:r>
      <w:r w:rsidR="00BF5CDB">
        <w:t>s</w:t>
      </w:r>
      <w:r w:rsidRPr="005247DF">
        <w:t>. Although i</w:t>
      </w:r>
      <w:r w:rsidR="00A20E6A" w:rsidRPr="005247DF">
        <w:t xml:space="preserve">nclusion of the predicted risk </w:t>
      </w:r>
      <w:r w:rsidRPr="005247DF">
        <w:t xml:space="preserve">variable </w:t>
      </w:r>
      <w:r w:rsidR="00A20E6A" w:rsidRPr="005247DF">
        <w:t>and its interaction term with study groups w</w:t>
      </w:r>
      <w:r w:rsidRPr="005247DF">
        <w:t>ould</w:t>
      </w:r>
      <w:r w:rsidR="00A20E6A" w:rsidRPr="005247DF">
        <w:t xml:space="preserve"> probably adjust for most of the confounding</w:t>
      </w:r>
      <w:r w:rsidRPr="004E6975">
        <w:t xml:space="preserve">, we a priori hypothesized to adjust additionally for </w:t>
      </w:r>
      <w:r w:rsidR="00A20E6A" w:rsidRPr="00705B68">
        <w:t xml:space="preserve">all variables </w:t>
      </w:r>
      <w:r w:rsidR="000A5CCF" w:rsidRPr="0025552D">
        <w:t>from Table 1</w:t>
      </w:r>
      <w:r w:rsidR="00BF5CDB">
        <w:t xml:space="preserve">in the manuscript (PONV risk factors) and for </w:t>
      </w:r>
      <w:r w:rsidR="00696837">
        <w:t>ASA class and procedure duration.</w:t>
      </w:r>
      <w:r w:rsidR="00580B3C">
        <w:fldChar w:fldCharType="begin" w:fldLock="1"/>
      </w:r>
      <w:r w:rsidR="00B71E75">
        <w:instrText>ADDIN CSL_CITATION { "citationItems" : [ { "id" : "ITEM-1", "itemData" : { "DOI" : "10.1007/s10654-011-9606-1", "ISSN" : "1573-7284", "PMID" : "21796419", "abstract" : "In observational studies, selection of confounding variables for adjustment is often based on observed baseline incomparability. The aim of this study was to evaluate this selection strategy. We used clinical data on the effects of inhaled long-acting beta-agonist (LABA) use on the risk of mortality among patients with obstructive pulmonary disease to illustrate the impact of selection of confounding variables for adjustment based on baseline comparisons. Among 2,394 asthma and COPD patients included in the analyses, the LABA ever-users were considerably older than never-users, but cardiovascular co-morbidity was equally prevalent (19.9% vs. 19.9%). Adjustment for cardiovascular co-morbidity status did not affect the crude risk ratio (RR) for mortality: crude RR 1.19 (95% CI 0.93-1.51) versus RR 1.19 (95% CI 0.94-1.50) after adjustment for cardiovascular co-morbidity. However, after adjustment for age (RR 0.95, 95% CI 0.76-1.19), additional adjustment for cardiovascular co-morbidity status did affect the association between LABA use and mortality (RR 1.01, 95% CI 0.80-1.26). Confounding variables should not be discarded based on balanced distributions among exposure groups, because residual confounding due to the omission of confounding variables from the adjustment model can be relevant.", "author" : [ { "dropping-particle" : "", "family" : "Groenwold", "given" : "Rolf H H", "non-dropping-particle" : "", "parse-names" : false, "suffix" : "" }, { "dropping-particle" : "", "family" : "Klungel", "given" : "Olaf H", "non-dropping-particle" : "", "parse-names" : false, "suffix" : "" }, { "dropping-particle" : "", "family" : "Grobbee", "given" : "Diederick E", "non-dropping-particle" : "", "parse-names" : false, "suffix" : "" }, { "dropping-particle" : "", "family" : "Hoes", "given" : "Arno W", "non-dropping-particle" : "", "parse-names" : false, "suffix" : "" } ], "container-title" : "European journal of epidemiology", "id" : "ITEM-1", "issue" : "8", "issued" : { "date-parts" : [ [ "2011", "8" ] ] }, "page" : "589-93", "title" : "Selection of confounding variables should not be based on observed associations with exposure.", "type" : "article-journal", "volume" : "26" }, "uris" : [ "http://www.mendeley.com/documents/?uuid=2a03f98a-b080-4efc-a4f7-a253baebcde0" ] } ], "mendeley" : { "formattedCitation" : "[7]", "plainTextFormattedCitation" : "[7]", "previouslyFormattedCitation" : "&lt;sup&gt;7&lt;/sup&gt;" }, "properties" : { "noteIndex" : 0 }, "schema" : "https://github.com/citation-style-language/schema/raw/master/csl-citation.json" }</w:instrText>
      </w:r>
      <w:r w:rsidR="00580B3C">
        <w:fldChar w:fldCharType="separate"/>
      </w:r>
      <w:r w:rsidR="00B71E75" w:rsidRPr="00B71E75">
        <w:rPr>
          <w:noProof/>
        </w:rPr>
        <w:t>[7]</w:t>
      </w:r>
      <w:r w:rsidR="00580B3C">
        <w:fldChar w:fldCharType="end"/>
      </w:r>
    </w:p>
    <w:p w14:paraId="359F866F" w14:textId="1BF31AAD" w:rsidR="00696837" w:rsidRDefault="0066183F" w:rsidP="00696837">
      <w:pPr>
        <w:pStyle w:val="Normal-Indent"/>
      </w:pPr>
      <w:r w:rsidRPr="00416594">
        <w:t xml:space="preserve">Before </w:t>
      </w:r>
      <w:r w:rsidR="00871191" w:rsidRPr="008A68AF">
        <w:t xml:space="preserve">multivariable </w:t>
      </w:r>
      <w:r w:rsidRPr="008A68AF">
        <w:t>modeling, all c</w:t>
      </w:r>
      <w:r w:rsidR="00981DA1" w:rsidRPr="008A68AF">
        <w:t>ontinuous variables were tested for nonlinearit</w:t>
      </w:r>
      <w:r w:rsidR="00F53C58" w:rsidRPr="005247DF">
        <w:t>y using restricted cubic splines</w:t>
      </w:r>
      <w:r w:rsidR="00D82B2A" w:rsidRPr="005247DF">
        <w:t>, including predicted PONV risk</w:t>
      </w:r>
      <w:r w:rsidR="00981DA1" w:rsidRPr="005247DF">
        <w:t>.</w:t>
      </w:r>
      <w:r w:rsidR="00580B3C">
        <w:fldChar w:fldCharType="begin" w:fldLock="1"/>
      </w:r>
      <w:r w:rsidR="00B71E75">
        <w:instrText>ADDIN CSL_CITATION { "citationItems" : [ { "id" : "ITEM-1", "itemData" : { "DOI" : "10.1002/(SICI)1097-0258(19960229)15:4&lt;361::AID-SIM168&gt;3.0.CO;2-4", "ISSN" : "0277-6715", "PMID" : "8668867", "abstract" : "Multivariable regression models are powerful tools that are used frequently in studies of clinical outcomes. These models can use a mixture of categorical and continuous variables and can handle partially observed (censored) responses. However, uncritical application of modelling techniques can result in models that poorly fit the dataset at hand, or, even more likely, inaccurately predict outcomes on new subjects. One must know how to measure qualities of a model's fit in order to avoid poorly fitted or overfitted models. Measurement of predictive accuracy can be difficult for survival time data in the presence of censoring. We discuss an easily interpretable index of predictive discrimination as well as methods for assessing calibration of predicted survival probabilities. Both types of predictive accuracy should be unbiasedly validated using bootstrapping or cross-validation, before using predictions in a new data series. We discuss some of the hazards of poorly fitted and overfitted regression models and present one modelling strategy that avoids many of the problems discussed. The methods described are applicable to all regression models, but are particularly needed for binary, ordinal, and time-to-event outcomes. Methods are illustrated with a survival analysis in prostate cancer using Cox regression.", "author" : [ { "dropping-particle" : "", "family" : "Harrell", "given" : "F E", "non-dropping-particle" : "", "parse-names" : false, "suffix" : "" }, { "dropping-particle" : "", "family" : "Lee", "given" : "K L", "non-dropping-particle" : "", "parse-names" : false, "suffix" : "" }, { "dropping-particle" : "", "family" : "Mark", "given" : "D B", "non-dropping-particle" : "", "parse-names" : false, "suffix" : "" } ], "container-title" : "Statistics in medicine", "id" : "ITEM-1", "issue" : "4", "issued" : { "date-parts" : [ [ "1996", "3", "28" ] ] }, "note" : "From Duplicate 1 ( \n\nMultivariable prognostic models: issues in developing models, evaluating assumptions and adequacy, and measuring and reducing errors\n\n- Harrell, F E; Lee, K. L.; Mark, D. B.; Jr, F. E. Harrell )\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From Duplicate 1 ( \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 "page" : "361-387", "title" : "Multivariable prognostic models: issues in developing models, evaluating assumptions and adequacy, and measuring and reducing errors", "type" : "article-journal", "volume" : "15" }, "uris" : [ "http://www.mendeley.com/documents/?uuid=909ae309-1512-4e0d-9da6-6901d98f2b81" ] } ], "mendeley" : { "formattedCitation" : "[8]", "plainTextFormattedCitation" : "[8]", "previouslyFormattedCitation" : "&lt;sup&gt;8&lt;/sup&gt;" }, "properties" : { "noteIndex" : 0 }, "schema" : "https://github.com/citation-style-language/schema/raw/master/csl-citation.json" }</w:instrText>
      </w:r>
      <w:r w:rsidR="00580B3C">
        <w:fldChar w:fldCharType="separate"/>
      </w:r>
      <w:r w:rsidR="00B71E75" w:rsidRPr="00B71E75">
        <w:rPr>
          <w:noProof/>
        </w:rPr>
        <w:t>[8]</w:t>
      </w:r>
      <w:r w:rsidR="00580B3C">
        <w:fldChar w:fldCharType="end"/>
      </w:r>
      <w:r w:rsidR="005B7015" w:rsidRPr="005247DF">
        <w:t xml:space="preserve"> </w:t>
      </w:r>
      <w:r w:rsidR="00B21EF4" w:rsidRPr="00416594">
        <w:t>Missing data were multipl</w:t>
      </w:r>
      <w:r w:rsidR="00521C51" w:rsidRPr="008A68AF">
        <w:t>y</w:t>
      </w:r>
      <w:r w:rsidR="00B21EF4" w:rsidRPr="008A68AF">
        <w:t xml:space="preserve"> imputed (n=10) using a regression approach in R (aregImpute, library Hmisc). Imputation </w:t>
      </w:r>
      <w:r w:rsidR="00B21EF4" w:rsidRPr="005247DF">
        <w:t>of missing variables was based on predictors, outcome variables, and other perioperative data.</w:t>
      </w:r>
      <w:r w:rsidR="00580B3C">
        <w:fldChar w:fldCharType="begin" w:fldLock="1"/>
      </w:r>
      <w:r w:rsidR="00B71E75">
        <w:instrText>ADDIN CSL_CITATION { "citationItems" : [ { "id" : "ITEM-1", "itemData" : { "DOI" : "10.2307/2290664", "ISBN" : "01621459", "ISSN" : "01621459", "abstract" : "The literature of regression analysis with missing values of the independent variables is reviewed. Six classes of procedures are distinguished: complete case analysis, available case methods, least squares on imputed data, maximum likelihood, Bayesian methods, and multiple imputation. Methods are compared and illustrated when missing data are confined to one independent variable, and extensions to more general patterns are indicated. Attention is paid to the performance of methods when the missing data are not missing completely at random. Least squares methods that fill in missing X's using only data on the X's are contrasted with likelihood-based methods that use data on the X's and Y. The latter approach is preferred and provides methods for elaboration of the basic normal linear regression model. It is suggested that more widely distributed software is needed that advances beyond complete-case analysis, available-case analysis, and naive imputation methods. Bayesian simulation methods and multiple imputation are reviewed; these provide fruitful avenues for future research.", "author" : [ { "dropping-particle" : "", "family" : "Little", "given" : "Roderick J. A.", "non-dropping-particle" : "", "parse-names" : false, "suffix" : "" } ], "container-title" : "Journal of the American Statistical Association", "id" : "ITEM-1", "issue" : "420", "issued" : { "date-parts" : [ [ "1992" ] ] }, "page" : "1227-1237", "title" : "Regression with missing x's: A review", "type" : "article-journal", "volume" : "87" }, "uris" : [ "http://www.mendeley.com/documents/?uuid=5abfd8c4-304a-4582-9627-f1348a3166fc" ] }, { "id" : "ITEM-2", "itemData" : { "ISSN" : "0277-6715", "PMID" : "10204197", "abstract" : "This paper studies a non-response problem in survival analysis where the occurrence of missing data in the risk factor is related to mortality. In a study to determine the influence of blood pressure on survival in the very old (85+ years), blood pressure measurements are missing in about 12.5 per cent of the sample. The available data suggest that the process that created the missing data depends jointly on survival and the unknown blood pressure, thereby distorting the relation of interest. Multiple imputation is used to impute missing blood pressure and then analyse the data under a variety of non-response models. One special modelling problem is treated in detail; the construction of a predictive model for drawing imputations if the number of variables is large. Risk estimates for these data appear robust to even large departures from the simplest non-response model, and are similar to those derived under deletion of the incomplete records.", "author" : [ { "dropping-particle" : "", "family" : "Buuren", "given" : "S", "non-dropping-particle" : "van", "parse-names" : false, "suffix" : "" }, { "dropping-particle" : "", "family" : "Boshuizen", "given" : "H C", "non-dropping-particle" : "", "parse-names" : false, "suffix" : "" }, { "dropping-particle" : "", "family" : "Knook", "given" : "D L", "non-dropping-particle" : "", "parse-names" : false, "suffix" : "" } ], "container-title" : "Statistics in medicine", "id" : "ITEM-2", "issue" : "6", "issued" : { "date-parts" : [ [ "1999", "3", "30" ] ] }, "page" : "681-94", "title" : "Multiple imputation of missing blood pressure covariates in survival analysis.", "type" : "article-journal", "volume" : "18" }, "uris" : [ "http://www.mendeley.com/documents/?uuid=9148325a-0c2d-4315-a5c5-0c1b6dbbc95a" ] }, { "id" : "ITEM-3", "itemData" : { "DOI" : "10.1016/j.jclinepi.2006.01.014", "ISSN" : "0895-4356", "PMID" : "16980149", "abstract" : "In most situations, simple techniques for handling missing data (such as complete case analysis, overall mean imputation, and the missing-indicator method) produce biased results, whereas imputation techniques yield valid results without complicating the analysis once the imputations are carried out. Imputation techniques are based on the idea that any subject in a study sample can be replaced by a new randomly chosen subject from the same source population. Imputation of missing data on a variable is replacing that missing by a value that is drawn from an estimate of the distribution of this variable. In single imputation, only one estimate is used. In multiple imputation, various estimates are used, reflecting the uncertainty in the estimation of this distribution. Under the general conditions of so-called missing at random and missing completely at random, both single and multiple imputations result in unbiased estimates of study associations. But single imputation results in too small estimated standard errors, whereas multiple imputation results in correctly estimated standard errors and confidence intervals. In this article we explain why all this is the case, and use a simple simulation study to demonstrate our explanations. We also explain and illustrate why two frequently used methods to handle missing data, i.e., overall mean imputation and the missing-indicator method, almost always result in biased estimates.", "author" : [ { "dropping-particle" : "", "family" : "Donders", "given" : "A Rogier T", "non-dropping-particle" : "", "parse-names" : false, "suffix" : "" }, { "dropping-particle" : "", "family" : "Heijden", "given" : "Geert J M G", "non-dropping-particle" : "van der", "parse-names" : false, "suffix" : "" }, { "dropping-particle" : "", "family" : "Stijnen", "given" : "Theo", "non-dropping-particle" : "", "parse-names" : false, "suffix" : "" }, { "dropping-particle" : "", "family" : "Moons", "given" : "Karel G M", "non-dropping-particle" : "", "parse-names" : false, "suffix" : "" } ], "container-title" : "Journal of clinical epidemiology", "id" : "ITEM-3", "issue" : "10", "issued" : { "date-parts" : [ [ "2006", "10" ] ] }, "note" : "From Duplicate 1 ( \n\n\n\n\n\n\n\n\n\n\n\n\n\n\n\n\n\n\n\n\n\n\n\n\n\n\n\n\n\n\n\n\n\n\n\n\n\n\n\n\n\n\n\n\n\n\n\n\n\n\n\n\n\n\n\n\n\n\n\n\n\n\n\n\n\n\n\n\n\n\n\n\n\n\n\n\n\n\n\n\n\n\n\n\n\n\n\n\n\n\n\n\n\n\n\n\n\n\n\n\n\n\n\n\n\n\n\n\n\n\n\n\n\n\n\n\n\n\n\n\n\n\n\n\n\n\n\n\n\n\n\n\n\n\n\n\n\n\n\n\n\n\n\n\n\n\n\n\n\n\n\n\n\n\n\n\n\n\n\n\n\n\n\n\n\n\n\n\n\n\n\n\n\n\n\n\n\n\n\n\n\n\n\n\n\n\n\n\n\n\n\n\n\n\n\n\n\n\n\n\n\n\n\n\n\n\n\n\n\n\n\n\n\n\n\n\n\n\n\nReview: a gentle introduction to imputation of missing values\n\n\n\n\n\n\n\n\n\n\n\n\n\n\n\n\n\n\n\n\n\n\n\n\n\n\n\n\n\n\n\n\n\n\n\n\n\n\n\n\n\n\n\n\n\n\n\n\n\n\n\n\n\n\n\n\n\n\n\n\n\n\n\n\n\n\n\n\n\n\n\n\n\n\n\n\n\n\n\n\n\n\n\n\n\n\n\n\n\n\n\n\n\n\n\n\n\n\n\n\n\n\n\n\n\n\n\n\n\n\n\n\n\n\n\n\n\n\n\n\n\n\n\n\n\n\n\n\n\n\n\n\n\n\n\n\n\n\n\n\n\n\n\n\n\n\n\n\n\n\n\n\n\n\n\n\n\n\n\n\n\n\n\n\n\n\n\n\n\n\n\n\n\n\n\n\n\n\n\n\n\n\n\n\n\n\n\n\n\n\n\n\n\n\n\n\n\n\n\n\n\n\n\n\n\n\n\n\n\n\n\n\n\n\n\n\n\n\n\n- Donders, A. R.; van der Heijden, G. J.; Stijnen, T.; Moons, K. G. )\n\n\n\n\n\n\n\n\n\n\n\n\n\n\n\n\n\n\n\n\n\n\n\n\n\n\n\n\n\n\n\n\n\n\n\n\n\n\n\n\n\n\n\n\n\n\n\n\n\n\n\n\n\n\n\n\n\n\n\n\n\n\n\n\n\n\n\n\n\n\n\n\n\n\n\n\n\n\n\n\n\n\n\n\n\n\n\n\n\n\n\n\n\n\n\n\n\n\n\n\n\n\n\n\n\n\n\n\n\n\n\n\n\n\n\n\n\n\n\n\n\n\n\n\n\n\n\nLR: 20061115; PUBM: Print-Electronic; JID: 8801383; RF: 15; 2004/05/12 [received]; 2006/01/05 [revised]; 2006/01/10 [accepted]; 2006/07/11 [aheadofprint]; ppublish", "page" : "1087-91", "title" : "Review: a gentle introduction to imputation of missing values.", "type" : "article-journal", "volume" : "59" }, "uris" : [ "http://www.mendeley.com/documents/?uuid=8b6b1b3a-00f5-4ca2-b98c-4f948a2b9d51" ] } ], "mendeley" : { "formattedCitation" : "[9\u201311]", "plainTextFormattedCitation" : "[9\u201311]", "previouslyFormattedCitation" : "&lt;sup&gt;9\u201311&lt;/sup&gt;" }, "properties" : { "noteIndex" : 0 }, "schema" : "https://github.com/citation-style-language/schema/raw/master/csl-citation.json" }</w:instrText>
      </w:r>
      <w:r w:rsidR="00580B3C">
        <w:fldChar w:fldCharType="separate"/>
      </w:r>
      <w:r w:rsidR="00B71E75" w:rsidRPr="00B71E75">
        <w:rPr>
          <w:noProof/>
        </w:rPr>
        <w:t>[9–11]</w:t>
      </w:r>
      <w:r w:rsidR="00580B3C">
        <w:fldChar w:fldCharType="end"/>
      </w:r>
      <w:r w:rsidR="00BD4316" w:rsidRPr="005247DF">
        <w:t xml:space="preserve"> </w:t>
      </w:r>
      <w:r w:rsidR="00BD4316" w:rsidRPr="00511BDD">
        <w:t>As PONV was coded missing when any of the follow-up measurements was incomplete, non-missing follow-up measurements of PONV were added to the imputation process to serve as auxiliary variables to impute missing values for PONV. Subsequently, the imputed values for PONV were included into the mixed effects regression model, instead of deleted. The anesthesiologists were added as an extra variable in the imputation model to take into account clustering in the data.</w:t>
      </w:r>
    </w:p>
    <w:p w14:paraId="359F8670" w14:textId="77777777" w:rsidR="00696837" w:rsidRDefault="00696837">
      <w:pPr>
        <w:suppressAutoHyphens w:val="0"/>
        <w:spacing w:line="240" w:lineRule="auto"/>
        <w:rPr>
          <w:rFonts w:eastAsia="Arial"/>
          <w:lang w:val="en-US"/>
        </w:rPr>
      </w:pPr>
      <w:r w:rsidRPr="00696837">
        <w:rPr>
          <w:lang w:val="en-US"/>
        </w:rPr>
        <w:br w:type="page"/>
      </w:r>
    </w:p>
    <w:p w14:paraId="359F8671" w14:textId="77777777" w:rsidR="00E2621F" w:rsidRPr="00796079" w:rsidRDefault="00E2621F" w:rsidP="00696837">
      <w:pPr>
        <w:pStyle w:val="Heading1"/>
        <w:rPr>
          <w:lang w:val="en-US"/>
        </w:rPr>
      </w:pPr>
      <w:r w:rsidRPr="00796079">
        <w:rPr>
          <w:lang w:val="en-US"/>
        </w:rPr>
        <w:lastRenderedPageBreak/>
        <w:t>Results</w:t>
      </w:r>
    </w:p>
    <w:p w14:paraId="359F8672" w14:textId="1C7F090C" w:rsidR="00796079" w:rsidRPr="00646063" w:rsidRDefault="00646063" w:rsidP="00796079">
      <w:pPr>
        <w:rPr>
          <w:rFonts w:eastAsia="Arial"/>
          <w:lang w:val="en-US"/>
        </w:rPr>
      </w:pPr>
      <w:r>
        <w:rPr>
          <w:rFonts w:eastAsia="Arial"/>
          <w:lang w:val="en-GB"/>
        </w:rPr>
        <w:t xml:space="preserve">Baseline differences for both studies are displayed in Table 1. </w:t>
      </w:r>
      <w:r w:rsidR="009B0D00">
        <w:rPr>
          <w:rFonts w:eastAsia="Arial"/>
          <w:lang w:val="en-GB"/>
        </w:rPr>
        <w:t xml:space="preserve">In contrast to the </w:t>
      </w:r>
      <w:r w:rsidR="009D6617">
        <w:rPr>
          <w:rFonts w:eastAsia="Arial"/>
          <w:lang w:val="en-GB"/>
        </w:rPr>
        <w:t xml:space="preserve">assistive </w:t>
      </w:r>
      <w:r w:rsidR="009B0D00">
        <w:rPr>
          <w:rFonts w:eastAsia="Arial"/>
          <w:lang w:val="en-GB"/>
        </w:rPr>
        <w:t>study</w:t>
      </w:r>
      <w:r w:rsidR="002B3203">
        <w:rPr>
          <w:rFonts w:eastAsia="Arial"/>
          <w:lang w:val="en-GB"/>
        </w:rPr>
        <w:t xml:space="preserve">, </w:t>
      </w:r>
      <w:r w:rsidR="00E2621F" w:rsidRPr="00511BDD">
        <w:rPr>
          <w:rFonts w:eastAsia="Arial"/>
          <w:lang w:val="en-US"/>
        </w:rPr>
        <w:t xml:space="preserve">the directive approach in the before-after study resulted in </w:t>
      </w:r>
      <w:r>
        <w:rPr>
          <w:rFonts w:eastAsia="Arial"/>
          <w:lang w:val="en-US"/>
        </w:rPr>
        <w:t xml:space="preserve">a </w:t>
      </w:r>
      <w:r w:rsidRPr="00511BDD">
        <w:rPr>
          <w:rFonts w:eastAsia="Arial"/>
          <w:lang w:val="en-US"/>
        </w:rPr>
        <w:t>larger increase in risk-dependent prophylaxis than the assistive approach in the earlier trial</w:t>
      </w:r>
      <w:r>
        <w:rPr>
          <w:rFonts w:eastAsia="Arial"/>
          <w:lang w:val="en-US"/>
        </w:rPr>
        <w:t xml:space="preserve"> (Table 2, both panels)</w:t>
      </w:r>
      <w:r w:rsidRPr="00F61925">
        <w:rPr>
          <w:rFonts w:eastAsia="Arial"/>
          <w:lang w:val="en-US"/>
        </w:rPr>
        <w:t>.</w:t>
      </w:r>
      <w:r>
        <w:rPr>
          <w:rFonts w:eastAsia="Arial"/>
          <w:lang w:val="en-US"/>
        </w:rPr>
        <w:t xml:space="preserve"> Following this increase in prophylaxis administration, there was </w:t>
      </w:r>
      <w:r w:rsidR="00E2621F" w:rsidRPr="00511BDD">
        <w:rPr>
          <w:rFonts w:eastAsia="Arial"/>
          <w:lang w:val="en-US"/>
        </w:rPr>
        <w:t xml:space="preserve">a </w:t>
      </w:r>
      <w:r w:rsidR="009B0D00" w:rsidRPr="004D69FE">
        <w:rPr>
          <w:rFonts w:eastAsia="Arial"/>
          <w:lang w:val="en-US"/>
        </w:rPr>
        <w:t>decrease of PONV in patients with a predicted PONV risk greater than 41% (2 or 3 antiemetics recommended</w:t>
      </w:r>
      <w:r w:rsidR="00AA63CF">
        <w:rPr>
          <w:rFonts w:eastAsia="Arial"/>
          <w:lang w:val="en-US"/>
        </w:rPr>
        <w:t>, see Table 3</w:t>
      </w:r>
      <w:r w:rsidR="009B0D00" w:rsidRPr="004D69FE">
        <w:rPr>
          <w:rFonts w:eastAsia="Arial"/>
          <w:lang w:val="en-US"/>
        </w:rPr>
        <w:t>)</w:t>
      </w:r>
      <w:r w:rsidR="0025552D">
        <w:rPr>
          <w:rFonts w:eastAsia="Arial"/>
          <w:lang w:val="en-US"/>
        </w:rPr>
        <w:t>.</w:t>
      </w:r>
      <w:r w:rsidR="009B0D00">
        <w:rPr>
          <w:rFonts w:eastAsia="Arial"/>
          <w:lang w:val="en-US"/>
        </w:rPr>
        <w:t xml:space="preserve"> </w:t>
      </w:r>
      <w:r w:rsidR="00E2621F" w:rsidRPr="00F61925">
        <w:rPr>
          <w:rFonts w:eastAsia="Arial"/>
          <w:lang w:val="en-GB"/>
        </w:rPr>
        <w:t xml:space="preserve">The results </w:t>
      </w:r>
      <w:r w:rsidR="00E2621F" w:rsidRPr="00F61925">
        <w:rPr>
          <w:rFonts w:eastAsia="Arial"/>
          <w:lang w:val="en-US"/>
        </w:rPr>
        <w:t xml:space="preserve">of the regression models of the comparison between studies </w:t>
      </w:r>
      <w:r w:rsidR="00580B3C">
        <w:rPr>
          <w:rFonts w:eastAsia="Arial"/>
          <w:lang w:val="en-US"/>
        </w:rPr>
        <w:t xml:space="preserve">– </w:t>
      </w:r>
      <w:r>
        <w:rPr>
          <w:rFonts w:eastAsia="Arial"/>
          <w:lang w:val="en-US"/>
        </w:rPr>
        <w:t>on which Figure 2 of the manuscript is based</w:t>
      </w:r>
      <w:r w:rsidR="00580B3C">
        <w:rPr>
          <w:rFonts w:eastAsia="Arial"/>
          <w:lang w:val="en-US"/>
        </w:rPr>
        <w:t xml:space="preserve"> –</w:t>
      </w:r>
      <w:r>
        <w:rPr>
          <w:rFonts w:eastAsia="Arial"/>
          <w:lang w:val="en-US"/>
        </w:rPr>
        <w:t xml:space="preserve"> </w:t>
      </w:r>
      <w:r w:rsidR="00E2621F" w:rsidRPr="00F61925">
        <w:rPr>
          <w:rFonts w:eastAsia="Arial"/>
          <w:lang w:val="en-US"/>
        </w:rPr>
        <w:t xml:space="preserve">can be found in </w:t>
      </w:r>
      <w:r>
        <w:rPr>
          <w:rFonts w:eastAsia="Arial"/>
          <w:lang w:val="en-US"/>
        </w:rPr>
        <w:t>Tables 4 and 5</w:t>
      </w:r>
      <w:r w:rsidR="00E2621F" w:rsidRPr="005247DF">
        <w:rPr>
          <w:lang w:val="en-US"/>
        </w:rPr>
        <w:t>.</w:t>
      </w:r>
    </w:p>
    <w:p w14:paraId="359F8673" w14:textId="77777777" w:rsidR="00796079" w:rsidRDefault="00796079">
      <w:pPr>
        <w:suppressAutoHyphens w:val="0"/>
        <w:spacing w:line="240" w:lineRule="auto"/>
        <w:rPr>
          <w:lang w:val="en-US"/>
        </w:rPr>
      </w:pPr>
      <w:r>
        <w:rPr>
          <w:lang w:val="en-US"/>
        </w:rPr>
        <w:br w:type="page"/>
      </w:r>
    </w:p>
    <w:p w14:paraId="359F8674" w14:textId="77777777" w:rsidR="00796079" w:rsidRDefault="00796079" w:rsidP="00796079">
      <w:pPr>
        <w:rPr>
          <w:rFonts w:eastAsia="Arial"/>
          <w:lang w:val="en-US"/>
        </w:rPr>
        <w:sectPr w:rsidR="00796079" w:rsidSect="00F8666B">
          <w:pgSz w:w="11906" w:h="16838"/>
          <w:pgMar w:top="1418" w:right="1418" w:bottom="1418" w:left="1418" w:header="709" w:footer="709" w:gutter="0"/>
          <w:cols w:space="708"/>
          <w:docGrid w:linePitch="360" w:charSpace="32768"/>
        </w:sectPr>
      </w:pPr>
    </w:p>
    <w:p w14:paraId="359F8675" w14:textId="77777777" w:rsidR="00796079" w:rsidRPr="004438D0" w:rsidRDefault="00796079" w:rsidP="005211DE">
      <w:pPr>
        <w:pStyle w:val="Heading1"/>
        <w:rPr>
          <w:lang w:val="en-US"/>
        </w:rPr>
      </w:pPr>
      <w:r w:rsidRPr="004438D0">
        <w:rPr>
          <w:lang w:val="en-US"/>
        </w:rPr>
        <w:lastRenderedPageBreak/>
        <w:t xml:space="preserve">Table 1 – Patient characteristics of the </w:t>
      </w:r>
      <w:r w:rsidR="008E467E">
        <w:rPr>
          <w:lang w:val="en-US"/>
        </w:rPr>
        <w:t>assistive</w:t>
      </w:r>
      <w:r w:rsidRPr="004438D0">
        <w:rPr>
          <w:lang w:val="en-US"/>
        </w:rPr>
        <w:t xml:space="preserve"> study (left) and the </w:t>
      </w:r>
      <w:r w:rsidR="008E467E">
        <w:rPr>
          <w:lang w:val="en-US"/>
        </w:rPr>
        <w:t>directive study</w:t>
      </w:r>
      <w:r w:rsidRPr="004438D0">
        <w:rPr>
          <w:lang w:val="en-US"/>
        </w:rPr>
        <w:t xml:space="preserve"> (right)</w:t>
      </w:r>
    </w:p>
    <w:tbl>
      <w:tblPr>
        <w:tblW w:w="12758" w:type="dxa"/>
        <w:tblInd w:w="-34" w:type="dxa"/>
        <w:tblLayout w:type="fixed"/>
        <w:tblLook w:val="00A0" w:firstRow="1" w:lastRow="0" w:firstColumn="1" w:lastColumn="0" w:noHBand="0" w:noVBand="0"/>
      </w:tblPr>
      <w:tblGrid>
        <w:gridCol w:w="3403"/>
        <w:gridCol w:w="283"/>
        <w:gridCol w:w="425"/>
        <w:gridCol w:w="1985"/>
        <w:gridCol w:w="1984"/>
        <w:gridCol w:w="142"/>
        <w:gridCol w:w="567"/>
        <w:gridCol w:w="2126"/>
        <w:gridCol w:w="1843"/>
      </w:tblGrid>
      <w:tr w:rsidR="00796079" w:rsidRPr="000C0EB5" w14:paraId="359F8679" w14:textId="77777777" w:rsidTr="00D82D86">
        <w:tc>
          <w:tcPr>
            <w:tcW w:w="3686" w:type="dxa"/>
            <w:gridSpan w:val="2"/>
            <w:shd w:val="clear" w:color="auto" w:fill="auto"/>
          </w:tcPr>
          <w:p w14:paraId="359F8676" w14:textId="77777777" w:rsidR="00796079" w:rsidRPr="000C0EB5" w:rsidRDefault="00796079" w:rsidP="00D82D86">
            <w:pPr>
              <w:ind w:firstLine="708"/>
              <w:rPr>
                <w:sz w:val="18"/>
                <w:lang w:val="en-US"/>
              </w:rPr>
            </w:pPr>
          </w:p>
        </w:tc>
        <w:tc>
          <w:tcPr>
            <w:tcW w:w="4536" w:type="dxa"/>
            <w:gridSpan w:val="4"/>
            <w:shd w:val="clear" w:color="auto" w:fill="auto"/>
          </w:tcPr>
          <w:p w14:paraId="359F8677" w14:textId="77777777" w:rsidR="00796079" w:rsidRPr="000C0EB5" w:rsidRDefault="00796079" w:rsidP="00D82D86">
            <w:pPr>
              <w:jc w:val="center"/>
              <w:rPr>
                <w:b/>
                <w:sz w:val="20"/>
                <w:szCs w:val="20"/>
                <w:lang w:val="en-US"/>
              </w:rPr>
            </w:pPr>
            <w:r>
              <w:rPr>
                <w:b/>
                <w:sz w:val="20"/>
                <w:szCs w:val="20"/>
                <w:lang w:val="en-US"/>
              </w:rPr>
              <w:t>Assistive</w:t>
            </w:r>
            <w:r w:rsidRPr="000C0EB5">
              <w:rPr>
                <w:b/>
                <w:sz w:val="20"/>
                <w:szCs w:val="20"/>
                <w:lang w:val="en-US"/>
              </w:rPr>
              <w:t xml:space="preserve"> Study</w:t>
            </w:r>
          </w:p>
        </w:tc>
        <w:tc>
          <w:tcPr>
            <w:tcW w:w="4536" w:type="dxa"/>
            <w:gridSpan w:val="3"/>
            <w:shd w:val="clear" w:color="auto" w:fill="auto"/>
          </w:tcPr>
          <w:p w14:paraId="359F8678" w14:textId="77777777" w:rsidR="00796079" w:rsidRPr="000C0EB5" w:rsidRDefault="00796079" w:rsidP="00D82D86">
            <w:pPr>
              <w:jc w:val="center"/>
              <w:rPr>
                <w:b/>
                <w:sz w:val="20"/>
                <w:szCs w:val="20"/>
                <w:lang w:val="en-US"/>
              </w:rPr>
            </w:pPr>
            <w:r w:rsidRPr="000C0EB5">
              <w:rPr>
                <w:b/>
                <w:sz w:val="20"/>
                <w:szCs w:val="20"/>
                <w:lang w:val="en-US"/>
              </w:rPr>
              <w:t>Directive Study</w:t>
            </w:r>
          </w:p>
        </w:tc>
      </w:tr>
      <w:tr w:rsidR="00796079" w:rsidRPr="000C0EB5" w14:paraId="359F8681" w14:textId="77777777" w:rsidTr="00D82D86">
        <w:tc>
          <w:tcPr>
            <w:tcW w:w="3403" w:type="dxa"/>
            <w:shd w:val="clear" w:color="auto" w:fill="auto"/>
          </w:tcPr>
          <w:p w14:paraId="359F867A" w14:textId="77777777" w:rsidR="00796079" w:rsidRPr="00796079" w:rsidRDefault="00796079" w:rsidP="00D82D86">
            <w:pPr>
              <w:rPr>
                <w:sz w:val="16"/>
                <w:szCs w:val="16"/>
                <w:lang w:val="en-US"/>
              </w:rPr>
            </w:pPr>
            <w:bookmarkStart w:id="0" w:name="Table3"/>
          </w:p>
        </w:tc>
        <w:tc>
          <w:tcPr>
            <w:tcW w:w="708" w:type="dxa"/>
            <w:gridSpan w:val="2"/>
            <w:shd w:val="clear" w:color="auto" w:fill="auto"/>
            <w:vAlign w:val="center"/>
          </w:tcPr>
          <w:p w14:paraId="359F867B" w14:textId="77777777" w:rsidR="00796079" w:rsidRPr="00796079" w:rsidRDefault="00796079" w:rsidP="00D82D86">
            <w:pPr>
              <w:jc w:val="center"/>
              <w:rPr>
                <w:sz w:val="16"/>
                <w:szCs w:val="16"/>
                <w:lang w:val="en-US"/>
              </w:rPr>
            </w:pPr>
          </w:p>
        </w:tc>
        <w:tc>
          <w:tcPr>
            <w:tcW w:w="1985" w:type="dxa"/>
            <w:shd w:val="clear" w:color="auto" w:fill="auto"/>
            <w:vAlign w:val="center"/>
          </w:tcPr>
          <w:p w14:paraId="359F867C" w14:textId="77777777" w:rsidR="00796079" w:rsidRPr="00796079" w:rsidRDefault="00796079" w:rsidP="00D82D86">
            <w:pPr>
              <w:jc w:val="center"/>
              <w:rPr>
                <w:sz w:val="16"/>
                <w:szCs w:val="16"/>
                <w:lang w:val="en-US"/>
              </w:rPr>
            </w:pPr>
            <w:r w:rsidRPr="00796079">
              <w:rPr>
                <w:sz w:val="16"/>
                <w:szCs w:val="16"/>
                <w:lang w:val="en-US"/>
              </w:rPr>
              <w:t>Care-as-Usual Group</w:t>
            </w:r>
          </w:p>
        </w:tc>
        <w:tc>
          <w:tcPr>
            <w:tcW w:w="1984" w:type="dxa"/>
            <w:shd w:val="clear" w:color="auto" w:fill="auto"/>
            <w:vAlign w:val="center"/>
          </w:tcPr>
          <w:p w14:paraId="359F867D" w14:textId="77777777" w:rsidR="00796079" w:rsidRPr="00796079" w:rsidRDefault="00796079" w:rsidP="00D82D86">
            <w:pPr>
              <w:jc w:val="center"/>
              <w:rPr>
                <w:sz w:val="16"/>
                <w:szCs w:val="16"/>
                <w:lang w:val="en-US"/>
              </w:rPr>
            </w:pPr>
            <w:r w:rsidRPr="00796079">
              <w:rPr>
                <w:sz w:val="16"/>
                <w:szCs w:val="16"/>
                <w:lang w:val="en-US"/>
              </w:rPr>
              <w:t>Intervention Group</w:t>
            </w:r>
          </w:p>
        </w:tc>
        <w:tc>
          <w:tcPr>
            <w:tcW w:w="709" w:type="dxa"/>
            <w:gridSpan w:val="2"/>
            <w:shd w:val="clear" w:color="auto" w:fill="auto"/>
            <w:vAlign w:val="center"/>
          </w:tcPr>
          <w:p w14:paraId="359F867E" w14:textId="77777777" w:rsidR="00796079" w:rsidRPr="00796079" w:rsidRDefault="00796079" w:rsidP="00D82D86">
            <w:pPr>
              <w:jc w:val="center"/>
              <w:rPr>
                <w:sz w:val="16"/>
                <w:szCs w:val="16"/>
                <w:lang w:val="en-US"/>
              </w:rPr>
            </w:pPr>
          </w:p>
        </w:tc>
        <w:tc>
          <w:tcPr>
            <w:tcW w:w="2126" w:type="dxa"/>
            <w:shd w:val="clear" w:color="auto" w:fill="auto"/>
            <w:vAlign w:val="center"/>
          </w:tcPr>
          <w:p w14:paraId="359F867F" w14:textId="77777777" w:rsidR="00796079" w:rsidRPr="00796079" w:rsidRDefault="00796079" w:rsidP="00D82D86">
            <w:pPr>
              <w:jc w:val="center"/>
              <w:rPr>
                <w:sz w:val="16"/>
                <w:szCs w:val="16"/>
                <w:lang w:val="en-US"/>
              </w:rPr>
            </w:pPr>
            <w:r w:rsidRPr="00796079">
              <w:rPr>
                <w:sz w:val="16"/>
                <w:szCs w:val="16"/>
                <w:lang w:val="en-US"/>
              </w:rPr>
              <w:t>Care-as-Usual Group</w:t>
            </w:r>
          </w:p>
        </w:tc>
        <w:tc>
          <w:tcPr>
            <w:tcW w:w="1843" w:type="dxa"/>
            <w:shd w:val="clear" w:color="auto" w:fill="auto"/>
            <w:vAlign w:val="center"/>
          </w:tcPr>
          <w:p w14:paraId="359F8680" w14:textId="77777777" w:rsidR="00796079" w:rsidRPr="00796079" w:rsidRDefault="00796079" w:rsidP="00D82D86">
            <w:pPr>
              <w:jc w:val="center"/>
              <w:rPr>
                <w:sz w:val="16"/>
                <w:szCs w:val="16"/>
                <w:lang w:val="en-US"/>
              </w:rPr>
            </w:pPr>
            <w:r w:rsidRPr="00796079">
              <w:rPr>
                <w:sz w:val="16"/>
                <w:szCs w:val="16"/>
                <w:lang w:val="en-US"/>
              </w:rPr>
              <w:t>Intervention Group</w:t>
            </w:r>
          </w:p>
        </w:tc>
      </w:tr>
      <w:tr w:rsidR="00796079" w:rsidRPr="000C0EB5" w14:paraId="359F8689" w14:textId="77777777" w:rsidTr="00D82D86">
        <w:tc>
          <w:tcPr>
            <w:tcW w:w="3403" w:type="dxa"/>
            <w:shd w:val="clear" w:color="auto" w:fill="auto"/>
          </w:tcPr>
          <w:p w14:paraId="359F8682" w14:textId="77777777" w:rsidR="00796079" w:rsidRPr="00796079" w:rsidRDefault="00796079" w:rsidP="00D82D86">
            <w:pPr>
              <w:rPr>
                <w:sz w:val="16"/>
                <w:szCs w:val="16"/>
                <w:lang w:val="en-US"/>
              </w:rPr>
            </w:pPr>
          </w:p>
        </w:tc>
        <w:tc>
          <w:tcPr>
            <w:tcW w:w="708" w:type="dxa"/>
            <w:gridSpan w:val="2"/>
            <w:shd w:val="clear" w:color="auto" w:fill="auto"/>
            <w:vAlign w:val="center"/>
          </w:tcPr>
          <w:p w14:paraId="359F8683" w14:textId="77777777" w:rsidR="00796079" w:rsidRPr="00796079" w:rsidRDefault="00796079" w:rsidP="00D82D86">
            <w:pPr>
              <w:jc w:val="center"/>
              <w:rPr>
                <w:sz w:val="16"/>
                <w:szCs w:val="16"/>
                <w:lang w:val="en-US"/>
              </w:rPr>
            </w:pPr>
            <w:r w:rsidRPr="00796079">
              <w:rPr>
                <w:sz w:val="16"/>
                <w:szCs w:val="16"/>
                <w:lang w:val="en-US"/>
              </w:rPr>
              <w:t>N*</w:t>
            </w:r>
          </w:p>
        </w:tc>
        <w:tc>
          <w:tcPr>
            <w:tcW w:w="1985" w:type="dxa"/>
            <w:shd w:val="clear" w:color="auto" w:fill="auto"/>
            <w:vAlign w:val="center"/>
          </w:tcPr>
          <w:p w14:paraId="359F8684" w14:textId="77777777" w:rsidR="00796079" w:rsidRPr="00E51635" w:rsidRDefault="00796079" w:rsidP="00D82D86">
            <w:pPr>
              <w:jc w:val="center"/>
              <w:rPr>
                <w:sz w:val="16"/>
                <w:szCs w:val="16"/>
                <w:lang w:val="en-US"/>
              </w:rPr>
            </w:pPr>
            <w:r w:rsidRPr="00E51635">
              <w:rPr>
                <w:sz w:val="16"/>
                <w:szCs w:val="16"/>
                <w:lang w:val="en-US"/>
              </w:rPr>
              <w:t>(</w:t>
            </w:r>
            <w:r w:rsidRPr="00E51635">
              <w:rPr>
                <w:rFonts w:eastAsia="Arial"/>
                <w:i/>
                <w:sz w:val="16"/>
                <w:szCs w:val="16"/>
                <w:lang w:val="en-US"/>
              </w:rPr>
              <w:t>n</w:t>
            </w:r>
            <w:r w:rsidRPr="00E51635">
              <w:rPr>
                <w:rFonts w:eastAsia="Arial"/>
                <w:sz w:val="16"/>
                <w:szCs w:val="16"/>
                <w:lang w:val="en-US"/>
              </w:rPr>
              <w:t xml:space="preserve"> = </w:t>
            </w:r>
            <w:r w:rsidRPr="00E51635">
              <w:rPr>
                <w:sz w:val="16"/>
                <w:szCs w:val="16"/>
                <w:lang w:val="en-US"/>
              </w:rPr>
              <w:t>4496)</w:t>
            </w:r>
          </w:p>
        </w:tc>
        <w:tc>
          <w:tcPr>
            <w:tcW w:w="1984" w:type="dxa"/>
            <w:shd w:val="clear" w:color="auto" w:fill="auto"/>
            <w:vAlign w:val="center"/>
          </w:tcPr>
          <w:p w14:paraId="359F8685" w14:textId="77777777" w:rsidR="00796079" w:rsidRPr="00E51635" w:rsidRDefault="00796079" w:rsidP="00D82D86">
            <w:pPr>
              <w:jc w:val="center"/>
              <w:rPr>
                <w:sz w:val="16"/>
                <w:szCs w:val="16"/>
                <w:lang w:val="en-US"/>
              </w:rPr>
            </w:pPr>
            <w:r w:rsidRPr="00E51635">
              <w:rPr>
                <w:sz w:val="16"/>
                <w:szCs w:val="16"/>
                <w:lang w:val="en-US"/>
              </w:rPr>
              <w:t>(</w:t>
            </w:r>
            <w:r w:rsidRPr="00E51635">
              <w:rPr>
                <w:rFonts w:eastAsia="Arial"/>
                <w:i/>
                <w:sz w:val="16"/>
                <w:szCs w:val="16"/>
                <w:lang w:val="en-US"/>
              </w:rPr>
              <w:t>n</w:t>
            </w:r>
            <w:r w:rsidRPr="00E51635">
              <w:rPr>
                <w:rFonts w:eastAsia="Arial"/>
                <w:sz w:val="16"/>
                <w:szCs w:val="16"/>
                <w:lang w:val="en-US"/>
              </w:rPr>
              <w:t xml:space="preserve"> = </w:t>
            </w:r>
            <w:r w:rsidRPr="00E51635">
              <w:rPr>
                <w:sz w:val="16"/>
                <w:szCs w:val="16"/>
                <w:lang w:val="en-US"/>
              </w:rPr>
              <w:t>3385)</w:t>
            </w:r>
          </w:p>
        </w:tc>
        <w:tc>
          <w:tcPr>
            <w:tcW w:w="709" w:type="dxa"/>
            <w:gridSpan w:val="2"/>
            <w:shd w:val="clear" w:color="auto" w:fill="auto"/>
            <w:vAlign w:val="center"/>
          </w:tcPr>
          <w:p w14:paraId="359F8686" w14:textId="77777777" w:rsidR="00796079" w:rsidRPr="00796079" w:rsidRDefault="00796079" w:rsidP="00D82D86">
            <w:pPr>
              <w:jc w:val="center"/>
              <w:rPr>
                <w:sz w:val="16"/>
                <w:szCs w:val="16"/>
                <w:lang w:val="en-US"/>
              </w:rPr>
            </w:pPr>
            <w:r w:rsidRPr="00796079">
              <w:rPr>
                <w:sz w:val="16"/>
                <w:szCs w:val="16"/>
                <w:lang w:val="en-US"/>
              </w:rPr>
              <w:t>N*</w:t>
            </w:r>
          </w:p>
        </w:tc>
        <w:tc>
          <w:tcPr>
            <w:tcW w:w="2126" w:type="dxa"/>
            <w:shd w:val="clear" w:color="auto" w:fill="auto"/>
            <w:vAlign w:val="center"/>
          </w:tcPr>
          <w:p w14:paraId="359F8687" w14:textId="77777777" w:rsidR="00796079" w:rsidRPr="00796079" w:rsidRDefault="00796079" w:rsidP="00D82D86">
            <w:pPr>
              <w:jc w:val="center"/>
              <w:rPr>
                <w:sz w:val="16"/>
                <w:szCs w:val="16"/>
                <w:lang w:val="en-US"/>
              </w:rPr>
            </w:pPr>
            <w:r w:rsidRPr="00796079">
              <w:rPr>
                <w:sz w:val="16"/>
                <w:szCs w:val="16"/>
                <w:lang w:val="en-US"/>
              </w:rPr>
              <w:t>(</w:t>
            </w:r>
            <w:r w:rsidRPr="00796079">
              <w:rPr>
                <w:rFonts w:eastAsia="Arial"/>
                <w:i/>
                <w:sz w:val="16"/>
                <w:szCs w:val="16"/>
                <w:lang w:val="en-US"/>
              </w:rPr>
              <w:t>n</w:t>
            </w:r>
            <w:r w:rsidRPr="00796079">
              <w:rPr>
                <w:rFonts w:eastAsia="Arial"/>
                <w:sz w:val="16"/>
                <w:szCs w:val="16"/>
                <w:lang w:val="en-US"/>
              </w:rPr>
              <w:t xml:space="preserve"> = </w:t>
            </w:r>
            <w:r w:rsidRPr="00796079">
              <w:rPr>
                <w:sz w:val="16"/>
                <w:szCs w:val="16"/>
                <w:lang w:val="en-US"/>
              </w:rPr>
              <w:t>1022)</w:t>
            </w:r>
          </w:p>
        </w:tc>
        <w:tc>
          <w:tcPr>
            <w:tcW w:w="1843" w:type="dxa"/>
            <w:shd w:val="clear" w:color="auto" w:fill="auto"/>
            <w:vAlign w:val="center"/>
          </w:tcPr>
          <w:p w14:paraId="359F8688" w14:textId="77777777" w:rsidR="00796079" w:rsidRPr="00796079" w:rsidRDefault="00796079" w:rsidP="00D82D86">
            <w:pPr>
              <w:jc w:val="center"/>
              <w:rPr>
                <w:sz w:val="16"/>
                <w:szCs w:val="16"/>
                <w:lang w:val="en-US"/>
              </w:rPr>
            </w:pPr>
            <w:r w:rsidRPr="00796079">
              <w:rPr>
                <w:sz w:val="16"/>
                <w:szCs w:val="16"/>
                <w:lang w:val="en-US"/>
              </w:rPr>
              <w:t>(</w:t>
            </w:r>
            <w:r w:rsidRPr="00796079">
              <w:rPr>
                <w:rFonts w:eastAsia="Arial"/>
                <w:i/>
                <w:sz w:val="16"/>
                <w:szCs w:val="16"/>
                <w:lang w:val="en-US"/>
              </w:rPr>
              <w:t>n</w:t>
            </w:r>
            <w:r w:rsidRPr="00796079">
              <w:rPr>
                <w:rFonts w:eastAsia="Arial"/>
                <w:sz w:val="16"/>
                <w:szCs w:val="16"/>
                <w:lang w:val="en-US"/>
              </w:rPr>
              <w:t xml:space="preserve"> = </w:t>
            </w:r>
            <w:r w:rsidRPr="00796079">
              <w:rPr>
                <w:sz w:val="16"/>
                <w:szCs w:val="16"/>
                <w:lang w:val="en-US"/>
              </w:rPr>
              <w:t>461)</w:t>
            </w:r>
          </w:p>
        </w:tc>
      </w:tr>
      <w:tr w:rsidR="00796079" w:rsidRPr="000C0EB5" w14:paraId="359F8691" w14:textId="77777777" w:rsidTr="00D82D86">
        <w:tc>
          <w:tcPr>
            <w:tcW w:w="3403" w:type="dxa"/>
            <w:shd w:val="clear" w:color="auto" w:fill="auto"/>
          </w:tcPr>
          <w:p w14:paraId="359F868A" w14:textId="77777777" w:rsidR="00796079" w:rsidRPr="00796079" w:rsidRDefault="00796079" w:rsidP="00D82D86">
            <w:pPr>
              <w:rPr>
                <w:sz w:val="16"/>
                <w:szCs w:val="16"/>
                <w:lang w:val="en-US"/>
              </w:rPr>
            </w:pPr>
            <w:r w:rsidRPr="00796079">
              <w:rPr>
                <w:sz w:val="16"/>
                <w:szCs w:val="16"/>
                <w:lang w:val="en-US"/>
              </w:rPr>
              <w:t>Age</w:t>
            </w:r>
            <w:r w:rsidRPr="00796079">
              <w:rPr>
                <w:rFonts w:eastAsia="Arial"/>
                <w:sz w:val="16"/>
                <w:szCs w:val="16"/>
                <w:lang w:val="en-US"/>
              </w:rPr>
              <w:t>, mean (SD), years</w:t>
            </w:r>
          </w:p>
        </w:tc>
        <w:tc>
          <w:tcPr>
            <w:tcW w:w="708" w:type="dxa"/>
            <w:gridSpan w:val="2"/>
            <w:shd w:val="clear" w:color="auto" w:fill="auto"/>
            <w:vAlign w:val="center"/>
          </w:tcPr>
          <w:p w14:paraId="359F868B"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vAlign w:val="center"/>
          </w:tcPr>
          <w:p w14:paraId="359F868C" w14:textId="77777777" w:rsidR="00796079" w:rsidRPr="00E51635" w:rsidRDefault="00796079" w:rsidP="00D82D86">
            <w:pPr>
              <w:contextualSpacing/>
              <w:jc w:val="center"/>
              <w:rPr>
                <w:sz w:val="16"/>
                <w:szCs w:val="16"/>
                <w:lang w:val="en-US"/>
              </w:rPr>
            </w:pPr>
            <w:r w:rsidRPr="00E51635">
              <w:rPr>
                <w:sz w:val="16"/>
                <w:szCs w:val="16"/>
                <w:lang w:val="en-US"/>
              </w:rPr>
              <w:t>52 (17)</w:t>
            </w:r>
          </w:p>
        </w:tc>
        <w:tc>
          <w:tcPr>
            <w:tcW w:w="1984" w:type="dxa"/>
            <w:shd w:val="clear" w:color="auto" w:fill="auto"/>
            <w:vAlign w:val="center"/>
          </w:tcPr>
          <w:p w14:paraId="359F868D" w14:textId="77777777" w:rsidR="00796079" w:rsidRPr="00E51635" w:rsidRDefault="00796079" w:rsidP="00D82D86">
            <w:pPr>
              <w:jc w:val="center"/>
              <w:rPr>
                <w:sz w:val="16"/>
                <w:szCs w:val="16"/>
                <w:lang w:val="en-US"/>
              </w:rPr>
            </w:pPr>
            <w:r w:rsidRPr="00E51635">
              <w:rPr>
                <w:sz w:val="16"/>
                <w:szCs w:val="16"/>
                <w:lang w:val="en-US"/>
              </w:rPr>
              <w:t>52 (17)</w:t>
            </w:r>
          </w:p>
        </w:tc>
        <w:tc>
          <w:tcPr>
            <w:tcW w:w="709" w:type="dxa"/>
            <w:gridSpan w:val="2"/>
            <w:shd w:val="clear" w:color="auto" w:fill="auto"/>
            <w:vAlign w:val="center"/>
          </w:tcPr>
          <w:p w14:paraId="359F868E"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68F" w14:textId="77777777" w:rsidR="00796079" w:rsidRPr="00796079" w:rsidRDefault="00796079" w:rsidP="00D82D86">
            <w:pPr>
              <w:jc w:val="center"/>
              <w:rPr>
                <w:sz w:val="16"/>
                <w:szCs w:val="16"/>
                <w:lang w:val="en-US"/>
              </w:rPr>
            </w:pPr>
            <w:r w:rsidRPr="00796079">
              <w:rPr>
                <w:sz w:val="16"/>
                <w:szCs w:val="16"/>
                <w:lang w:val="en-US"/>
              </w:rPr>
              <w:t>52 (18)</w:t>
            </w:r>
          </w:p>
        </w:tc>
        <w:tc>
          <w:tcPr>
            <w:tcW w:w="1843" w:type="dxa"/>
            <w:shd w:val="clear" w:color="auto" w:fill="auto"/>
            <w:vAlign w:val="center"/>
          </w:tcPr>
          <w:p w14:paraId="359F8690" w14:textId="77777777" w:rsidR="00796079" w:rsidRPr="00796079" w:rsidRDefault="00796079" w:rsidP="00D82D86">
            <w:pPr>
              <w:jc w:val="center"/>
              <w:rPr>
                <w:sz w:val="16"/>
                <w:szCs w:val="16"/>
                <w:lang w:val="en-US"/>
              </w:rPr>
            </w:pPr>
            <w:r w:rsidRPr="00796079">
              <w:rPr>
                <w:sz w:val="16"/>
                <w:szCs w:val="16"/>
                <w:lang w:val="en-US"/>
              </w:rPr>
              <w:t>54 (18)</w:t>
            </w:r>
          </w:p>
        </w:tc>
      </w:tr>
      <w:tr w:rsidR="00796079" w:rsidRPr="000C0EB5" w14:paraId="359F8699" w14:textId="77777777" w:rsidTr="00D82D86">
        <w:tc>
          <w:tcPr>
            <w:tcW w:w="3403" w:type="dxa"/>
            <w:shd w:val="clear" w:color="auto" w:fill="auto"/>
          </w:tcPr>
          <w:p w14:paraId="359F8692" w14:textId="77777777" w:rsidR="00796079" w:rsidRPr="00796079" w:rsidRDefault="00796079" w:rsidP="00D82D86">
            <w:pPr>
              <w:rPr>
                <w:sz w:val="16"/>
                <w:szCs w:val="16"/>
                <w:lang w:val="en-US"/>
              </w:rPr>
            </w:pPr>
            <w:r w:rsidRPr="00796079">
              <w:rPr>
                <w:sz w:val="16"/>
                <w:szCs w:val="16"/>
                <w:lang w:val="en-US"/>
              </w:rPr>
              <w:t>Female gender</w:t>
            </w:r>
            <w:r w:rsidRPr="00796079">
              <w:rPr>
                <w:rFonts w:eastAsia="Arial"/>
                <w:sz w:val="16"/>
                <w:szCs w:val="16"/>
                <w:lang w:val="en-US"/>
              </w:rPr>
              <w:t>, No. (%)</w:t>
            </w:r>
          </w:p>
        </w:tc>
        <w:tc>
          <w:tcPr>
            <w:tcW w:w="708" w:type="dxa"/>
            <w:gridSpan w:val="2"/>
            <w:shd w:val="clear" w:color="auto" w:fill="auto"/>
            <w:vAlign w:val="center"/>
          </w:tcPr>
          <w:p w14:paraId="359F8693"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tcMar>
              <w:left w:w="28" w:type="dxa"/>
              <w:right w:w="28" w:type="dxa"/>
            </w:tcMar>
            <w:vAlign w:val="center"/>
          </w:tcPr>
          <w:p w14:paraId="359F8694" w14:textId="77777777" w:rsidR="00796079" w:rsidRPr="00E51635" w:rsidRDefault="00796079" w:rsidP="00D82D86">
            <w:pPr>
              <w:jc w:val="center"/>
              <w:rPr>
                <w:sz w:val="16"/>
                <w:szCs w:val="16"/>
                <w:lang w:val="en-US"/>
              </w:rPr>
            </w:pPr>
            <w:r w:rsidRPr="00E51635">
              <w:rPr>
                <w:sz w:val="16"/>
                <w:szCs w:val="16"/>
                <w:lang w:val="en-US"/>
              </w:rPr>
              <w:t>2353 (52)</w:t>
            </w:r>
          </w:p>
        </w:tc>
        <w:tc>
          <w:tcPr>
            <w:tcW w:w="1984" w:type="dxa"/>
            <w:shd w:val="clear" w:color="auto" w:fill="auto"/>
            <w:vAlign w:val="center"/>
          </w:tcPr>
          <w:p w14:paraId="359F8695" w14:textId="77777777" w:rsidR="00796079" w:rsidRPr="00E51635" w:rsidRDefault="00796079" w:rsidP="00D82D86">
            <w:pPr>
              <w:jc w:val="center"/>
              <w:rPr>
                <w:sz w:val="16"/>
                <w:szCs w:val="16"/>
                <w:lang w:val="en-US"/>
              </w:rPr>
            </w:pPr>
            <w:r w:rsidRPr="00E51635">
              <w:rPr>
                <w:sz w:val="16"/>
                <w:szCs w:val="16"/>
                <w:lang w:val="en-US"/>
              </w:rPr>
              <w:t>1782 (53)</w:t>
            </w:r>
          </w:p>
        </w:tc>
        <w:tc>
          <w:tcPr>
            <w:tcW w:w="709" w:type="dxa"/>
            <w:gridSpan w:val="2"/>
            <w:shd w:val="clear" w:color="auto" w:fill="auto"/>
            <w:vAlign w:val="center"/>
          </w:tcPr>
          <w:p w14:paraId="359F8696"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697" w14:textId="77777777" w:rsidR="00796079" w:rsidRPr="00796079" w:rsidRDefault="00796079" w:rsidP="00D82D86">
            <w:pPr>
              <w:jc w:val="center"/>
              <w:rPr>
                <w:sz w:val="16"/>
                <w:szCs w:val="16"/>
                <w:lang w:val="en-US"/>
              </w:rPr>
            </w:pPr>
            <w:r w:rsidRPr="00796079">
              <w:rPr>
                <w:sz w:val="16"/>
                <w:szCs w:val="16"/>
                <w:lang w:val="en-US"/>
              </w:rPr>
              <w:t xml:space="preserve">496 (49) </w:t>
            </w:r>
          </w:p>
        </w:tc>
        <w:tc>
          <w:tcPr>
            <w:tcW w:w="1843" w:type="dxa"/>
            <w:shd w:val="clear" w:color="auto" w:fill="auto"/>
            <w:vAlign w:val="center"/>
          </w:tcPr>
          <w:p w14:paraId="359F8698" w14:textId="77777777" w:rsidR="00796079" w:rsidRPr="00796079" w:rsidRDefault="00796079" w:rsidP="00D82D86">
            <w:pPr>
              <w:jc w:val="center"/>
              <w:rPr>
                <w:sz w:val="16"/>
                <w:szCs w:val="16"/>
                <w:lang w:val="en-US"/>
              </w:rPr>
            </w:pPr>
            <w:r w:rsidRPr="00796079">
              <w:rPr>
                <w:sz w:val="16"/>
                <w:szCs w:val="16"/>
                <w:lang w:val="en-US"/>
              </w:rPr>
              <w:t xml:space="preserve">195 (42) </w:t>
            </w:r>
          </w:p>
        </w:tc>
      </w:tr>
      <w:tr w:rsidR="00796079" w:rsidRPr="000C0EB5" w14:paraId="359F86A1" w14:textId="77777777" w:rsidTr="00D82D86">
        <w:tc>
          <w:tcPr>
            <w:tcW w:w="3403" w:type="dxa"/>
            <w:shd w:val="clear" w:color="auto" w:fill="auto"/>
          </w:tcPr>
          <w:p w14:paraId="359F869A" w14:textId="77777777" w:rsidR="00796079" w:rsidRPr="00796079" w:rsidRDefault="00796079" w:rsidP="00D82D86">
            <w:pPr>
              <w:rPr>
                <w:sz w:val="16"/>
                <w:szCs w:val="16"/>
                <w:lang w:val="en-US"/>
              </w:rPr>
            </w:pPr>
            <w:r w:rsidRPr="00796079">
              <w:rPr>
                <w:sz w:val="16"/>
                <w:szCs w:val="16"/>
                <w:lang w:val="en-US"/>
              </w:rPr>
              <w:t>ASA class</w:t>
            </w:r>
            <w:r w:rsidRPr="00796079">
              <w:rPr>
                <w:rFonts w:eastAsia="Arial"/>
                <w:sz w:val="16"/>
                <w:szCs w:val="16"/>
                <w:lang w:val="en-US"/>
              </w:rPr>
              <w:t>, No. (%)</w:t>
            </w:r>
          </w:p>
        </w:tc>
        <w:tc>
          <w:tcPr>
            <w:tcW w:w="708" w:type="dxa"/>
            <w:gridSpan w:val="2"/>
            <w:shd w:val="clear" w:color="auto" w:fill="auto"/>
            <w:vAlign w:val="center"/>
          </w:tcPr>
          <w:p w14:paraId="359F869B" w14:textId="77777777" w:rsidR="00796079" w:rsidRPr="00E51635" w:rsidRDefault="00796079" w:rsidP="00D82D86">
            <w:pPr>
              <w:jc w:val="center"/>
              <w:rPr>
                <w:sz w:val="16"/>
                <w:szCs w:val="16"/>
                <w:lang w:val="en-US"/>
              </w:rPr>
            </w:pPr>
            <w:r w:rsidRPr="00E51635">
              <w:rPr>
                <w:sz w:val="16"/>
                <w:szCs w:val="16"/>
                <w:lang w:val="en-US"/>
              </w:rPr>
              <w:t>7691</w:t>
            </w:r>
          </w:p>
        </w:tc>
        <w:tc>
          <w:tcPr>
            <w:tcW w:w="1985" w:type="dxa"/>
            <w:shd w:val="clear" w:color="auto" w:fill="auto"/>
            <w:vAlign w:val="center"/>
          </w:tcPr>
          <w:p w14:paraId="359F869C" w14:textId="77777777" w:rsidR="00796079" w:rsidRPr="00E51635" w:rsidRDefault="00796079" w:rsidP="00D82D86">
            <w:pPr>
              <w:jc w:val="center"/>
              <w:rPr>
                <w:sz w:val="16"/>
                <w:szCs w:val="16"/>
                <w:lang w:val="en-US"/>
              </w:rPr>
            </w:pPr>
          </w:p>
        </w:tc>
        <w:tc>
          <w:tcPr>
            <w:tcW w:w="1984" w:type="dxa"/>
            <w:shd w:val="clear" w:color="auto" w:fill="auto"/>
            <w:vAlign w:val="center"/>
          </w:tcPr>
          <w:p w14:paraId="359F869D" w14:textId="77777777" w:rsidR="00796079" w:rsidRPr="00E51635" w:rsidRDefault="00796079" w:rsidP="00D82D86">
            <w:pPr>
              <w:jc w:val="center"/>
              <w:rPr>
                <w:sz w:val="16"/>
                <w:szCs w:val="16"/>
                <w:lang w:val="en-US"/>
              </w:rPr>
            </w:pPr>
          </w:p>
        </w:tc>
        <w:tc>
          <w:tcPr>
            <w:tcW w:w="709" w:type="dxa"/>
            <w:gridSpan w:val="2"/>
            <w:shd w:val="clear" w:color="auto" w:fill="auto"/>
            <w:vAlign w:val="center"/>
          </w:tcPr>
          <w:p w14:paraId="359F869E" w14:textId="77777777" w:rsidR="00796079" w:rsidRPr="00796079" w:rsidRDefault="00796079" w:rsidP="00D82D86">
            <w:pPr>
              <w:jc w:val="center"/>
              <w:rPr>
                <w:sz w:val="16"/>
                <w:szCs w:val="16"/>
                <w:lang w:val="en-US"/>
              </w:rPr>
            </w:pPr>
            <w:r w:rsidRPr="00796079">
              <w:rPr>
                <w:sz w:val="16"/>
                <w:szCs w:val="16"/>
                <w:lang w:val="en-US"/>
              </w:rPr>
              <w:t>1480</w:t>
            </w:r>
          </w:p>
        </w:tc>
        <w:tc>
          <w:tcPr>
            <w:tcW w:w="2126" w:type="dxa"/>
            <w:shd w:val="clear" w:color="auto" w:fill="auto"/>
            <w:vAlign w:val="center"/>
          </w:tcPr>
          <w:p w14:paraId="359F869F" w14:textId="77777777" w:rsidR="00796079" w:rsidRPr="00796079" w:rsidRDefault="00796079" w:rsidP="00D82D86">
            <w:pPr>
              <w:jc w:val="center"/>
              <w:rPr>
                <w:sz w:val="16"/>
                <w:szCs w:val="16"/>
                <w:lang w:val="en-US"/>
              </w:rPr>
            </w:pPr>
          </w:p>
        </w:tc>
        <w:tc>
          <w:tcPr>
            <w:tcW w:w="1843" w:type="dxa"/>
            <w:shd w:val="clear" w:color="auto" w:fill="auto"/>
            <w:vAlign w:val="center"/>
          </w:tcPr>
          <w:p w14:paraId="359F86A0" w14:textId="77777777" w:rsidR="00796079" w:rsidRPr="00796079" w:rsidRDefault="00796079" w:rsidP="00D82D86">
            <w:pPr>
              <w:jc w:val="center"/>
              <w:rPr>
                <w:sz w:val="16"/>
                <w:szCs w:val="16"/>
                <w:lang w:val="en-US"/>
              </w:rPr>
            </w:pPr>
          </w:p>
        </w:tc>
      </w:tr>
      <w:tr w:rsidR="00796079" w:rsidRPr="000C0EB5" w14:paraId="359F86A9" w14:textId="77777777" w:rsidTr="00D82D86">
        <w:tc>
          <w:tcPr>
            <w:tcW w:w="3403" w:type="dxa"/>
            <w:shd w:val="clear" w:color="auto" w:fill="auto"/>
          </w:tcPr>
          <w:p w14:paraId="359F86A2" w14:textId="25069C6E" w:rsidR="00796079" w:rsidRPr="00796079" w:rsidRDefault="00796079" w:rsidP="00D82D86">
            <w:pPr>
              <w:rPr>
                <w:sz w:val="16"/>
                <w:szCs w:val="16"/>
                <w:lang w:val="en-US"/>
              </w:rPr>
            </w:pPr>
            <w:r w:rsidRPr="00796079">
              <w:rPr>
                <w:sz w:val="16"/>
                <w:szCs w:val="16"/>
                <w:lang w:val="en-US"/>
              </w:rPr>
              <w:t xml:space="preserve"> 1</w:t>
            </w:r>
          </w:p>
        </w:tc>
        <w:tc>
          <w:tcPr>
            <w:tcW w:w="708" w:type="dxa"/>
            <w:gridSpan w:val="2"/>
            <w:shd w:val="clear" w:color="auto" w:fill="auto"/>
            <w:vAlign w:val="center"/>
          </w:tcPr>
          <w:p w14:paraId="359F86A3" w14:textId="77777777" w:rsidR="00796079" w:rsidRPr="00E51635" w:rsidRDefault="00796079" w:rsidP="00D82D86">
            <w:pPr>
              <w:jc w:val="center"/>
              <w:rPr>
                <w:sz w:val="16"/>
                <w:szCs w:val="16"/>
                <w:lang w:val="en-US"/>
              </w:rPr>
            </w:pPr>
          </w:p>
        </w:tc>
        <w:tc>
          <w:tcPr>
            <w:tcW w:w="1985" w:type="dxa"/>
            <w:shd w:val="clear" w:color="auto" w:fill="auto"/>
            <w:vAlign w:val="center"/>
          </w:tcPr>
          <w:p w14:paraId="359F86A4" w14:textId="77777777" w:rsidR="00796079" w:rsidRPr="00E51635" w:rsidRDefault="00796079" w:rsidP="00D82D86">
            <w:pPr>
              <w:jc w:val="center"/>
              <w:rPr>
                <w:sz w:val="16"/>
                <w:szCs w:val="16"/>
                <w:lang w:val="en-US"/>
              </w:rPr>
            </w:pPr>
            <w:r w:rsidRPr="00E51635">
              <w:rPr>
                <w:sz w:val="16"/>
                <w:szCs w:val="16"/>
                <w:lang w:val="en-US"/>
              </w:rPr>
              <w:t>1501 (34)</w:t>
            </w:r>
          </w:p>
        </w:tc>
        <w:tc>
          <w:tcPr>
            <w:tcW w:w="1984" w:type="dxa"/>
            <w:shd w:val="clear" w:color="auto" w:fill="auto"/>
            <w:vAlign w:val="center"/>
          </w:tcPr>
          <w:p w14:paraId="359F86A5" w14:textId="77777777" w:rsidR="00796079" w:rsidRPr="00E51635" w:rsidRDefault="00796079" w:rsidP="00D82D86">
            <w:pPr>
              <w:jc w:val="center"/>
              <w:rPr>
                <w:sz w:val="16"/>
                <w:szCs w:val="16"/>
                <w:lang w:val="en-US"/>
              </w:rPr>
            </w:pPr>
            <w:r w:rsidRPr="00E51635">
              <w:rPr>
                <w:sz w:val="16"/>
                <w:szCs w:val="16"/>
                <w:lang w:val="en-US"/>
              </w:rPr>
              <w:t>1110 (34)</w:t>
            </w:r>
          </w:p>
        </w:tc>
        <w:tc>
          <w:tcPr>
            <w:tcW w:w="709" w:type="dxa"/>
            <w:gridSpan w:val="2"/>
            <w:shd w:val="clear" w:color="auto" w:fill="auto"/>
            <w:vAlign w:val="center"/>
          </w:tcPr>
          <w:p w14:paraId="359F86A6" w14:textId="77777777" w:rsidR="00796079" w:rsidRPr="00796079" w:rsidRDefault="00796079" w:rsidP="00D82D86">
            <w:pPr>
              <w:jc w:val="center"/>
              <w:rPr>
                <w:sz w:val="16"/>
                <w:szCs w:val="16"/>
                <w:lang w:val="en-US"/>
              </w:rPr>
            </w:pPr>
          </w:p>
        </w:tc>
        <w:tc>
          <w:tcPr>
            <w:tcW w:w="2126" w:type="dxa"/>
            <w:shd w:val="clear" w:color="auto" w:fill="auto"/>
            <w:vAlign w:val="center"/>
          </w:tcPr>
          <w:p w14:paraId="359F86A7" w14:textId="77777777" w:rsidR="00796079" w:rsidRPr="00796079" w:rsidRDefault="00796079" w:rsidP="00D82D86">
            <w:pPr>
              <w:jc w:val="center"/>
              <w:rPr>
                <w:sz w:val="16"/>
                <w:szCs w:val="16"/>
                <w:lang w:val="en-US"/>
              </w:rPr>
            </w:pPr>
            <w:r w:rsidRPr="00796079">
              <w:rPr>
                <w:sz w:val="16"/>
                <w:szCs w:val="16"/>
                <w:lang w:val="en-US"/>
              </w:rPr>
              <w:t>337 (33)</w:t>
            </w:r>
          </w:p>
        </w:tc>
        <w:tc>
          <w:tcPr>
            <w:tcW w:w="1843" w:type="dxa"/>
            <w:shd w:val="clear" w:color="auto" w:fill="auto"/>
            <w:vAlign w:val="center"/>
          </w:tcPr>
          <w:p w14:paraId="359F86A8" w14:textId="77777777" w:rsidR="00796079" w:rsidRPr="00796079" w:rsidRDefault="00796079" w:rsidP="00D82D86">
            <w:pPr>
              <w:jc w:val="center"/>
              <w:rPr>
                <w:sz w:val="16"/>
                <w:szCs w:val="16"/>
                <w:lang w:val="en-US"/>
              </w:rPr>
            </w:pPr>
            <w:r w:rsidRPr="00796079">
              <w:rPr>
                <w:sz w:val="16"/>
                <w:szCs w:val="16"/>
                <w:lang w:val="en-US"/>
              </w:rPr>
              <w:t xml:space="preserve">121 (26) </w:t>
            </w:r>
          </w:p>
        </w:tc>
      </w:tr>
      <w:tr w:rsidR="00796079" w:rsidRPr="000C0EB5" w14:paraId="359F86B1" w14:textId="77777777" w:rsidTr="00D82D86">
        <w:tc>
          <w:tcPr>
            <w:tcW w:w="3403" w:type="dxa"/>
            <w:shd w:val="clear" w:color="auto" w:fill="auto"/>
          </w:tcPr>
          <w:p w14:paraId="359F86AA" w14:textId="156BE857" w:rsidR="00796079" w:rsidRPr="00796079" w:rsidRDefault="00796079" w:rsidP="00D82D86">
            <w:pPr>
              <w:rPr>
                <w:sz w:val="16"/>
                <w:szCs w:val="16"/>
                <w:lang w:val="en-US"/>
              </w:rPr>
            </w:pPr>
            <w:r w:rsidRPr="00796079">
              <w:rPr>
                <w:sz w:val="16"/>
                <w:szCs w:val="16"/>
                <w:lang w:val="en-US"/>
              </w:rPr>
              <w:t xml:space="preserve"> 2</w:t>
            </w:r>
          </w:p>
        </w:tc>
        <w:tc>
          <w:tcPr>
            <w:tcW w:w="708" w:type="dxa"/>
            <w:gridSpan w:val="2"/>
            <w:shd w:val="clear" w:color="auto" w:fill="auto"/>
            <w:vAlign w:val="center"/>
          </w:tcPr>
          <w:p w14:paraId="359F86AB" w14:textId="77777777" w:rsidR="00796079" w:rsidRPr="00E51635" w:rsidRDefault="00796079" w:rsidP="00D82D86">
            <w:pPr>
              <w:jc w:val="center"/>
              <w:rPr>
                <w:sz w:val="16"/>
                <w:szCs w:val="16"/>
                <w:lang w:val="en-US"/>
              </w:rPr>
            </w:pPr>
          </w:p>
        </w:tc>
        <w:tc>
          <w:tcPr>
            <w:tcW w:w="1985" w:type="dxa"/>
            <w:shd w:val="clear" w:color="auto" w:fill="auto"/>
            <w:vAlign w:val="center"/>
          </w:tcPr>
          <w:p w14:paraId="359F86AC" w14:textId="77777777" w:rsidR="00796079" w:rsidRPr="00E51635" w:rsidRDefault="00796079" w:rsidP="00D82D86">
            <w:pPr>
              <w:jc w:val="center"/>
              <w:rPr>
                <w:sz w:val="16"/>
                <w:szCs w:val="16"/>
                <w:lang w:val="en-US"/>
              </w:rPr>
            </w:pPr>
            <w:r w:rsidRPr="00E51635">
              <w:rPr>
                <w:sz w:val="16"/>
                <w:szCs w:val="16"/>
                <w:lang w:val="en-US"/>
              </w:rPr>
              <w:t>2312 (53)</w:t>
            </w:r>
          </w:p>
        </w:tc>
        <w:tc>
          <w:tcPr>
            <w:tcW w:w="1984" w:type="dxa"/>
            <w:shd w:val="clear" w:color="auto" w:fill="auto"/>
            <w:vAlign w:val="center"/>
          </w:tcPr>
          <w:p w14:paraId="359F86AD" w14:textId="77777777" w:rsidR="00796079" w:rsidRPr="00E51635" w:rsidRDefault="00796079" w:rsidP="00D82D86">
            <w:pPr>
              <w:jc w:val="center"/>
              <w:rPr>
                <w:sz w:val="16"/>
                <w:szCs w:val="16"/>
                <w:lang w:val="en-US"/>
              </w:rPr>
            </w:pPr>
            <w:r w:rsidRPr="00E51635">
              <w:rPr>
                <w:sz w:val="16"/>
                <w:szCs w:val="16"/>
                <w:lang w:val="en-US"/>
              </w:rPr>
              <w:t>1772 (54)</w:t>
            </w:r>
          </w:p>
        </w:tc>
        <w:tc>
          <w:tcPr>
            <w:tcW w:w="709" w:type="dxa"/>
            <w:gridSpan w:val="2"/>
            <w:shd w:val="clear" w:color="auto" w:fill="auto"/>
            <w:vAlign w:val="center"/>
          </w:tcPr>
          <w:p w14:paraId="359F86AE" w14:textId="77777777" w:rsidR="00796079" w:rsidRPr="00796079" w:rsidRDefault="00796079" w:rsidP="00D82D86">
            <w:pPr>
              <w:jc w:val="center"/>
              <w:rPr>
                <w:sz w:val="16"/>
                <w:szCs w:val="16"/>
                <w:lang w:val="en-US"/>
              </w:rPr>
            </w:pPr>
          </w:p>
        </w:tc>
        <w:tc>
          <w:tcPr>
            <w:tcW w:w="2126" w:type="dxa"/>
            <w:shd w:val="clear" w:color="auto" w:fill="auto"/>
            <w:vAlign w:val="center"/>
          </w:tcPr>
          <w:p w14:paraId="359F86AF" w14:textId="77777777" w:rsidR="00796079" w:rsidRPr="00796079" w:rsidRDefault="00796079" w:rsidP="00D82D86">
            <w:pPr>
              <w:jc w:val="center"/>
              <w:rPr>
                <w:sz w:val="16"/>
                <w:szCs w:val="16"/>
                <w:lang w:val="en-US"/>
              </w:rPr>
            </w:pPr>
            <w:r w:rsidRPr="00796079">
              <w:rPr>
                <w:sz w:val="16"/>
                <w:szCs w:val="16"/>
                <w:lang w:val="en-US"/>
              </w:rPr>
              <w:t xml:space="preserve">561 (55) </w:t>
            </w:r>
          </w:p>
        </w:tc>
        <w:tc>
          <w:tcPr>
            <w:tcW w:w="1843" w:type="dxa"/>
            <w:shd w:val="clear" w:color="auto" w:fill="auto"/>
            <w:vAlign w:val="center"/>
          </w:tcPr>
          <w:p w14:paraId="359F86B0" w14:textId="77777777" w:rsidR="00796079" w:rsidRPr="00796079" w:rsidRDefault="00796079" w:rsidP="00D82D86">
            <w:pPr>
              <w:jc w:val="center"/>
              <w:rPr>
                <w:sz w:val="16"/>
                <w:szCs w:val="16"/>
                <w:lang w:val="en-US"/>
              </w:rPr>
            </w:pPr>
            <w:r w:rsidRPr="00796079">
              <w:rPr>
                <w:sz w:val="16"/>
                <w:szCs w:val="16"/>
                <w:lang w:val="en-US"/>
              </w:rPr>
              <w:t>274 (60)</w:t>
            </w:r>
          </w:p>
        </w:tc>
      </w:tr>
      <w:tr w:rsidR="00796079" w:rsidRPr="000C0EB5" w14:paraId="359F86B9" w14:textId="77777777" w:rsidTr="00D82D86">
        <w:tc>
          <w:tcPr>
            <w:tcW w:w="3403" w:type="dxa"/>
            <w:shd w:val="clear" w:color="auto" w:fill="auto"/>
          </w:tcPr>
          <w:p w14:paraId="359F86B2" w14:textId="01CF40E6" w:rsidR="00796079" w:rsidRPr="00796079" w:rsidRDefault="00796079" w:rsidP="00D82D86">
            <w:pPr>
              <w:rPr>
                <w:sz w:val="16"/>
                <w:szCs w:val="16"/>
                <w:lang w:val="en-US"/>
              </w:rPr>
            </w:pPr>
            <w:r w:rsidRPr="00796079">
              <w:rPr>
                <w:sz w:val="16"/>
                <w:szCs w:val="16"/>
                <w:lang w:val="en-US"/>
              </w:rPr>
              <w:t xml:space="preserve"> 3</w:t>
            </w:r>
          </w:p>
        </w:tc>
        <w:tc>
          <w:tcPr>
            <w:tcW w:w="708" w:type="dxa"/>
            <w:gridSpan w:val="2"/>
            <w:shd w:val="clear" w:color="auto" w:fill="auto"/>
            <w:vAlign w:val="center"/>
          </w:tcPr>
          <w:p w14:paraId="359F86B3" w14:textId="77777777" w:rsidR="00796079" w:rsidRPr="00E51635" w:rsidRDefault="00796079" w:rsidP="00D82D86">
            <w:pPr>
              <w:jc w:val="center"/>
              <w:rPr>
                <w:sz w:val="16"/>
                <w:szCs w:val="16"/>
                <w:lang w:val="en-US"/>
              </w:rPr>
            </w:pPr>
          </w:p>
        </w:tc>
        <w:tc>
          <w:tcPr>
            <w:tcW w:w="1985" w:type="dxa"/>
            <w:shd w:val="clear" w:color="auto" w:fill="auto"/>
            <w:vAlign w:val="center"/>
          </w:tcPr>
          <w:p w14:paraId="359F86B4" w14:textId="77777777" w:rsidR="00796079" w:rsidRPr="00E51635" w:rsidRDefault="00796079" w:rsidP="00D82D86">
            <w:pPr>
              <w:jc w:val="center"/>
              <w:rPr>
                <w:sz w:val="16"/>
                <w:szCs w:val="16"/>
                <w:lang w:val="en-US"/>
              </w:rPr>
            </w:pPr>
            <w:r w:rsidRPr="00E51635">
              <w:rPr>
                <w:sz w:val="16"/>
                <w:szCs w:val="16"/>
                <w:lang w:val="en-US"/>
              </w:rPr>
              <w:t xml:space="preserve">558 (13) </w:t>
            </w:r>
          </w:p>
        </w:tc>
        <w:tc>
          <w:tcPr>
            <w:tcW w:w="1984" w:type="dxa"/>
            <w:shd w:val="clear" w:color="auto" w:fill="auto"/>
            <w:vAlign w:val="center"/>
          </w:tcPr>
          <w:p w14:paraId="359F86B5" w14:textId="77777777" w:rsidR="00796079" w:rsidRPr="00E51635" w:rsidRDefault="00796079" w:rsidP="00D82D86">
            <w:pPr>
              <w:jc w:val="center"/>
              <w:rPr>
                <w:sz w:val="16"/>
                <w:szCs w:val="16"/>
                <w:lang w:val="en-US"/>
              </w:rPr>
            </w:pPr>
            <w:r w:rsidRPr="00E51635">
              <w:rPr>
                <w:sz w:val="16"/>
                <w:szCs w:val="16"/>
                <w:lang w:val="en-US"/>
              </w:rPr>
              <w:t xml:space="preserve">419 (13) </w:t>
            </w:r>
          </w:p>
        </w:tc>
        <w:tc>
          <w:tcPr>
            <w:tcW w:w="709" w:type="dxa"/>
            <w:gridSpan w:val="2"/>
            <w:shd w:val="clear" w:color="auto" w:fill="auto"/>
            <w:vAlign w:val="center"/>
          </w:tcPr>
          <w:p w14:paraId="359F86B6" w14:textId="77777777" w:rsidR="00796079" w:rsidRPr="00796079" w:rsidRDefault="00796079" w:rsidP="00D82D86">
            <w:pPr>
              <w:jc w:val="center"/>
              <w:rPr>
                <w:sz w:val="16"/>
                <w:szCs w:val="16"/>
                <w:lang w:val="en-US"/>
              </w:rPr>
            </w:pPr>
          </w:p>
        </w:tc>
        <w:tc>
          <w:tcPr>
            <w:tcW w:w="2126" w:type="dxa"/>
            <w:shd w:val="clear" w:color="auto" w:fill="auto"/>
            <w:vAlign w:val="center"/>
          </w:tcPr>
          <w:p w14:paraId="359F86B7" w14:textId="77777777" w:rsidR="00796079" w:rsidRPr="00796079" w:rsidRDefault="00796079" w:rsidP="00D82D86">
            <w:pPr>
              <w:jc w:val="center"/>
              <w:rPr>
                <w:sz w:val="16"/>
                <w:szCs w:val="16"/>
                <w:lang w:val="en-US"/>
              </w:rPr>
            </w:pPr>
            <w:r w:rsidRPr="00796079">
              <w:rPr>
                <w:sz w:val="16"/>
                <w:szCs w:val="16"/>
                <w:lang w:val="en-US"/>
              </w:rPr>
              <w:t xml:space="preserve">116 (11) </w:t>
            </w:r>
          </w:p>
        </w:tc>
        <w:tc>
          <w:tcPr>
            <w:tcW w:w="1843" w:type="dxa"/>
            <w:shd w:val="clear" w:color="auto" w:fill="auto"/>
            <w:vAlign w:val="center"/>
          </w:tcPr>
          <w:p w14:paraId="359F86B8" w14:textId="0AC383C1" w:rsidR="00796079" w:rsidRPr="00796079" w:rsidRDefault="00796079" w:rsidP="00D82D86">
            <w:pPr>
              <w:jc w:val="center"/>
              <w:rPr>
                <w:sz w:val="16"/>
                <w:szCs w:val="16"/>
                <w:lang w:val="en-US"/>
              </w:rPr>
            </w:pPr>
            <w:r w:rsidRPr="00796079">
              <w:rPr>
                <w:sz w:val="16"/>
                <w:szCs w:val="16"/>
                <w:lang w:val="en-US"/>
              </w:rPr>
              <w:t xml:space="preserve">62 (14) </w:t>
            </w:r>
          </w:p>
        </w:tc>
      </w:tr>
      <w:tr w:rsidR="00796079" w:rsidRPr="000C0EB5" w14:paraId="359F86C1" w14:textId="77777777" w:rsidTr="00D82D86">
        <w:tc>
          <w:tcPr>
            <w:tcW w:w="3403" w:type="dxa"/>
            <w:shd w:val="clear" w:color="auto" w:fill="auto"/>
          </w:tcPr>
          <w:p w14:paraId="359F86BA" w14:textId="54508EEC" w:rsidR="00796079" w:rsidRPr="00796079" w:rsidRDefault="00796079" w:rsidP="00D82D86">
            <w:pPr>
              <w:rPr>
                <w:sz w:val="16"/>
                <w:szCs w:val="16"/>
                <w:lang w:val="en-US"/>
              </w:rPr>
            </w:pPr>
            <w:r w:rsidRPr="00796079">
              <w:rPr>
                <w:sz w:val="16"/>
                <w:szCs w:val="16"/>
                <w:lang w:val="en-US"/>
              </w:rPr>
              <w:t xml:space="preserve"> 4</w:t>
            </w:r>
          </w:p>
        </w:tc>
        <w:tc>
          <w:tcPr>
            <w:tcW w:w="708" w:type="dxa"/>
            <w:gridSpan w:val="2"/>
            <w:shd w:val="clear" w:color="auto" w:fill="auto"/>
            <w:vAlign w:val="center"/>
          </w:tcPr>
          <w:p w14:paraId="359F86BB" w14:textId="77777777" w:rsidR="00796079" w:rsidRPr="00E51635" w:rsidRDefault="00796079" w:rsidP="00D82D86">
            <w:pPr>
              <w:jc w:val="center"/>
              <w:rPr>
                <w:sz w:val="16"/>
                <w:szCs w:val="16"/>
                <w:lang w:val="en-US"/>
              </w:rPr>
            </w:pPr>
          </w:p>
        </w:tc>
        <w:tc>
          <w:tcPr>
            <w:tcW w:w="1985" w:type="dxa"/>
            <w:shd w:val="clear" w:color="auto" w:fill="auto"/>
            <w:vAlign w:val="center"/>
          </w:tcPr>
          <w:p w14:paraId="359F86BC" w14:textId="7AE30BC5" w:rsidR="00796079" w:rsidRPr="00E51635" w:rsidRDefault="00796079" w:rsidP="00D82D86">
            <w:pPr>
              <w:jc w:val="center"/>
              <w:rPr>
                <w:sz w:val="16"/>
                <w:szCs w:val="16"/>
                <w:lang w:val="en-US"/>
              </w:rPr>
            </w:pPr>
            <w:r w:rsidRPr="00E51635">
              <w:rPr>
                <w:sz w:val="16"/>
                <w:szCs w:val="16"/>
                <w:lang w:val="en-US"/>
              </w:rPr>
              <w:t xml:space="preserve"> 14 (0)</w:t>
            </w:r>
          </w:p>
        </w:tc>
        <w:tc>
          <w:tcPr>
            <w:tcW w:w="1984" w:type="dxa"/>
            <w:shd w:val="clear" w:color="auto" w:fill="auto"/>
            <w:vAlign w:val="center"/>
          </w:tcPr>
          <w:p w14:paraId="359F86BD" w14:textId="77777777" w:rsidR="00796079" w:rsidRPr="00E51635" w:rsidRDefault="00796079" w:rsidP="00D82D86">
            <w:pPr>
              <w:jc w:val="center"/>
              <w:rPr>
                <w:sz w:val="16"/>
                <w:szCs w:val="16"/>
                <w:lang w:val="en-US"/>
              </w:rPr>
            </w:pPr>
            <w:r w:rsidRPr="00E51635">
              <w:rPr>
                <w:sz w:val="16"/>
                <w:szCs w:val="16"/>
                <w:lang w:val="en-US"/>
              </w:rPr>
              <w:t xml:space="preserve">5 (0) </w:t>
            </w:r>
          </w:p>
        </w:tc>
        <w:tc>
          <w:tcPr>
            <w:tcW w:w="709" w:type="dxa"/>
            <w:gridSpan w:val="2"/>
            <w:shd w:val="clear" w:color="auto" w:fill="auto"/>
            <w:vAlign w:val="center"/>
          </w:tcPr>
          <w:p w14:paraId="359F86BE" w14:textId="77777777" w:rsidR="00796079" w:rsidRPr="00796079" w:rsidRDefault="00796079" w:rsidP="00D82D86">
            <w:pPr>
              <w:jc w:val="center"/>
              <w:rPr>
                <w:sz w:val="16"/>
                <w:szCs w:val="16"/>
                <w:lang w:val="en-US"/>
              </w:rPr>
            </w:pPr>
          </w:p>
        </w:tc>
        <w:tc>
          <w:tcPr>
            <w:tcW w:w="2126" w:type="dxa"/>
            <w:shd w:val="clear" w:color="auto" w:fill="auto"/>
            <w:vAlign w:val="center"/>
          </w:tcPr>
          <w:p w14:paraId="359F86BF" w14:textId="77777777" w:rsidR="00796079" w:rsidRPr="00796079" w:rsidRDefault="00796079" w:rsidP="00D82D86">
            <w:pPr>
              <w:jc w:val="center"/>
              <w:rPr>
                <w:sz w:val="16"/>
                <w:szCs w:val="16"/>
                <w:lang w:val="en-US"/>
              </w:rPr>
            </w:pPr>
            <w:r w:rsidRPr="00796079">
              <w:rPr>
                <w:sz w:val="16"/>
                <w:szCs w:val="16"/>
                <w:lang w:val="en-US"/>
              </w:rPr>
              <w:t xml:space="preserve">8 (1) </w:t>
            </w:r>
          </w:p>
        </w:tc>
        <w:tc>
          <w:tcPr>
            <w:tcW w:w="1843" w:type="dxa"/>
            <w:shd w:val="clear" w:color="auto" w:fill="auto"/>
            <w:vAlign w:val="center"/>
          </w:tcPr>
          <w:p w14:paraId="359F86C0" w14:textId="77777777" w:rsidR="00796079" w:rsidRPr="00796079" w:rsidRDefault="00796079" w:rsidP="00D82D86">
            <w:pPr>
              <w:jc w:val="center"/>
              <w:rPr>
                <w:sz w:val="16"/>
                <w:szCs w:val="16"/>
                <w:lang w:val="en-US"/>
              </w:rPr>
            </w:pPr>
            <w:r w:rsidRPr="00796079">
              <w:rPr>
                <w:sz w:val="16"/>
                <w:szCs w:val="16"/>
                <w:lang w:val="en-US"/>
              </w:rPr>
              <w:t>1 (0)</w:t>
            </w:r>
          </w:p>
        </w:tc>
      </w:tr>
      <w:tr w:rsidR="00796079" w:rsidRPr="000C0EB5" w14:paraId="359F86C9" w14:textId="77777777" w:rsidTr="00D82D86">
        <w:tc>
          <w:tcPr>
            <w:tcW w:w="3403" w:type="dxa"/>
            <w:shd w:val="clear" w:color="auto" w:fill="auto"/>
          </w:tcPr>
          <w:p w14:paraId="359F86C2" w14:textId="77777777" w:rsidR="00796079" w:rsidRPr="00796079" w:rsidRDefault="00796079" w:rsidP="00D82D86">
            <w:pPr>
              <w:rPr>
                <w:sz w:val="16"/>
                <w:szCs w:val="16"/>
                <w:lang w:val="en-US"/>
              </w:rPr>
            </w:pPr>
            <w:r w:rsidRPr="00796079">
              <w:rPr>
                <w:sz w:val="16"/>
                <w:szCs w:val="16"/>
                <w:lang w:val="en-US"/>
              </w:rPr>
              <w:t>Current smoking</w:t>
            </w:r>
            <w:r w:rsidRPr="00796079">
              <w:rPr>
                <w:rFonts w:eastAsia="Arial"/>
                <w:sz w:val="16"/>
                <w:szCs w:val="16"/>
                <w:lang w:val="en-US"/>
              </w:rPr>
              <w:t>, No. (%)</w:t>
            </w:r>
          </w:p>
        </w:tc>
        <w:tc>
          <w:tcPr>
            <w:tcW w:w="708" w:type="dxa"/>
            <w:gridSpan w:val="2"/>
            <w:shd w:val="clear" w:color="auto" w:fill="auto"/>
            <w:vAlign w:val="center"/>
          </w:tcPr>
          <w:p w14:paraId="359F86C3" w14:textId="77777777" w:rsidR="00796079" w:rsidRPr="00E51635" w:rsidRDefault="00796079" w:rsidP="00D82D86">
            <w:pPr>
              <w:jc w:val="center"/>
              <w:rPr>
                <w:sz w:val="16"/>
                <w:szCs w:val="16"/>
                <w:lang w:val="en-US"/>
              </w:rPr>
            </w:pPr>
            <w:r w:rsidRPr="00E51635">
              <w:rPr>
                <w:sz w:val="16"/>
                <w:szCs w:val="16"/>
                <w:lang w:val="en-US"/>
              </w:rPr>
              <w:t>7533</w:t>
            </w:r>
          </w:p>
        </w:tc>
        <w:tc>
          <w:tcPr>
            <w:tcW w:w="1985" w:type="dxa"/>
            <w:shd w:val="clear" w:color="auto" w:fill="auto"/>
            <w:vAlign w:val="center"/>
          </w:tcPr>
          <w:p w14:paraId="359F86C4" w14:textId="77777777" w:rsidR="00796079" w:rsidRPr="00E51635" w:rsidRDefault="00796079" w:rsidP="00D82D86">
            <w:pPr>
              <w:jc w:val="center"/>
              <w:rPr>
                <w:sz w:val="16"/>
                <w:szCs w:val="16"/>
                <w:lang w:val="en-US"/>
              </w:rPr>
            </w:pPr>
            <w:r w:rsidRPr="00E51635">
              <w:rPr>
                <w:sz w:val="16"/>
                <w:szCs w:val="16"/>
                <w:lang w:val="en-US"/>
              </w:rPr>
              <w:t>1272 (30)</w:t>
            </w:r>
          </w:p>
        </w:tc>
        <w:tc>
          <w:tcPr>
            <w:tcW w:w="1984" w:type="dxa"/>
            <w:shd w:val="clear" w:color="auto" w:fill="auto"/>
            <w:vAlign w:val="center"/>
          </w:tcPr>
          <w:p w14:paraId="359F86C5" w14:textId="77777777" w:rsidR="00796079" w:rsidRPr="00E51635" w:rsidRDefault="00796079" w:rsidP="00D82D86">
            <w:pPr>
              <w:jc w:val="center"/>
              <w:rPr>
                <w:sz w:val="16"/>
                <w:szCs w:val="16"/>
                <w:lang w:val="en-US"/>
              </w:rPr>
            </w:pPr>
            <w:r w:rsidRPr="00E51635">
              <w:rPr>
                <w:sz w:val="16"/>
                <w:szCs w:val="16"/>
                <w:lang w:val="en-US"/>
              </w:rPr>
              <w:t>963 (30)</w:t>
            </w:r>
          </w:p>
        </w:tc>
        <w:tc>
          <w:tcPr>
            <w:tcW w:w="709" w:type="dxa"/>
            <w:gridSpan w:val="2"/>
            <w:shd w:val="clear" w:color="auto" w:fill="auto"/>
            <w:vAlign w:val="center"/>
          </w:tcPr>
          <w:p w14:paraId="359F86C6" w14:textId="77777777" w:rsidR="00796079" w:rsidRPr="00796079" w:rsidRDefault="00796079" w:rsidP="00D82D86">
            <w:pPr>
              <w:jc w:val="center"/>
              <w:rPr>
                <w:sz w:val="16"/>
                <w:szCs w:val="16"/>
                <w:lang w:val="en-US"/>
              </w:rPr>
            </w:pPr>
            <w:r w:rsidRPr="00796079">
              <w:rPr>
                <w:sz w:val="16"/>
                <w:szCs w:val="16"/>
                <w:lang w:val="en-US"/>
              </w:rPr>
              <w:t>1456</w:t>
            </w:r>
          </w:p>
        </w:tc>
        <w:tc>
          <w:tcPr>
            <w:tcW w:w="2126" w:type="dxa"/>
            <w:shd w:val="clear" w:color="auto" w:fill="auto"/>
            <w:vAlign w:val="center"/>
          </w:tcPr>
          <w:p w14:paraId="359F86C7" w14:textId="77777777" w:rsidR="00796079" w:rsidRPr="00796079" w:rsidRDefault="00796079" w:rsidP="00D82D86">
            <w:pPr>
              <w:jc w:val="center"/>
              <w:rPr>
                <w:sz w:val="16"/>
                <w:szCs w:val="16"/>
                <w:lang w:val="en-US"/>
              </w:rPr>
            </w:pPr>
            <w:r w:rsidRPr="00796079">
              <w:rPr>
                <w:sz w:val="16"/>
                <w:szCs w:val="16"/>
                <w:lang w:val="en-US"/>
              </w:rPr>
              <w:t>288 (29)</w:t>
            </w:r>
          </w:p>
        </w:tc>
        <w:tc>
          <w:tcPr>
            <w:tcW w:w="1843" w:type="dxa"/>
            <w:shd w:val="clear" w:color="auto" w:fill="auto"/>
            <w:vAlign w:val="center"/>
          </w:tcPr>
          <w:p w14:paraId="359F86C8" w14:textId="77777777" w:rsidR="00796079" w:rsidRPr="00796079" w:rsidRDefault="00796079" w:rsidP="00D82D86">
            <w:pPr>
              <w:jc w:val="center"/>
              <w:rPr>
                <w:sz w:val="16"/>
                <w:szCs w:val="16"/>
                <w:lang w:val="en-US"/>
              </w:rPr>
            </w:pPr>
            <w:r w:rsidRPr="00796079">
              <w:rPr>
                <w:sz w:val="16"/>
                <w:szCs w:val="16"/>
                <w:lang w:val="en-US"/>
              </w:rPr>
              <w:t>111 (25)</w:t>
            </w:r>
          </w:p>
        </w:tc>
      </w:tr>
      <w:tr w:rsidR="00796079" w:rsidRPr="000C0EB5" w14:paraId="359F86D1" w14:textId="77777777" w:rsidTr="00D82D86">
        <w:tc>
          <w:tcPr>
            <w:tcW w:w="3403" w:type="dxa"/>
            <w:shd w:val="clear" w:color="auto" w:fill="auto"/>
          </w:tcPr>
          <w:p w14:paraId="359F86CA" w14:textId="77777777" w:rsidR="00796079" w:rsidRPr="00796079" w:rsidRDefault="00796079" w:rsidP="00D82D86">
            <w:pPr>
              <w:rPr>
                <w:sz w:val="16"/>
                <w:szCs w:val="16"/>
                <w:lang w:val="en-US"/>
              </w:rPr>
            </w:pPr>
            <w:r w:rsidRPr="00796079">
              <w:rPr>
                <w:sz w:val="16"/>
                <w:szCs w:val="16"/>
                <w:lang w:val="en-US"/>
              </w:rPr>
              <w:t>Surgery with a high PONV risk</w:t>
            </w:r>
            <w:r w:rsidRPr="00796079">
              <w:rPr>
                <w:rFonts w:eastAsia="Arial"/>
                <w:sz w:val="16"/>
                <w:szCs w:val="16"/>
                <w:lang w:val="en-US"/>
              </w:rPr>
              <w:t>, No. (%)</w:t>
            </w:r>
          </w:p>
        </w:tc>
        <w:tc>
          <w:tcPr>
            <w:tcW w:w="708" w:type="dxa"/>
            <w:gridSpan w:val="2"/>
            <w:shd w:val="clear" w:color="auto" w:fill="auto"/>
            <w:vAlign w:val="center"/>
          </w:tcPr>
          <w:p w14:paraId="359F86CB" w14:textId="77777777" w:rsidR="00796079" w:rsidRPr="00E51635" w:rsidRDefault="00796079" w:rsidP="00D82D86">
            <w:pPr>
              <w:jc w:val="center"/>
              <w:rPr>
                <w:sz w:val="16"/>
                <w:szCs w:val="16"/>
                <w:lang w:val="en-US"/>
              </w:rPr>
            </w:pPr>
            <w:r w:rsidRPr="00E51635">
              <w:rPr>
                <w:sz w:val="16"/>
                <w:szCs w:val="16"/>
                <w:lang w:val="en-US"/>
              </w:rPr>
              <w:t>7162</w:t>
            </w:r>
          </w:p>
        </w:tc>
        <w:tc>
          <w:tcPr>
            <w:tcW w:w="1985" w:type="dxa"/>
            <w:shd w:val="clear" w:color="auto" w:fill="auto"/>
            <w:vAlign w:val="center"/>
          </w:tcPr>
          <w:p w14:paraId="359F86CC" w14:textId="77777777" w:rsidR="00796079" w:rsidRPr="00E51635" w:rsidRDefault="00796079" w:rsidP="00D82D86">
            <w:pPr>
              <w:jc w:val="center"/>
              <w:rPr>
                <w:sz w:val="16"/>
                <w:szCs w:val="16"/>
                <w:lang w:val="en-US"/>
              </w:rPr>
            </w:pPr>
            <w:r w:rsidRPr="00E51635">
              <w:rPr>
                <w:sz w:val="16"/>
                <w:szCs w:val="16"/>
                <w:lang w:val="en-US"/>
              </w:rPr>
              <w:t>751 (19)</w:t>
            </w:r>
          </w:p>
        </w:tc>
        <w:tc>
          <w:tcPr>
            <w:tcW w:w="1984" w:type="dxa"/>
            <w:shd w:val="clear" w:color="auto" w:fill="auto"/>
            <w:vAlign w:val="center"/>
          </w:tcPr>
          <w:p w14:paraId="359F86CD" w14:textId="77777777" w:rsidR="00796079" w:rsidRPr="00E51635" w:rsidRDefault="00796079" w:rsidP="00D82D86">
            <w:pPr>
              <w:jc w:val="center"/>
              <w:rPr>
                <w:sz w:val="16"/>
                <w:szCs w:val="16"/>
                <w:lang w:val="en-US"/>
              </w:rPr>
            </w:pPr>
            <w:r w:rsidRPr="00E51635">
              <w:rPr>
                <w:sz w:val="16"/>
                <w:szCs w:val="16"/>
                <w:lang w:val="en-US"/>
              </w:rPr>
              <w:t xml:space="preserve">484 (16) </w:t>
            </w:r>
          </w:p>
        </w:tc>
        <w:tc>
          <w:tcPr>
            <w:tcW w:w="709" w:type="dxa"/>
            <w:gridSpan w:val="2"/>
            <w:shd w:val="clear" w:color="auto" w:fill="auto"/>
            <w:vAlign w:val="center"/>
          </w:tcPr>
          <w:p w14:paraId="359F86CE" w14:textId="77777777" w:rsidR="00796079" w:rsidRPr="00796079" w:rsidRDefault="00796079" w:rsidP="00D82D86">
            <w:pPr>
              <w:jc w:val="center"/>
              <w:rPr>
                <w:sz w:val="16"/>
                <w:szCs w:val="16"/>
                <w:lang w:val="en-US"/>
              </w:rPr>
            </w:pPr>
            <w:r w:rsidRPr="00796079">
              <w:rPr>
                <w:sz w:val="16"/>
                <w:szCs w:val="16"/>
                <w:lang w:val="en-US"/>
              </w:rPr>
              <w:t>1106</w:t>
            </w:r>
          </w:p>
        </w:tc>
        <w:tc>
          <w:tcPr>
            <w:tcW w:w="2126" w:type="dxa"/>
            <w:shd w:val="clear" w:color="auto" w:fill="auto"/>
            <w:vAlign w:val="center"/>
          </w:tcPr>
          <w:p w14:paraId="359F86CF" w14:textId="77777777" w:rsidR="00796079" w:rsidRPr="00796079" w:rsidRDefault="00796079" w:rsidP="00D82D86">
            <w:pPr>
              <w:jc w:val="center"/>
              <w:rPr>
                <w:sz w:val="16"/>
                <w:szCs w:val="16"/>
                <w:lang w:val="en-US"/>
              </w:rPr>
            </w:pPr>
            <w:r w:rsidRPr="00796079">
              <w:rPr>
                <w:sz w:val="16"/>
                <w:szCs w:val="16"/>
                <w:lang w:val="en-US"/>
              </w:rPr>
              <w:t>82 (12)</w:t>
            </w:r>
          </w:p>
        </w:tc>
        <w:tc>
          <w:tcPr>
            <w:tcW w:w="1843" w:type="dxa"/>
            <w:shd w:val="clear" w:color="auto" w:fill="auto"/>
            <w:vAlign w:val="center"/>
          </w:tcPr>
          <w:p w14:paraId="359F86D0" w14:textId="77777777" w:rsidR="00796079" w:rsidRPr="00796079" w:rsidRDefault="00796079" w:rsidP="00D82D86">
            <w:pPr>
              <w:jc w:val="center"/>
              <w:rPr>
                <w:sz w:val="16"/>
                <w:szCs w:val="16"/>
                <w:lang w:val="en-US"/>
              </w:rPr>
            </w:pPr>
            <w:r w:rsidRPr="00796079">
              <w:rPr>
                <w:sz w:val="16"/>
                <w:szCs w:val="16"/>
                <w:lang w:val="en-US"/>
              </w:rPr>
              <w:t>53 (13)</w:t>
            </w:r>
          </w:p>
        </w:tc>
      </w:tr>
      <w:tr w:rsidR="00796079" w:rsidRPr="000C0EB5" w14:paraId="359F86D9" w14:textId="77777777" w:rsidTr="00D82D86">
        <w:tc>
          <w:tcPr>
            <w:tcW w:w="3403" w:type="dxa"/>
            <w:shd w:val="clear" w:color="auto" w:fill="auto"/>
          </w:tcPr>
          <w:p w14:paraId="359F86D2" w14:textId="77777777" w:rsidR="00796079" w:rsidRPr="00796079" w:rsidRDefault="00796079" w:rsidP="00D82D86">
            <w:pPr>
              <w:rPr>
                <w:sz w:val="16"/>
                <w:szCs w:val="16"/>
                <w:lang w:val="en-US"/>
              </w:rPr>
            </w:pPr>
            <w:r w:rsidRPr="00796079">
              <w:rPr>
                <w:sz w:val="16"/>
                <w:szCs w:val="16"/>
                <w:lang w:val="en-US"/>
              </w:rPr>
              <w:t>History of PONV / Motion sickness</w:t>
            </w:r>
            <w:r w:rsidRPr="00796079">
              <w:rPr>
                <w:rFonts w:eastAsia="Arial"/>
                <w:sz w:val="16"/>
                <w:szCs w:val="16"/>
                <w:lang w:val="en-US"/>
              </w:rPr>
              <w:t>, No. (%)</w:t>
            </w:r>
          </w:p>
        </w:tc>
        <w:tc>
          <w:tcPr>
            <w:tcW w:w="708" w:type="dxa"/>
            <w:gridSpan w:val="2"/>
            <w:shd w:val="clear" w:color="auto" w:fill="auto"/>
            <w:vAlign w:val="center"/>
          </w:tcPr>
          <w:p w14:paraId="359F86D3" w14:textId="77777777" w:rsidR="00796079" w:rsidRPr="00E51635" w:rsidRDefault="00796079" w:rsidP="00D82D86">
            <w:pPr>
              <w:jc w:val="center"/>
              <w:rPr>
                <w:sz w:val="16"/>
                <w:szCs w:val="16"/>
                <w:lang w:val="en-US"/>
              </w:rPr>
            </w:pPr>
            <w:r w:rsidRPr="00E51635">
              <w:rPr>
                <w:sz w:val="16"/>
                <w:szCs w:val="16"/>
                <w:lang w:val="en-US"/>
              </w:rPr>
              <w:t>5736</w:t>
            </w:r>
          </w:p>
        </w:tc>
        <w:tc>
          <w:tcPr>
            <w:tcW w:w="1985" w:type="dxa"/>
            <w:shd w:val="clear" w:color="auto" w:fill="auto"/>
            <w:vAlign w:val="center"/>
          </w:tcPr>
          <w:p w14:paraId="359F86D4" w14:textId="77777777" w:rsidR="00796079" w:rsidRPr="00E51635" w:rsidRDefault="00796079" w:rsidP="00D82D86">
            <w:pPr>
              <w:jc w:val="center"/>
              <w:rPr>
                <w:sz w:val="16"/>
                <w:szCs w:val="16"/>
                <w:lang w:val="en-US"/>
              </w:rPr>
            </w:pPr>
            <w:r w:rsidRPr="00E51635">
              <w:rPr>
                <w:sz w:val="16"/>
                <w:szCs w:val="16"/>
                <w:lang w:val="en-US"/>
              </w:rPr>
              <w:t>1034 (32)</w:t>
            </w:r>
          </w:p>
        </w:tc>
        <w:tc>
          <w:tcPr>
            <w:tcW w:w="1984" w:type="dxa"/>
            <w:shd w:val="clear" w:color="auto" w:fill="auto"/>
            <w:vAlign w:val="center"/>
          </w:tcPr>
          <w:p w14:paraId="359F86D5" w14:textId="77777777" w:rsidR="00796079" w:rsidRPr="00E51635" w:rsidRDefault="00796079" w:rsidP="00D82D86">
            <w:pPr>
              <w:jc w:val="center"/>
              <w:rPr>
                <w:sz w:val="16"/>
                <w:szCs w:val="16"/>
                <w:lang w:val="en-US"/>
              </w:rPr>
            </w:pPr>
            <w:r w:rsidRPr="00E51635">
              <w:rPr>
                <w:sz w:val="16"/>
                <w:szCs w:val="16"/>
                <w:lang w:val="en-US"/>
              </w:rPr>
              <w:t>806 (32)</w:t>
            </w:r>
          </w:p>
        </w:tc>
        <w:tc>
          <w:tcPr>
            <w:tcW w:w="709" w:type="dxa"/>
            <w:gridSpan w:val="2"/>
            <w:shd w:val="clear" w:color="auto" w:fill="auto"/>
            <w:vAlign w:val="center"/>
          </w:tcPr>
          <w:p w14:paraId="359F86D6" w14:textId="77777777" w:rsidR="00796079" w:rsidRPr="00796079" w:rsidRDefault="00796079" w:rsidP="00D82D86">
            <w:pPr>
              <w:jc w:val="center"/>
              <w:rPr>
                <w:sz w:val="16"/>
                <w:szCs w:val="16"/>
                <w:lang w:val="en-US"/>
              </w:rPr>
            </w:pPr>
            <w:r w:rsidRPr="00796079">
              <w:rPr>
                <w:sz w:val="16"/>
                <w:szCs w:val="16"/>
                <w:lang w:val="en-US"/>
              </w:rPr>
              <w:t>1398</w:t>
            </w:r>
          </w:p>
        </w:tc>
        <w:tc>
          <w:tcPr>
            <w:tcW w:w="2126" w:type="dxa"/>
            <w:shd w:val="clear" w:color="auto" w:fill="auto"/>
            <w:vAlign w:val="center"/>
          </w:tcPr>
          <w:p w14:paraId="359F86D7" w14:textId="77777777" w:rsidR="00796079" w:rsidRPr="00796079" w:rsidRDefault="00796079" w:rsidP="00D82D86">
            <w:pPr>
              <w:jc w:val="center"/>
              <w:rPr>
                <w:sz w:val="16"/>
                <w:szCs w:val="16"/>
                <w:lang w:val="en-US"/>
              </w:rPr>
            </w:pPr>
            <w:r w:rsidRPr="00796079">
              <w:rPr>
                <w:sz w:val="16"/>
                <w:szCs w:val="16"/>
                <w:lang w:val="en-US"/>
              </w:rPr>
              <w:t>212 (22)</w:t>
            </w:r>
          </w:p>
        </w:tc>
        <w:tc>
          <w:tcPr>
            <w:tcW w:w="1843" w:type="dxa"/>
            <w:shd w:val="clear" w:color="auto" w:fill="auto"/>
            <w:vAlign w:val="center"/>
          </w:tcPr>
          <w:p w14:paraId="359F86D8" w14:textId="77777777" w:rsidR="00796079" w:rsidRPr="00796079" w:rsidRDefault="00796079" w:rsidP="00D82D86">
            <w:pPr>
              <w:jc w:val="center"/>
              <w:rPr>
                <w:sz w:val="16"/>
                <w:szCs w:val="16"/>
                <w:lang w:val="en-US"/>
              </w:rPr>
            </w:pPr>
            <w:r w:rsidRPr="00796079">
              <w:rPr>
                <w:sz w:val="16"/>
                <w:szCs w:val="16"/>
                <w:lang w:val="en-US"/>
              </w:rPr>
              <w:t>66 (15)</w:t>
            </w:r>
          </w:p>
        </w:tc>
      </w:tr>
      <w:tr w:rsidR="00796079" w:rsidRPr="000C0EB5" w14:paraId="359F86E1" w14:textId="77777777" w:rsidTr="00D82D86">
        <w:tc>
          <w:tcPr>
            <w:tcW w:w="3403" w:type="dxa"/>
            <w:shd w:val="clear" w:color="auto" w:fill="auto"/>
          </w:tcPr>
          <w:p w14:paraId="359F86DA" w14:textId="77777777" w:rsidR="00796079" w:rsidRPr="00796079" w:rsidRDefault="00796079" w:rsidP="00D82D86">
            <w:pPr>
              <w:rPr>
                <w:sz w:val="16"/>
                <w:szCs w:val="16"/>
                <w:lang w:val="en-US"/>
              </w:rPr>
            </w:pPr>
            <w:r w:rsidRPr="00796079">
              <w:rPr>
                <w:sz w:val="16"/>
                <w:szCs w:val="16"/>
                <w:lang w:val="en-US"/>
              </w:rPr>
              <w:t>Inhalational anesthesia</w:t>
            </w:r>
            <w:r w:rsidRPr="00796079">
              <w:rPr>
                <w:rFonts w:eastAsia="Arial"/>
                <w:sz w:val="16"/>
                <w:szCs w:val="16"/>
                <w:lang w:val="en-US"/>
              </w:rPr>
              <w:t>, No. (%)</w:t>
            </w:r>
          </w:p>
        </w:tc>
        <w:tc>
          <w:tcPr>
            <w:tcW w:w="708" w:type="dxa"/>
            <w:gridSpan w:val="2"/>
            <w:shd w:val="clear" w:color="auto" w:fill="auto"/>
            <w:vAlign w:val="center"/>
          </w:tcPr>
          <w:p w14:paraId="359F86DB"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vAlign w:val="center"/>
          </w:tcPr>
          <w:p w14:paraId="359F86DC" w14:textId="77777777" w:rsidR="00796079" w:rsidRPr="00E51635" w:rsidRDefault="00796079" w:rsidP="00D82D86">
            <w:pPr>
              <w:jc w:val="center"/>
              <w:rPr>
                <w:sz w:val="16"/>
                <w:szCs w:val="16"/>
                <w:lang w:val="en-US"/>
              </w:rPr>
            </w:pPr>
            <w:r w:rsidRPr="00E51635">
              <w:rPr>
                <w:sz w:val="16"/>
                <w:szCs w:val="16"/>
                <w:lang w:val="en-US"/>
              </w:rPr>
              <w:t>1720 (38)</w:t>
            </w:r>
          </w:p>
        </w:tc>
        <w:tc>
          <w:tcPr>
            <w:tcW w:w="1984" w:type="dxa"/>
            <w:shd w:val="clear" w:color="auto" w:fill="auto"/>
            <w:vAlign w:val="center"/>
          </w:tcPr>
          <w:p w14:paraId="359F86DD" w14:textId="77777777" w:rsidR="00796079" w:rsidRPr="00E51635" w:rsidRDefault="00796079" w:rsidP="00D82D86">
            <w:pPr>
              <w:jc w:val="center"/>
              <w:rPr>
                <w:sz w:val="16"/>
                <w:szCs w:val="16"/>
                <w:lang w:val="en-US"/>
              </w:rPr>
            </w:pPr>
            <w:r w:rsidRPr="00E51635">
              <w:rPr>
                <w:sz w:val="16"/>
                <w:szCs w:val="16"/>
                <w:lang w:val="en-US"/>
              </w:rPr>
              <w:t>1418 (42)</w:t>
            </w:r>
          </w:p>
        </w:tc>
        <w:tc>
          <w:tcPr>
            <w:tcW w:w="709" w:type="dxa"/>
            <w:gridSpan w:val="2"/>
            <w:shd w:val="clear" w:color="auto" w:fill="auto"/>
            <w:vAlign w:val="center"/>
          </w:tcPr>
          <w:p w14:paraId="359F86DE"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6DF" w14:textId="77777777" w:rsidR="00796079" w:rsidRPr="00796079" w:rsidRDefault="00796079" w:rsidP="00D82D86">
            <w:pPr>
              <w:jc w:val="center"/>
              <w:rPr>
                <w:sz w:val="16"/>
                <w:szCs w:val="16"/>
                <w:lang w:val="en-US"/>
              </w:rPr>
            </w:pPr>
            <w:r w:rsidRPr="00796079">
              <w:rPr>
                <w:sz w:val="16"/>
                <w:szCs w:val="16"/>
                <w:lang w:val="en-US"/>
              </w:rPr>
              <w:t>472 (46)</w:t>
            </w:r>
          </w:p>
        </w:tc>
        <w:tc>
          <w:tcPr>
            <w:tcW w:w="1843" w:type="dxa"/>
            <w:shd w:val="clear" w:color="auto" w:fill="auto"/>
            <w:vAlign w:val="center"/>
          </w:tcPr>
          <w:p w14:paraId="359F86E0" w14:textId="77777777" w:rsidR="00796079" w:rsidRPr="00796079" w:rsidRDefault="00796079" w:rsidP="00D82D86">
            <w:pPr>
              <w:jc w:val="center"/>
              <w:rPr>
                <w:sz w:val="16"/>
                <w:szCs w:val="16"/>
                <w:lang w:val="en-US"/>
              </w:rPr>
            </w:pPr>
            <w:r w:rsidRPr="00796079">
              <w:rPr>
                <w:sz w:val="16"/>
                <w:szCs w:val="16"/>
                <w:lang w:val="en-US"/>
              </w:rPr>
              <w:t>226 (49)</w:t>
            </w:r>
          </w:p>
        </w:tc>
      </w:tr>
      <w:tr w:rsidR="00796079" w:rsidRPr="000C0EB5" w14:paraId="359F86E9" w14:textId="77777777" w:rsidTr="00D82D86">
        <w:tc>
          <w:tcPr>
            <w:tcW w:w="3403" w:type="dxa"/>
            <w:shd w:val="clear" w:color="auto" w:fill="auto"/>
          </w:tcPr>
          <w:p w14:paraId="359F86E2" w14:textId="77777777" w:rsidR="00796079" w:rsidRPr="00796079" w:rsidRDefault="00796079" w:rsidP="00D82D86">
            <w:pPr>
              <w:rPr>
                <w:sz w:val="16"/>
                <w:szCs w:val="16"/>
                <w:lang w:val="en-US"/>
              </w:rPr>
            </w:pPr>
            <w:r w:rsidRPr="00796079">
              <w:rPr>
                <w:sz w:val="16"/>
                <w:szCs w:val="16"/>
                <w:lang w:val="en-US"/>
              </w:rPr>
              <w:t>Predicted risk of PONV</w:t>
            </w:r>
            <w:r w:rsidRPr="00796079">
              <w:rPr>
                <w:rFonts w:eastAsia="Arial"/>
                <w:sz w:val="16"/>
                <w:szCs w:val="16"/>
                <w:lang w:val="en-US"/>
              </w:rPr>
              <w:t>, mean (SD)</w:t>
            </w:r>
          </w:p>
        </w:tc>
        <w:tc>
          <w:tcPr>
            <w:tcW w:w="708" w:type="dxa"/>
            <w:gridSpan w:val="2"/>
            <w:shd w:val="clear" w:color="auto" w:fill="auto"/>
            <w:vAlign w:val="center"/>
          </w:tcPr>
          <w:p w14:paraId="359F86E3"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vAlign w:val="center"/>
          </w:tcPr>
          <w:p w14:paraId="359F86E4" w14:textId="77777777" w:rsidR="00796079" w:rsidRPr="00E51635" w:rsidRDefault="00796079" w:rsidP="00D82D86">
            <w:pPr>
              <w:jc w:val="center"/>
              <w:rPr>
                <w:sz w:val="16"/>
                <w:szCs w:val="16"/>
                <w:lang w:val="en-US"/>
              </w:rPr>
            </w:pPr>
            <w:r w:rsidRPr="00E51635">
              <w:rPr>
                <w:sz w:val="16"/>
                <w:szCs w:val="16"/>
                <w:lang w:val="en-US"/>
              </w:rPr>
              <w:t>0.42 (0.13)</w:t>
            </w:r>
          </w:p>
        </w:tc>
        <w:tc>
          <w:tcPr>
            <w:tcW w:w="1984" w:type="dxa"/>
            <w:shd w:val="clear" w:color="auto" w:fill="auto"/>
            <w:vAlign w:val="center"/>
          </w:tcPr>
          <w:p w14:paraId="359F86E5" w14:textId="77777777" w:rsidR="00796079" w:rsidRPr="00E51635" w:rsidRDefault="00796079" w:rsidP="00D82D86">
            <w:pPr>
              <w:jc w:val="center"/>
              <w:rPr>
                <w:sz w:val="16"/>
                <w:szCs w:val="16"/>
                <w:lang w:val="en-US"/>
              </w:rPr>
            </w:pPr>
            <w:r w:rsidRPr="00E51635">
              <w:rPr>
                <w:sz w:val="16"/>
                <w:szCs w:val="16"/>
                <w:lang w:val="en-US"/>
              </w:rPr>
              <w:t>0.42 (0.13)</w:t>
            </w:r>
          </w:p>
        </w:tc>
        <w:tc>
          <w:tcPr>
            <w:tcW w:w="709" w:type="dxa"/>
            <w:gridSpan w:val="2"/>
            <w:shd w:val="clear" w:color="auto" w:fill="auto"/>
            <w:vAlign w:val="center"/>
          </w:tcPr>
          <w:p w14:paraId="359F86E6"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6E7" w14:textId="77777777" w:rsidR="00796079" w:rsidRPr="00796079" w:rsidRDefault="00796079" w:rsidP="00D82D86">
            <w:pPr>
              <w:jc w:val="center"/>
              <w:rPr>
                <w:sz w:val="16"/>
                <w:szCs w:val="16"/>
                <w:lang w:val="en-US"/>
              </w:rPr>
            </w:pPr>
            <w:r w:rsidRPr="00796079">
              <w:rPr>
                <w:sz w:val="16"/>
                <w:szCs w:val="16"/>
                <w:lang w:val="en-US"/>
              </w:rPr>
              <w:t>0.40 (0.13)</w:t>
            </w:r>
          </w:p>
        </w:tc>
        <w:tc>
          <w:tcPr>
            <w:tcW w:w="1843" w:type="dxa"/>
            <w:shd w:val="clear" w:color="auto" w:fill="auto"/>
            <w:vAlign w:val="center"/>
          </w:tcPr>
          <w:p w14:paraId="359F86E8" w14:textId="77777777" w:rsidR="00796079" w:rsidRPr="00796079" w:rsidRDefault="00796079" w:rsidP="00D82D86">
            <w:pPr>
              <w:jc w:val="center"/>
              <w:rPr>
                <w:sz w:val="16"/>
                <w:szCs w:val="16"/>
                <w:lang w:val="en-US"/>
              </w:rPr>
            </w:pPr>
            <w:r w:rsidRPr="00796079">
              <w:rPr>
                <w:sz w:val="16"/>
                <w:szCs w:val="16"/>
                <w:lang w:val="en-US"/>
              </w:rPr>
              <w:t>0.39 (0.12)</w:t>
            </w:r>
          </w:p>
        </w:tc>
      </w:tr>
      <w:tr w:rsidR="00796079" w:rsidRPr="000C0EB5" w14:paraId="359F86F1" w14:textId="77777777" w:rsidTr="00D82D86">
        <w:tc>
          <w:tcPr>
            <w:tcW w:w="3403" w:type="dxa"/>
            <w:shd w:val="clear" w:color="auto" w:fill="auto"/>
          </w:tcPr>
          <w:p w14:paraId="359F86EA" w14:textId="77777777" w:rsidR="00796079" w:rsidRPr="00796079" w:rsidRDefault="00796079" w:rsidP="00D82D86">
            <w:pPr>
              <w:rPr>
                <w:sz w:val="16"/>
                <w:szCs w:val="16"/>
                <w:lang w:val="en-US"/>
              </w:rPr>
            </w:pPr>
            <w:r w:rsidRPr="00796079">
              <w:rPr>
                <w:sz w:val="16"/>
                <w:szCs w:val="16"/>
                <w:lang w:val="en-US"/>
              </w:rPr>
              <w:t>Predicted PONV risk in categories</w:t>
            </w:r>
            <w:r w:rsidRPr="00796079">
              <w:rPr>
                <w:rFonts w:eastAsia="Arial"/>
                <w:sz w:val="16"/>
                <w:szCs w:val="16"/>
                <w:lang w:val="en-US"/>
              </w:rPr>
              <w:t>, No. (%)</w:t>
            </w:r>
          </w:p>
        </w:tc>
        <w:tc>
          <w:tcPr>
            <w:tcW w:w="708" w:type="dxa"/>
            <w:gridSpan w:val="2"/>
            <w:shd w:val="clear" w:color="auto" w:fill="auto"/>
            <w:vAlign w:val="center"/>
          </w:tcPr>
          <w:p w14:paraId="359F86EB"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vAlign w:val="center"/>
          </w:tcPr>
          <w:p w14:paraId="359F86EC" w14:textId="77777777" w:rsidR="00796079" w:rsidRPr="00E51635" w:rsidRDefault="00796079" w:rsidP="00D82D86">
            <w:pPr>
              <w:jc w:val="center"/>
              <w:rPr>
                <w:sz w:val="16"/>
                <w:szCs w:val="16"/>
                <w:lang w:val="en-US"/>
              </w:rPr>
            </w:pPr>
          </w:p>
        </w:tc>
        <w:tc>
          <w:tcPr>
            <w:tcW w:w="1984" w:type="dxa"/>
            <w:shd w:val="clear" w:color="auto" w:fill="auto"/>
            <w:vAlign w:val="center"/>
          </w:tcPr>
          <w:p w14:paraId="359F86ED" w14:textId="77777777" w:rsidR="00796079" w:rsidRPr="00E51635" w:rsidRDefault="00796079" w:rsidP="00D82D86">
            <w:pPr>
              <w:jc w:val="center"/>
              <w:rPr>
                <w:sz w:val="16"/>
                <w:szCs w:val="16"/>
                <w:lang w:val="en-US"/>
              </w:rPr>
            </w:pPr>
          </w:p>
        </w:tc>
        <w:tc>
          <w:tcPr>
            <w:tcW w:w="709" w:type="dxa"/>
            <w:gridSpan w:val="2"/>
            <w:shd w:val="clear" w:color="auto" w:fill="auto"/>
            <w:vAlign w:val="center"/>
          </w:tcPr>
          <w:p w14:paraId="359F86EE"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6EF" w14:textId="77777777" w:rsidR="00796079" w:rsidRPr="00796079" w:rsidRDefault="00796079" w:rsidP="00D82D86">
            <w:pPr>
              <w:jc w:val="center"/>
              <w:rPr>
                <w:sz w:val="16"/>
                <w:szCs w:val="16"/>
                <w:lang w:val="en-US"/>
              </w:rPr>
            </w:pPr>
          </w:p>
        </w:tc>
        <w:tc>
          <w:tcPr>
            <w:tcW w:w="1843" w:type="dxa"/>
            <w:shd w:val="clear" w:color="auto" w:fill="auto"/>
            <w:vAlign w:val="center"/>
          </w:tcPr>
          <w:p w14:paraId="359F86F0" w14:textId="77777777" w:rsidR="00796079" w:rsidRPr="00796079" w:rsidRDefault="00796079" w:rsidP="00D82D86">
            <w:pPr>
              <w:jc w:val="center"/>
              <w:rPr>
                <w:sz w:val="16"/>
                <w:szCs w:val="16"/>
                <w:lang w:val="en-US"/>
              </w:rPr>
            </w:pPr>
          </w:p>
        </w:tc>
      </w:tr>
      <w:tr w:rsidR="00796079" w:rsidRPr="000C0EB5" w14:paraId="359F86F9" w14:textId="77777777" w:rsidTr="00D82D86">
        <w:tc>
          <w:tcPr>
            <w:tcW w:w="3403" w:type="dxa"/>
            <w:shd w:val="clear" w:color="auto" w:fill="auto"/>
          </w:tcPr>
          <w:p w14:paraId="359F86F2" w14:textId="167198A2" w:rsidR="00796079" w:rsidRPr="00796079" w:rsidRDefault="00796079" w:rsidP="00AA63CF">
            <w:pPr>
              <w:rPr>
                <w:sz w:val="16"/>
                <w:szCs w:val="16"/>
                <w:lang w:val="en-US"/>
              </w:rPr>
            </w:pPr>
            <w:r w:rsidRPr="00796079">
              <w:rPr>
                <w:sz w:val="16"/>
                <w:szCs w:val="16"/>
                <w:lang w:val="en-US"/>
              </w:rPr>
              <w:t xml:space="preserve"> &lt;26% (0 antiemetics advised</w:t>
            </w:r>
            <w:r w:rsidR="00AA63CF" w:rsidRPr="00796079">
              <w:rPr>
                <w:rFonts w:cs="Arial"/>
                <w:sz w:val="16"/>
                <w:szCs w:val="16"/>
                <w:vertAlign w:val="superscript"/>
                <w:lang w:val="en-US"/>
              </w:rPr>
              <w:t>†</w:t>
            </w:r>
            <w:r w:rsidRPr="00796079">
              <w:rPr>
                <w:sz w:val="16"/>
                <w:szCs w:val="16"/>
                <w:lang w:val="en-US"/>
              </w:rPr>
              <w:t>)</w:t>
            </w:r>
          </w:p>
        </w:tc>
        <w:tc>
          <w:tcPr>
            <w:tcW w:w="708" w:type="dxa"/>
            <w:gridSpan w:val="2"/>
            <w:shd w:val="clear" w:color="auto" w:fill="auto"/>
            <w:vAlign w:val="center"/>
          </w:tcPr>
          <w:p w14:paraId="359F86F3" w14:textId="77777777" w:rsidR="00796079" w:rsidRPr="00E51635" w:rsidRDefault="00796079" w:rsidP="00D82D86">
            <w:pPr>
              <w:jc w:val="center"/>
              <w:rPr>
                <w:sz w:val="16"/>
                <w:szCs w:val="16"/>
                <w:lang w:val="en-US"/>
              </w:rPr>
            </w:pPr>
          </w:p>
        </w:tc>
        <w:tc>
          <w:tcPr>
            <w:tcW w:w="1985" w:type="dxa"/>
            <w:shd w:val="clear" w:color="auto" w:fill="auto"/>
            <w:vAlign w:val="center"/>
          </w:tcPr>
          <w:p w14:paraId="359F86F4" w14:textId="77777777" w:rsidR="00796079" w:rsidRPr="00E51635" w:rsidRDefault="00796079" w:rsidP="00D82D86">
            <w:pPr>
              <w:jc w:val="center"/>
              <w:rPr>
                <w:sz w:val="16"/>
                <w:szCs w:val="16"/>
                <w:lang w:val="en-US"/>
              </w:rPr>
            </w:pPr>
            <w:r w:rsidRPr="00E51635">
              <w:rPr>
                <w:sz w:val="16"/>
                <w:szCs w:val="16"/>
                <w:lang w:val="en-US"/>
              </w:rPr>
              <w:t>449 (10)</w:t>
            </w:r>
          </w:p>
        </w:tc>
        <w:tc>
          <w:tcPr>
            <w:tcW w:w="1984" w:type="dxa"/>
            <w:shd w:val="clear" w:color="auto" w:fill="auto"/>
            <w:vAlign w:val="center"/>
          </w:tcPr>
          <w:p w14:paraId="359F86F5" w14:textId="77777777" w:rsidR="00796079" w:rsidRPr="00E51635" w:rsidRDefault="00796079" w:rsidP="00D82D86">
            <w:pPr>
              <w:jc w:val="center"/>
              <w:rPr>
                <w:sz w:val="16"/>
                <w:szCs w:val="16"/>
                <w:lang w:val="en-US"/>
              </w:rPr>
            </w:pPr>
            <w:r w:rsidRPr="00E51635">
              <w:rPr>
                <w:sz w:val="16"/>
                <w:szCs w:val="16"/>
                <w:lang w:val="en-US"/>
              </w:rPr>
              <w:t>316 (9)</w:t>
            </w:r>
          </w:p>
        </w:tc>
        <w:tc>
          <w:tcPr>
            <w:tcW w:w="709" w:type="dxa"/>
            <w:gridSpan w:val="2"/>
            <w:shd w:val="clear" w:color="auto" w:fill="auto"/>
            <w:vAlign w:val="center"/>
          </w:tcPr>
          <w:p w14:paraId="359F86F6" w14:textId="77777777" w:rsidR="00796079" w:rsidRPr="00796079" w:rsidRDefault="00796079" w:rsidP="00D82D86">
            <w:pPr>
              <w:jc w:val="center"/>
              <w:rPr>
                <w:sz w:val="16"/>
                <w:szCs w:val="16"/>
                <w:lang w:val="en-US"/>
              </w:rPr>
            </w:pPr>
          </w:p>
        </w:tc>
        <w:tc>
          <w:tcPr>
            <w:tcW w:w="2126" w:type="dxa"/>
            <w:shd w:val="clear" w:color="auto" w:fill="auto"/>
            <w:vAlign w:val="center"/>
          </w:tcPr>
          <w:p w14:paraId="359F86F7" w14:textId="77777777" w:rsidR="00796079" w:rsidRPr="00796079" w:rsidRDefault="00796079" w:rsidP="00D82D86">
            <w:pPr>
              <w:jc w:val="center"/>
              <w:rPr>
                <w:sz w:val="16"/>
                <w:szCs w:val="16"/>
                <w:lang w:val="en-US"/>
              </w:rPr>
            </w:pPr>
            <w:r w:rsidRPr="00796079">
              <w:rPr>
                <w:sz w:val="16"/>
                <w:szCs w:val="16"/>
                <w:lang w:val="en-US"/>
              </w:rPr>
              <w:t>127 (12)</w:t>
            </w:r>
          </w:p>
        </w:tc>
        <w:tc>
          <w:tcPr>
            <w:tcW w:w="1843" w:type="dxa"/>
            <w:shd w:val="clear" w:color="auto" w:fill="auto"/>
            <w:vAlign w:val="center"/>
          </w:tcPr>
          <w:p w14:paraId="359F86F8" w14:textId="77777777" w:rsidR="00796079" w:rsidRPr="00796079" w:rsidRDefault="00796079" w:rsidP="00D82D86">
            <w:pPr>
              <w:jc w:val="center"/>
              <w:rPr>
                <w:sz w:val="16"/>
                <w:szCs w:val="16"/>
                <w:lang w:val="en-US"/>
              </w:rPr>
            </w:pPr>
            <w:r w:rsidRPr="00796079">
              <w:rPr>
                <w:sz w:val="16"/>
                <w:szCs w:val="16"/>
                <w:lang w:val="en-US"/>
              </w:rPr>
              <w:t>61 (13)</w:t>
            </w:r>
          </w:p>
        </w:tc>
      </w:tr>
      <w:tr w:rsidR="00796079" w:rsidRPr="000C0EB5" w14:paraId="359F8701" w14:textId="77777777" w:rsidTr="00D82D86">
        <w:tc>
          <w:tcPr>
            <w:tcW w:w="3403" w:type="dxa"/>
            <w:shd w:val="clear" w:color="auto" w:fill="auto"/>
          </w:tcPr>
          <w:p w14:paraId="359F86FA" w14:textId="6E0993AE" w:rsidR="00796079" w:rsidRPr="00796079" w:rsidRDefault="00796079" w:rsidP="00AA63CF">
            <w:pPr>
              <w:rPr>
                <w:sz w:val="16"/>
                <w:szCs w:val="16"/>
                <w:lang w:val="en-US"/>
              </w:rPr>
            </w:pPr>
            <w:r w:rsidRPr="00796079">
              <w:rPr>
                <w:sz w:val="16"/>
                <w:szCs w:val="16"/>
                <w:lang w:val="en-US"/>
              </w:rPr>
              <w:t xml:space="preserve"> 26-41% (1 antiemetic advised</w:t>
            </w:r>
            <w:r w:rsidR="00AA63CF" w:rsidRPr="00796079">
              <w:rPr>
                <w:rFonts w:cs="Arial"/>
                <w:sz w:val="16"/>
                <w:szCs w:val="16"/>
                <w:vertAlign w:val="superscript"/>
                <w:lang w:val="en-US"/>
              </w:rPr>
              <w:t>†</w:t>
            </w:r>
            <w:r w:rsidRPr="00796079">
              <w:rPr>
                <w:sz w:val="16"/>
                <w:szCs w:val="16"/>
                <w:lang w:val="en-US"/>
              </w:rPr>
              <w:t>)</w:t>
            </w:r>
          </w:p>
        </w:tc>
        <w:tc>
          <w:tcPr>
            <w:tcW w:w="708" w:type="dxa"/>
            <w:gridSpan w:val="2"/>
            <w:shd w:val="clear" w:color="auto" w:fill="auto"/>
            <w:vAlign w:val="center"/>
          </w:tcPr>
          <w:p w14:paraId="359F86FB" w14:textId="77777777" w:rsidR="00796079" w:rsidRPr="00E51635" w:rsidRDefault="00796079" w:rsidP="00D82D86">
            <w:pPr>
              <w:jc w:val="center"/>
              <w:rPr>
                <w:sz w:val="16"/>
                <w:szCs w:val="16"/>
                <w:lang w:val="en-US"/>
              </w:rPr>
            </w:pPr>
          </w:p>
        </w:tc>
        <w:tc>
          <w:tcPr>
            <w:tcW w:w="1985" w:type="dxa"/>
            <w:shd w:val="clear" w:color="auto" w:fill="auto"/>
            <w:vAlign w:val="center"/>
          </w:tcPr>
          <w:p w14:paraId="359F86FC" w14:textId="77777777" w:rsidR="00796079" w:rsidRPr="00E51635" w:rsidRDefault="00796079" w:rsidP="00D82D86">
            <w:pPr>
              <w:jc w:val="center"/>
              <w:rPr>
                <w:sz w:val="16"/>
                <w:szCs w:val="16"/>
                <w:lang w:val="en-US"/>
              </w:rPr>
            </w:pPr>
            <w:r w:rsidRPr="00E51635">
              <w:rPr>
                <w:sz w:val="16"/>
                <w:szCs w:val="16"/>
                <w:lang w:val="en-US"/>
              </w:rPr>
              <w:t>1725 (38)</w:t>
            </w:r>
          </w:p>
        </w:tc>
        <w:tc>
          <w:tcPr>
            <w:tcW w:w="1984" w:type="dxa"/>
            <w:shd w:val="clear" w:color="auto" w:fill="auto"/>
            <w:vAlign w:val="center"/>
          </w:tcPr>
          <w:p w14:paraId="359F86FD" w14:textId="77777777" w:rsidR="00796079" w:rsidRPr="00E51635" w:rsidRDefault="00796079" w:rsidP="00D82D86">
            <w:pPr>
              <w:jc w:val="center"/>
              <w:rPr>
                <w:sz w:val="16"/>
                <w:szCs w:val="16"/>
                <w:lang w:val="en-US"/>
              </w:rPr>
            </w:pPr>
            <w:r w:rsidRPr="00E51635">
              <w:rPr>
                <w:sz w:val="16"/>
                <w:szCs w:val="16"/>
                <w:lang w:val="en-US"/>
              </w:rPr>
              <w:t>1301 (38)</w:t>
            </w:r>
          </w:p>
        </w:tc>
        <w:tc>
          <w:tcPr>
            <w:tcW w:w="709" w:type="dxa"/>
            <w:gridSpan w:val="2"/>
            <w:shd w:val="clear" w:color="auto" w:fill="auto"/>
            <w:vAlign w:val="center"/>
          </w:tcPr>
          <w:p w14:paraId="359F86FE" w14:textId="77777777" w:rsidR="00796079" w:rsidRPr="00796079" w:rsidRDefault="00796079" w:rsidP="00D82D86">
            <w:pPr>
              <w:jc w:val="center"/>
              <w:rPr>
                <w:sz w:val="16"/>
                <w:szCs w:val="16"/>
                <w:lang w:val="en-US"/>
              </w:rPr>
            </w:pPr>
          </w:p>
        </w:tc>
        <w:tc>
          <w:tcPr>
            <w:tcW w:w="2126" w:type="dxa"/>
            <w:shd w:val="clear" w:color="auto" w:fill="auto"/>
            <w:vAlign w:val="center"/>
          </w:tcPr>
          <w:p w14:paraId="359F86FF" w14:textId="77777777" w:rsidR="00796079" w:rsidRPr="00796079" w:rsidRDefault="00796079" w:rsidP="00D82D86">
            <w:pPr>
              <w:jc w:val="center"/>
              <w:rPr>
                <w:sz w:val="16"/>
                <w:szCs w:val="16"/>
                <w:lang w:val="en-US"/>
              </w:rPr>
            </w:pPr>
            <w:r w:rsidRPr="00796079">
              <w:rPr>
                <w:sz w:val="16"/>
                <w:szCs w:val="16"/>
                <w:lang w:val="en-US"/>
              </w:rPr>
              <w:t>443 (43)</w:t>
            </w:r>
          </w:p>
        </w:tc>
        <w:tc>
          <w:tcPr>
            <w:tcW w:w="1843" w:type="dxa"/>
            <w:shd w:val="clear" w:color="auto" w:fill="auto"/>
            <w:vAlign w:val="center"/>
          </w:tcPr>
          <w:p w14:paraId="359F8700" w14:textId="77777777" w:rsidR="00796079" w:rsidRPr="00796079" w:rsidRDefault="00796079" w:rsidP="00D82D86">
            <w:pPr>
              <w:jc w:val="center"/>
              <w:rPr>
                <w:sz w:val="16"/>
                <w:szCs w:val="16"/>
                <w:lang w:val="en-US"/>
              </w:rPr>
            </w:pPr>
            <w:r w:rsidRPr="00796079">
              <w:rPr>
                <w:sz w:val="16"/>
                <w:szCs w:val="16"/>
                <w:lang w:val="en-US"/>
              </w:rPr>
              <w:t>218 (47)</w:t>
            </w:r>
          </w:p>
        </w:tc>
      </w:tr>
      <w:tr w:rsidR="00796079" w:rsidRPr="000C0EB5" w14:paraId="359F8709" w14:textId="77777777" w:rsidTr="00D82D86">
        <w:tc>
          <w:tcPr>
            <w:tcW w:w="3403" w:type="dxa"/>
            <w:shd w:val="clear" w:color="auto" w:fill="auto"/>
          </w:tcPr>
          <w:p w14:paraId="359F8702" w14:textId="2BC4F139" w:rsidR="00796079" w:rsidRPr="00796079" w:rsidRDefault="00796079" w:rsidP="00AA63CF">
            <w:pPr>
              <w:rPr>
                <w:sz w:val="16"/>
                <w:szCs w:val="16"/>
                <w:lang w:val="en-US"/>
              </w:rPr>
            </w:pPr>
            <w:r w:rsidRPr="00796079">
              <w:rPr>
                <w:sz w:val="16"/>
                <w:szCs w:val="16"/>
                <w:lang w:val="en-US"/>
              </w:rPr>
              <w:t xml:space="preserve"> 41-62% (2 antiemetics advised</w:t>
            </w:r>
            <w:r w:rsidR="00AA63CF" w:rsidRPr="00796079">
              <w:rPr>
                <w:rFonts w:cs="Arial"/>
                <w:sz w:val="16"/>
                <w:szCs w:val="16"/>
                <w:vertAlign w:val="superscript"/>
                <w:lang w:val="en-US"/>
              </w:rPr>
              <w:t>†</w:t>
            </w:r>
            <w:r w:rsidRPr="00796079">
              <w:rPr>
                <w:sz w:val="16"/>
                <w:szCs w:val="16"/>
                <w:lang w:val="en-US"/>
              </w:rPr>
              <w:t>)</w:t>
            </w:r>
          </w:p>
        </w:tc>
        <w:tc>
          <w:tcPr>
            <w:tcW w:w="708" w:type="dxa"/>
            <w:gridSpan w:val="2"/>
            <w:shd w:val="clear" w:color="auto" w:fill="auto"/>
            <w:vAlign w:val="center"/>
          </w:tcPr>
          <w:p w14:paraId="359F8703" w14:textId="77777777" w:rsidR="00796079" w:rsidRPr="00E51635" w:rsidRDefault="00796079" w:rsidP="00D82D86">
            <w:pPr>
              <w:jc w:val="center"/>
              <w:rPr>
                <w:sz w:val="16"/>
                <w:szCs w:val="16"/>
                <w:lang w:val="en-US"/>
              </w:rPr>
            </w:pPr>
          </w:p>
        </w:tc>
        <w:tc>
          <w:tcPr>
            <w:tcW w:w="1985" w:type="dxa"/>
            <w:shd w:val="clear" w:color="auto" w:fill="auto"/>
            <w:vAlign w:val="center"/>
          </w:tcPr>
          <w:p w14:paraId="359F8704" w14:textId="77777777" w:rsidR="00796079" w:rsidRPr="00E51635" w:rsidRDefault="00796079" w:rsidP="00D82D86">
            <w:pPr>
              <w:jc w:val="center"/>
              <w:rPr>
                <w:sz w:val="16"/>
                <w:szCs w:val="16"/>
                <w:lang w:val="en-US"/>
              </w:rPr>
            </w:pPr>
            <w:r w:rsidRPr="00E51635">
              <w:rPr>
                <w:sz w:val="16"/>
                <w:szCs w:val="16"/>
                <w:lang w:val="en-US"/>
              </w:rPr>
              <w:t>1970 (44%)</w:t>
            </w:r>
          </w:p>
        </w:tc>
        <w:tc>
          <w:tcPr>
            <w:tcW w:w="1984" w:type="dxa"/>
            <w:shd w:val="clear" w:color="auto" w:fill="auto"/>
            <w:vAlign w:val="center"/>
          </w:tcPr>
          <w:p w14:paraId="359F8705" w14:textId="77777777" w:rsidR="00796079" w:rsidRPr="00E51635" w:rsidRDefault="00796079" w:rsidP="00D82D86">
            <w:pPr>
              <w:jc w:val="center"/>
              <w:rPr>
                <w:sz w:val="16"/>
                <w:szCs w:val="16"/>
                <w:lang w:val="en-US"/>
              </w:rPr>
            </w:pPr>
            <w:r w:rsidRPr="00E51635">
              <w:rPr>
                <w:sz w:val="16"/>
                <w:szCs w:val="16"/>
                <w:lang w:val="en-US"/>
              </w:rPr>
              <w:t>1503 (44)</w:t>
            </w:r>
          </w:p>
        </w:tc>
        <w:tc>
          <w:tcPr>
            <w:tcW w:w="709" w:type="dxa"/>
            <w:gridSpan w:val="2"/>
            <w:shd w:val="clear" w:color="auto" w:fill="auto"/>
            <w:vAlign w:val="center"/>
          </w:tcPr>
          <w:p w14:paraId="359F8706" w14:textId="77777777" w:rsidR="00796079" w:rsidRPr="00796079" w:rsidRDefault="00796079" w:rsidP="00D82D86">
            <w:pPr>
              <w:jc w:val="center"/>
              <w:rPr>
                <w:sz w:val="16"/>
                <w:szCs w:val="16"/>
                <w:lang w:val="en-US"/>
              </w:rPr>
            </w:pPr>
          </w:p>
        </w:tc>
        <w:tc>
          <w:tcPr>
            <w:tcW w:w="2126" w:type="dxa"/>
            <w:shd w:val="clear" w:color="auto" w:fill="auto"/>
            <w:vAlign w:val="center"/>
          </w:tcPr>
          <w:p w14:paraId="359F8707" w14:textId="77777777" w:rsidR="00796079" w:rsidRPr="00796079" w:rsidRDefault="00796079" w:rsidP="00D82D86">
            <w:pPr>
              <w:jc w:val="center"/>
              <w:rPr>
                <w:sz w:val="16"/>
                <w:szCs w:val="16"/>
                <w:lang w:val="en-US"/>
              </w:rPr>
            </w:pPr>
            <w:r w:rsidRPr="00796079">
              <w:rPr>
                <w:sz w:val="16"/>
                <w:szCs w:val="16"/>
                <w:lang w:val="en-US"/>
              </w:rPr>
              <w:t>384 (38)</w:t>
            </w:r>
          </w:p>
        </w:tc>
        <w:tc>
          <w:tcPr>
            <w:tcW w:w="1843" w:type="dxa"/>
            <w:shd w:val="clear" w:color="auto" w:fill="auto"/>
            <w:vAlign w:val="center"/>
          </w:tcPr>
          <w:p w14:paraId="359F8708" w14:textId="77777777" w:rsidR="00796079" w:rsidRPr="00796079" w:rsidRDefault="00796079" w:rsidP="00D82D86">
            <w:pPr>
              <w:jc w:val="center"/>
              <w:rPr>
                <w:sz w:val="16"/>
                <w:szCs w:val="16"/>
                <w:lang w:val="en-US"/>
              </w:rPr>
            </w:pPr>
            <w:r w:rsidRPr="00796079">
              <w:rPr>
                <w:sz w:val="16"/>
                <w:szCs w:val="16"/>
                <w:lang w:val="en-US"/>
              </w:rPr>
              <w:t>162 (35)</w:t>
            </w:r>
          </w:p>
        </w:tc>
      </w:tr>
      <w:tr w:rsidR="00796079" w:rsidRPr="000C0EB5" w14:paraId="359F8711" w14:textId="77777777" w:rsidTr="00D82D86">
        <w:tc>
          <w:tcPr>
            <w:tcW w:w="3403" w:type="dxa"/>
            <w:shd w:val="clear" w:color="auto" w:fill="auto"/>
          </w:tcPr>
          <w:p w14:paraId="359F870A" w14:textId="0FBFB646" w:rsidR="00796079" w:rsidRPr="00796079" w:rsidRDefault="00796079" w:rsidP="00AA63CF">
            <w:pPr>
              <w:rPr>
                <w:sz w:val="16"/>
                <w:szCs w:val="16"/>
                <w:lang w:val="en-US"/>
              </w:rPr>
            </w:pPr>
            <w:r w:rsidRPr="00796079">
              <w:rPr>
                <w:sz w:val="16"/>
                <w:szCs w:val="16"/>
                <w:lang w:val="en-US"/>
              </w:rPr>
              <w:t xml:space="preserve"> &gt;62% (3 antiemetics advised</w:t>
            </w:r>
            <w:r w:rsidR="00AA63CF" w:rsidRPr="00796079">
              <w:rPr>
                <w:rFonts w:cs="Arial"/>
                <w:sz w:val="16"/>
                <w:szCs w:val="16"/>
                <w:vertAlign w:val="superscript"/>
                <w:lang w:val="en-US"/>
              </w:rPr>
              <w:t>†</w:t>
            </w:r>
            <w:r w:rsidRPr="00796079">
              <w:rPr>
                <w:sz w:val="16"/>
                <w:szCs w:val="16"/>
                <w:lang w:val="en-US"/>
              </w:rPr>
              <w:t>)</w:t>
            </w:r>
          </w:p>
        </w:tc>
        <w:tc>
          <w:tcPr>
            <w:tcW w:w="708" w:type="dxa"/>
            <w:gridSpan w:val="2"/>
            <w:shd w:val="clear" w:color="auto" w:fill="auto"/>
            <w:vAlign w:val="center"/>
          </w:tcPr>
          <w:p w14:paraId="359F870B" w14:textId="77777777" w:rsidR="00796079" w:rsidRPr="00E51635" w:rsidRDefault="00796079" w:rsidP="00D82D86">
            <w:pPr>
              <w:jc w:val="center"/>
              <w:rPr>
                <w:sz w:val="16"/>
                <w:szCs w:val="16"/>
                <w:lang w:val="en-US"/>
              </w:rPr>
            </w:pPr>
          </w:p>
        </w:tc>
        <w:tc>
          <w:tcPr>
            <w:tcW w:w="1985" w:type="dxa"/>
            <w:shd w:val="clear" w:color="auto" w:fill="auto"/>
            <w:vAlign w:val="center"/>
          </w:tcPr>
          <w:p w14:paraId="359F870C" w14:textId="77777777" w:rsidR="00796079" w:rsidRPr="00E51635" w:rsidRDefault="00796079" w:rsidP="00D82D86">
            <w:pPr>
              <w:jc w:val="center"/>
              <w:rPr>
                <w:sz w:val="16"/>
                <w:szCs w:val="16"/>
                <w:lang w:val="en-US"/>
              </w:rPr>
            </w:pPr>
            <w:r w:rsidRPr="00E51635">
              <w:rPr>
                <w:sz w:val="16"/>
                <w:szCs w:val="16"/>
                <w:lang w:val="en-US"/>
              </w:rPr>
              <w:t>352 (8)</w:t>
            </w:r>
          </w:p>
        </w:tc>
        <w:tc>
          <w:tcPr>
            <w:tcW w:w="1984" w:type="dxa"/>
            <w:shd w:val="clear" w:color="auto" w:fill="auto"/>
            <w:vAlign w:val="center"/>
          </w:tcPr>
          <w:p w14:paraId="359F870D" w14:textId="77777777" w:rsidR="00796079" w:rsidRPr="00E51635" w:rsidRDefault="00796079" w:rsidP="00D82D86">
            <w:pPr>
              <w:jc w:val="center"/>
              <w:rPr>
                <w:sz w:val="16"/>
                <w:szCs w:val="16"/>
                <w:lang w:val="en-US"/>
              </w:rPr>
            </w:pPr>
            <w:r w:rsidRPr="00E51635">
              <w:rPr>
                <w:sz w:val="16"/>
                <w:szCs w:val="16"/>
                <w:lang w:val="en-US"/>
              </w:rPr>
              <w:t>265 (8)</w:t>
            </w:r>
          </w:p>
        </w:tc>
        <w:tc>
          <w:tcPr>
            <w:tcW w:w="709" w:type="dxa"/>
            <w:gridSpan w:val="2"/>
            <w:shd w:val="clear" w:color="auto" w:fill="auto"/>
            <w:vAlign w:val="center"/>
          </w:tcPr>
          <w:p w14:paraId="359F870E" w14:textId="77777777" w:rsidR="00796079" w:rsidRPr="00796079" w:rsidRDefault="00796079" w:rsidP="00D82D86">
            <w:pPr>
              <w:jc w:val="center"/>
              <w:rPr>
                <w:sz w:val="16"/>
                <w:szCs w:val="16"/>
                <w:lang w:val="en-US"/>
              </w:rPr>
            </w:pPr>
          </w:p>
        </w:tc>
        <w:tc>
          <w:tcPr>
            <w:tcW w:w="2126" w:type="dxa"/>
            <w:shd w:val="clear" w:color="auto" w:fill="auto"/>
            <w:vAlign w:val="center"/>
          </w:tcPr>
          <w:p w14:paraId="359F870F" w14:textId="77777777" w:rsidR="00796079" w:rsidRPr="00796079" w:rsidRDefault="00796079" w:rsidP="00D82D86">
            <w:pPr>
              <w:jc w:val="center"/>
              <w:rPr>
                <w:sz w:val="16"/>
                <w:szCs w:val="16"/>
                <w:lang w:val="en-US"/>
              </w:rPr>
            </w:pPr>
            <w:r w:rsidRPr="00796079">
              <w:rPr>
                <w:sz w:val="16"/>
                <w:szCs w:val="16"/>
                <w:lang w:val="en-US"/>
              </w:rPr>
              <w:t>68 (7)</w:t>
            </w:r>
          </w:p>
        </w:tc>
        <w:tc>
          <w:tcPr>
            <w:tcW w:w="1843" w:type="dxa"/>
            <w:shd w:val="clear" w:color="auto" w:fill="auto"/>
            <w:vAlign w:val="center"/>
          </w:tcPr>
          <w:p w14:paraId="359F8710" w14:textId="77777777" w:rsidR="00796079" w:rsidRPr="00796079" w:rsidRDefault="00796079" w:rsidP="00D82D86">
            <w:pPr>
              <w:jc w:val="center"/>
              <w:rPr>
                <w:sz w:val="16"/>
                <w:szCs w:val="16"/>
                <w:lang w:val="en-US"/>
              </w:rPr>
            </w:pPr>
            <w:r w:rsidRPr="00796079">
              <w:rPr>
                <w:sz w:val="16"/>
                <w:szCs w:val="16"/>
                <w:lang w:val="en-US"/>
              </w:rPr>
              <w:t xml:space="preserve"> 20 (4)</w:t>
            </w:r>
          </w:p>
        </w:tc>
      </w:tr>
      <w:tr w:rsidR="00796079" w:rsidRPr="000C0EB5" w14:paraId="359F8719" w14:textId="77777777" w:rsidTr="00D82D86">
        <w:tc>
          <w:tcPr>
            <w:tcW w:w="3403" w:type="dxa"/>
            <w:shd w:val="clear" w:color="auto" w:fill="auto"/>
          </w:tcPr>
          <w:p w14:paraId="359F8712" w14:textId="77777777" w:rsidR="00796079" w:rsidRPr="00796079" w:rsidRDefault="00796079" w:rsidP="00AA63CF">
            <w:pPr>
              <w:rPr>
                <w:sz w:val="16"/>
                <w:szCs w:val="16"/>
                <w:lang w:val="en-US"/>
              </w:rPr>
            </w:pPr>
            <w:r w:rsidRPr="00796079">
              <w:rPr>
                <w:sz w:val="16"/>
                <w:szCs w:val="16"/>
                <w:lang w:val="en-US"/>
              </w:rPr>
              <w:t>Operation duration</w:t>
            </w:r>
            <w:r w:rsidRPr="00796079">
              <w:rPr>
                <w:rFonts w:eastAsia="Arial"/>
                <w:sz w:val="16"/>
                <w:szCs w:val="16"/>
                <w:lang w:val="en-US"/>
              </w:rPr>
              <w:t>, median (IQR), min</w:t>
            </w:r>
            <w:r w:rsidR="00AA63CF" w:rsidRPr="001939E8">
              <w:rPr>
                <w:rFonts w:eastAsia="Arial" w:cs="Arial"/>
                <w:sz w:val="16"/>
                <w:szCs w:val="16"/>
                <w:vertAlign w:val="superscript"/>
                <w:lang w:val="en-US"/>
              </w:rPr>
              <w:t>‡</w:t>
            </w:r>
          </w:p>
        </w:tc>
        <w:tc>
          <w:tcPr>
            <w:tcW w:w="708" w:type="dxa"/>
            <w:gridSpan w:val="2"/>
            <w:shd w:val="clear" w:color="auto" w:fill="auto"/>
            <w:vAlign w:val="center"/>
          </w:tcPr>
          <w:p w14:paraId="359F8713" w14:textId="77777777" w:rsidR="00796079" w:rsidRPr="00E51635" w:rsidRDefault="00796079" w:rsidP="00D82D86">
            <w:pPr>
              <w:jc w:val="center"/>
              <w:rPr>
                <w:sz w:val="16"/>
                <w:szCs w:val="16"/>
                <w:lang w:val="en-US"/>
              </w:rPr>
            </w:pPr>
            <w:r w:rsidRPr="00E51635">
              <w:rPr>
                <w:sz w:val="16"/>
                <w:szCs w:val="16"/>
                <w:lang w:val="en-US"/>
              </w:rPr>
              <w:t>7881</w:t>
            </w:r>
          </w:p>
        </w:tc>
        <w:tc>
          <w:tcPr>
            <w:tcW w:w="1985" w:type="dxa"/>
            <w:shd w:val="clear" w:color="auto" w:fill="auto"/>
            <w:vAlign w:val="center"/>
          </w:tcPr>
          <w:p w14:paraId="359F8714" w14:textId="77777777" w:rsidR="00796079" w:rsidRPr="00E51635" w:rsidRDefault="00796079" w:rsidP="00D82D86">
            <w:pPr>
              <w:jc w:val="center"/>
              <w:rPr>
                <w:sz w:val="16"/>
                <w:szCs w:val="16"/>
                <w:lang w:val="en-US"/>
              </w:rPr>
            </w:pPr>
            <w:r w:rsidRPr="00E51635">
              <w:rPr>
                <w:sz w:val="16"/>
                <w:szCs w:val="16"/>
                <w:lang w:val="en-US"/>
              </w:rPr>
              <w:t>126 (82-192)</w:t>
            </w:r>
          </w:p>
        </w:tc>
        <w:tc>
          <w:tcPr>
            <w:tcW w:w="1984" w:type="dxa"/>
            <w:shd w:val="clear" w:color="auto" w:fill="auto"/>
            <w:vAlign w:val="center"/>
          </w:tcPr>
          <w:p w14:paraId="359F8715" w14:textId="77777777" w:rsidR="00796079" w:rsidRPr="00E51635" w:rsidRDefault="00796079" w:rsidP="00D82D86">
            <w:pPr>
              <w:jc w:val="center"/>
              <w:rPr>
                <w:sz w:val="16"/>
                <w:szCs w:val="16"/>
                <w:lang w:val="en-US"/>
              </w:rPr>
            </w:pPr>
            <w:r w:rsidRPr="00E51635">
              <w:rPr>
                <w:sz w:val="16"/>
                <w:szCs w:val="16"/>
                <w:lang w:val="en-US"/>
              </w:rPr>
              <w:t>87/126/(87-191)</w:t>
            </w:r>
          </w:p>
        </w:tc>
        <w:tc>
          <w:tcPr>
            <w:tcW w:w="709" w:type="dxa"/>
            <w:gridSpan w:val="2"/>
            <w:shd w:val="clear" w:color="auto" w:fill="auto"/>
            <w:vAlign w:val="center"/>
          </w:tcPr>
          <w:p w14:paraId="359F8716" w14:textId="77777777" w:rsidR="00796079" w:rsidRPr="00796079" w:rsidRDefault="00796079" w:rsidP="00D82D86">
            <w:pPr>
              <w:jc w:val="center"/>
              <w:rPr>
                <w:sz w:val="16"/>
                <w:szCs w:val="16"/>
                <w:lang w:val="en-US"/>
              </w:rPr>
            </w:pPr>
            <w:r w:rsidRPr="00796079">
              <w:rPr>
                <w:sz w:val="16"/>
                <w:szCs w:val="16"/>
                <w:lang w:val="en-US"/>
              </w:rPr>
              <w:t>1483</w:t>
            </w:r>
          </w:p>
        </w:tc>
        <w:tc>
          <w:tcPr>
            <w:tcW w:w="2126" w:type="dxa"/>
            <w:shd w:val="clear" w:color="auto" w:fill="auto"/>
            <w:vAlign w:val="center"/>
          </w:tcPr>
          <w:p w14:paraId="359F8717" w14:textId="77777777" w:rsidR="00796079" w:rsidRPr="00796079" w:rsidRDefault="00796079" w:rsidP="00D82D86">
            <w:pPr>
              <w:jc w:val="center"/>
              <w:rPr>
                <w:sz w:val="16"/>
                <w:szCs w:val="16"/>
                <w:lang w:val="en-US"/>
              </w:rPr>
            </w:pPr>
            <w:r w:rsidRPr="00796079">
              <w:rPr>
                <w:sz w:val="16"/>
                <w:szCs w:val="16"/>
                <w:lang w:val="en-US"/>
              </w:rPr>
              <w:t>128 (85-188)</w:t>
            </w:r>
          </w:p>
        </w:tc>
        <w:tc>
          <w:tcPr>
            <w:tcW w:w="1843" w:type="dxa"/>
            <w:shd w:val="clear" w:color="auto" w:fill="auto"/>
            <w:vAlign w:val="center"/>
          </w:tcPr>
          <w:p w14:paraId="359F8718" w14:textId="77777777" w:rsidR="00796079" w:rsidRPr="00796079" w:rsidRDefault="00796079" w:rsidP="00D82D86">
            <w:pPr>
              <w:jc w:val="center"/>
              <w:rPr>
                <w:sz w:val="16"/>
                <w:szCs w:val="16"/>
                <w:lang w:val="en-US"/>
              </w:rPr>
            </w:pPr>
            <w:r w:rsidRPr="00796079">
              <w:rPr>
                <w:sz w:val="16"/>
                <w:szCs w:val="16"/>
                <w:lang w:val="en-US"/>
              </w:rPr>
              <w:t>167 (119)</w:t>
            </w:r>
          </w:p>
        </w:tc>
      </w:tr>
      <w:tr w:rsidR="00796079" w:rsidRPr="00B71E75" w14:paraId="359F871E" w14:textId="77777777" w:rsidTr="00D82D86">
        <w:trPr>
          <w:trHeight w:val="329"/>
        </w:trPr>
        <w:tc>
          <w:tcPr>
            <w:tcW w:w="12758" w:type="dxa"/>
            <w:gridSpan w:val="9"/>
            <w:shd w:val="clear" w:color="auto" w:fill="auto"/>
          </w:tcPr>
          <w:p w14:paraId="359F871A" w14:textId="2AE20438" w:rsidR="00796079" w:rsidRPr="00796079" w:rsidRDefault="00796079" w:rsidP="00D82D86">
            <w:pPr>
              <w:rPr>
                <w:rFonts w:eastAsia="Arial"/>
                <w:sz w:val="16"/>
                <w:szCs w:val="16"/>
                <w:lang w:val="en-US"/>
              </w:rPr>
            </w:pPr>
            <w:r w:rsidRPr="00796079">
              <w:rPr>
                <w:rFonts w:eastAsia="Arial"/>
                <w:sz w:val="16"/>
                <w:szCs w:val="16"/>
                <w:lang w:val="en-US"/>
              </w:rPr>
              <w:lastRenderedPageBreak/>
              <w:t>*</w:t>
            </w:r>
            <w:r w:rsidRPr="00796079">
              <w:rPr>
                <w:rFonts w:eastAsia="Arial"/>
                <w:sz w:val="16"/>
                <w:szCs w:val="16"/>
                <w:vertAlign w:val="superscript"/>
                <w:lang w:val="en-US"/>
              </w:rPr>
              <w:t xml:space="preserve"> </w:t>
            </w:r>
            <w:r w:rsidRPr="00796079">
              <w:rPr>
                <w:rFonts w:eastAsia="Arial"/>
                <w:sz w:val="16"/>
                <w:szCs w:val="16"/>
                <w:lang w:val="en-US"/>
              </w:rPr>
              <w:t xml:space="preserve">N represents the total number of non-missing observations for that characteristic; note that for the current analysis ambulatory patients have been removed from the assistive </w:t>
            </w:r>
            <w:r w:rsidR="008E467E">
              <w:rPr>
                <w:rFonts w:eastAsia="Arial"/>
                <w:sz w:val="16"/>
                <w:szCs w:val="16"/>
                <w:lang w:val="en-US"/>
              </w:rPr>
              <w:t>study</w:t>
            </w:r>
          </w:p>
          <w:p w14:paraId="359F871B" w14:textId="77777777" w:rsidR="00AA63CF" w:rsidRDefault="00796079" w:rsidP="00D82D86">
            <w:pPr>
              <w:rPr>
                <w:rFonts w:cs="Arial"/>
                <w:sz w:val="16"/>
                <w:szCs w:val="16"/>
                <w:lang w:val="en-US"/>
              </w:rPr>
            </w:pPr>
            <w:r w:rsidRPr="00796079">
              <w:rPr>
                <w:rFonts w:cs="Arial"/>
                <w:sz w:val="16"/>
                <w:szCs w:val="16"/>
                <w:vertAlign w:val="superscript"/>
                <w:lang w:val="en-US"/>
              </w:rPr>
              <w:t>†</w:t>
            </w:r>
            <w:r w:rsidRPr="00796079">
              <w:rPr>
                <w:rFonts w:cs="Arial"/>
                <w:sz w:val="16"/>
                <w:szCs w:val="16"/>
                <w:lang w:val="en-US"/>
              </w:rPr>
              <w:t xml:space="preserve"> </w:t>
            </w:r>
            <w:r w:rsidR="00AA63CF">
              <w:rPr>
                <w:rFonts w:eastAsia="Arial" w:cs="Arial"/>
                <w:sz w:val="16"/>
                <w:szCs w:val="16"/>
                <w:lang w:val="en-US"/>
              </w:rPr>
              <w:t>Advice only presented to physicians of the intervention group in the directive study</w:t>
            </w:r>
          </w:p>
          <w:p w14:paraId="359F871C" w14:textId="77777777" w:rsidR="00796079" w:rsidRDefault="00AA63CF" w:rsidP="00D82D86">
            <w:pPr>
              <w:rPr>
                <w:rFonts w:cs="Arial"/>
                <w:sz w:val="16"/>
                <w:szCs w:val="16"/>
                <w:lang w:val="en-US"/>
              </w:rPr>
            </w:pPr>
            <w:r w:rsidRPr="001939E8">
              <w:rPr>
                <w:rFonts w:eastAsia="Arial" w:cs="Arial"/>
                <w:sz w:val="16"/>
                <w:szCs w:val="16"/>
                <w:vertAlign w:val="superscript"/>
                <w:lang w:val="en-US"/>
              </w:rPr>
              <w:t>‡</w:t>
            </w:r>
            <w:r>
              <w:rPr>
                <w:rFonts w:eastAsia="Arial" w:cs="Arial"/>
                <w:sz w:val="16"/>
                <w:szCs w:val="16"/>
                <w:lang w:val="en-US"/>
              </w:rPr>
              <w:t xml:space="preserve"> </w:t>
            </w:r>
            <w:r w:rsidR="00796079" w:rsidRPr="00796079">
              <w:rPr>
                <w:rFonts w:cs="Arial"/>
                <w:sz w:val="16"/>
                <w:szCs w:val="16"/>
                <w:lang w:val="en-US"/>
              </w:rPr>
              <w:t>Median with interquartile range is presented as the distribution for operation duration is skewed</w:t>
            </w:r>
          </w:p>
          <w:p w14:paraId="359F871D" w14:textId="77777777" w:rsidR="00796079" w:rsidRPr="00796079" w:rsidRDefault="00796079" w:rsidP="00D82D86">
            <w:pPr>
              <w:rPr>
                <w:rFonts w:eastAsia="Arial"/>
                <w:sz w:val="16"/>
                <w:szCs w:val="16"/>
                <w:lang w:val="en-US"/>
              </w:rPr>
            </w:pPr>
            <w:r w:rsidRPr="00796079">
              <w:rPr>
                <w:rFonts w:eastAsia="Arial"/>
                <w:sz w:val="16"/>
                <w:szCs w:val="16"/>
                <w:lang w:val="en-US"/>
              </w:rPr>
              <w:t>PONV = postoperative nausea and vomiting; SD = standard deviation; IQR = interquartile range</w:t>
            </w:r>
          </w:p>
        </w:tc>
      </w:tr>
      <w:bookmarkEnd w:id="0"/>
    </w:tbl>
    <w:p w14:paraId="359F871F" w14:textId="77777777" w:rsidR="00796079" w:rsidRPr="0025552D" w:rsidRDefault="00796079" w:rsidP="00796079">
      <w:pPr>
        <w:rPr>
          <w:lang w:val="en-US"/>
        </w:rPr>
      </w:pPr>
    </w:p>
    <w:p w14:paraId="359F8720" w14:textId="77777777" w:rsidR="00646063" w:rsidRDefault="00646063">
      <w:pPr>
        <w:suppressAutoHyphens w:val="0"/>
        <w:spacing w:line="240" w:lineRule="auto"/>
        <w:rPr>
          <w:lang w:val="en-US"/>
        </w:rPr>
      </w:pPr>
      <w:r>
        <w:rPr>
          <w:lang w:val="en-US"/>
        </w:rPr>
        <w:br w:type="page"/>
      </w:r>
    </w:p>
    <w:p w14:paraId="359F8721" w14:textId="77777777" w:rsidR="00646063" w:rsidRPr="000C0EB5" w:rsidRDefault="00646063" w:rsidP="005211DE">
      <w:pPr>
        <w:pStyle w:val="Heading1"/>
        <w:rPr>
          <w:lang w:val="en-US"/>
        </w:rPr>
      </w:pPr>
      <w:r w:rsidRPr="000C0EB5">
        <w:rPr>
          <w:lang w:val="en-US"/>
        </w:rPr>
        <w:lastRenderedPageBreak/>
        <w:t xml:space="preserve">Table </w:t>
      </w:r>
      <w:r>
        <w:rPr>
          <w:lang w:val="en-US"/>
        </w:rPr>
        <w:t>2</w:t>
      </w:r>
      <w:r w:rsidRPr="000C0EB5">
        <w:rPr>
          <w:lang w:val="en-US"/>
        </w:rPr>
        <w:t xml:space="preserve"> –</w:t>
      </w:r>
      <w:r>
        <w:rPr>
          <w:lang w:val="en-US"/>
        </w:rPr>
        <w:t xml:space="preserve"> Crude risk-dependent </w:t>
      </w:r>
      <w:r w:rsidRPr="000C0EB5">
        <w:rPr>
          <w:lang w:val="en-US"/>
        </w:rPr>
        <w:t xml:space="preserve">administration of antiemetic prophylaxis between allocation groups of both </w:t>
      </w:r>
      <w:r>
        <w:rPr>
          <w:lang w:val="en-US"/>
        </w:rPr>
        <w:t>impact studies</w:t>
      </w:r>
    </w:p>
    <w:tbl>
      <w:tblPr>
        <w:tblW w:w="13042" w:type="dxa"/>
        <w:tblInd w:w="-34" w:type="dxa"/>
        <w:tblLayout w:type="fixed"/>
        <w:tblLook w:val="00A0" w:firstRow="1" w:lastRow="0" w:firstColumn="1" w:lastColumn="0" w:noHBand="0" w:noVBand="0"/>
      </w:tblPr>
      <w:tblGrid>
        <w:gridCol w:w="3403"/>
        <w:gridCol w:w="283"/>
        <w:gridCol w:w="425"/>
        <w:gridCol w:w="2127"/>
        <w:gridCol w:w="1984"/>
        <w:gridCol w:w="709"/>
        <w:gridCol w:w="2126"/>
        <w:gridCol w:w="1985"/>
      </w:tblGrid>
      <w:tr w:rsidR="00646063" w:rsidRPr="000C0EB5" w14:paraId="359F8725" w14:textId="77777777" w:rsidTr="00D82D86">
        <w:tc>
          <w:tcPr>
            <w:tcW w:w="3686" w:type="dxa"/>
            <w:gridSpan w:val="2"/>
            <w:shd w:val="clear" w:color="auto" w:fill="auto"/>
          </w:tcPr>
          <w:p w14:paraId="359F8722" w14:textId="77777777" w:rsidR="00646063" w:rsidRPr="000C0EB5" w:rsidRDefault="00646063" w:rsidP="00D82D86">
            <w:pPr>
              <w:rPr>
                <w:sz w:val="18"/>
                <w:lang w:val="en-US"/>
              </w:rPr>
            </w:pPr>
          </w:p>
        </w:tc>
        <w:tc>
          <w:tcPr>
            <w:tcW w:w="4536" w:type="dxa"/>
            <w:gridSpan w:val="3"/>
            <w:shd w:val="clear" w:color="auto" w:fill="auto"/>
          </w:tcPr>
          <w:p w14:paraId="359F8723" w14:textId="77777777" w:rsidR="00646063" w:rsidRPr="000C0EB5" w:rsidRDefault="00646063" w:rsidP="00D82D86">
            <w:pPr>
              <w:jc w:val="center"/>
              <w:rPr>
                <w:b/>
                <w:sz w:val="20"/>
                <w:szCs w:val="20"/>
                <w:lang w:val="en-US"/>
              </w:rPr>
            </w:pPr>
            <w:r w:rsidRPr="000C0EB5">
              <w:rPr>
                <w:b/>
                <w:sz w:val="20"/>
                <w:szCs w:val="20"/>
                <w:lang w:val="en-US"/>
              </w:rPr>
              <w:t>Assistive Study</w:t>
            </w:r>
          </w:p>
        </w:tc>
        <w:tc>
          <w:tcPr>
            <w:tcW w:w="4820" w:type="dxa"/>
            <w:gridSpan w:val="3"/>
            <w:shd w:val="clear" w:color="auto" w:fill="auto"/>
          </w:tcPr>
          <w:p w14:paraId="359F8724" w14:textId="77777777" w:rsidR="00646063" w:rsidRPr="000C0EB5" w:rsidRDefault="00646063" w:rsidP="00D82D86">
            <w:pPr>
              <w:jc w:val="center"/>
              <w:rPr>
                <w:b/>
                <w:sz w:val="20"/>
                <w:szCs w:val="20"/>
                <w:lang w:val="en-US"/>
              </w:rPr>
            </w:pPr>
            <w:r w:rsidRPr="000C0EB5">
              <w:rPr>
                <w:b/>
                <w:sz w:val="20"/>
                <w:szCs w:val="20"/>
                <w:lang w:val="en-US"/>
              </w:rPr>
              <w:t>Directive Study</w:t>
            </w:r>
          </w:p>
        </w:tc>
      </w:tr>
      <w:tr w:rsidR="00646063" w:rsidRPr="000C0EB5" w14:paraId="359F872D" w14:textId="77777777" w:rsidTr="00D82D86">
        <w:tc>
          <w:tcPr>
            <w:tcW w:w="3403" w:type="dxa"/>
            <w:shd w:val="clear" w:color="auto" w:fill="auto"/>
          </w:tcPr>
          <w:p w14:paraId="359F8726" w14:textId="77777777" w:rsidR="00646063" w:rsidRPr="00646063" w:rsidRDefault="00646063" w:rsidP="00646063">
            <w:pPr>
              <w:ind w:firstLine="708"/>
              <w:rPr>
                <w:sz w:val="16"/>
                <w:szCs w:val="16"/>
                <w:lang w:val="en-US"/>
              </w:rPr>
            </w:pPr>
          </w:p>
        </w:tc>
        <w:tc>
          <w:tcPr>
            <w:tcW w:w="708" w:type="dxa"/>
            <w:gridSpan w:val="2"/>
            <w:shd w:val="clear" w:color="auto" w:fill="auto"/>
            <w:vAlign w:val="center"/>
          </w:tcPr>
          <w:p w14:paraId="359F8727" w14:textId="77777777" w:rsidR="00646063" w:rsidRPr="00646063" w:rsidRDefault="00646063" w:rsidP="00D82D86">
            <w:pPr>
              <w:jc w:val="center"/>
              <w:rPr>
                <w:sz w:val="16"/>
                <w:szCs w:val="16"/>
                <w:lang w:val="en-US"/>
              </w:rPr>
            </w:pPr>
          </w:p>
        </w:tc>
        <w:tc>
          <w:tcPr>
            <w:tcW w:w="2127" w:type="dxa"/>
            <w:shd w:val="clear" w:color="auto" w:fill="auto"/>
            <w:vAlign w:val="center"/>
          </w:tcPr>
          <w:p w14:paraId="359F8728" w14:textId="77777777" w:rsidR="00646063" w:rsidRPr="00646063" w:rsidRDefault="00646063" w:rsidP="00D82D86">
            <w:pPr>
              <w:jc w:val="center"/>
              <w:rPr>
                <w:sz w:val="16"/>
                <w:szCs w:val="16"/>
                <w:lang w:val="en-US"/>
              </w:rPr>
            </w:pPr>
            <w:r w:rsidRPr="00646063">
              <w:rPr>
                <w:sz w:val="16"/>
                <w:szCs w:val="16"/>
                <w:lang w:val="en-US"/>
              </w:rPr>
              <w:t>Care-as-Usual Group</w:t>
            </w:r>
            <w:r w:rsidRPr="00646063">
              <w:rPr>
                <w:rFonts w:cs="Arial"/>
                <w:sz w:val="16"/>
                <w:szCs w:val="16"/>
                <w:vertAlign w:val="superscript"/>
                <w:lang w:val="en-US"/>
              </w:rPr>
              <w:t>†</w:t>
            </w:r>
          </w:p>
        </w:tc>
        <w:tc>
          <w:tcPr>
            <w:tcW w:w="1984" w:type="dxa"/>
            <w:shd w:val="clear" w:color="auto" w:fill="auto"/>
            <w:vAlign w:val="center"/>
          </w:tcPr>
          <w:p w14:paraId="359F8729" w14:textId="77777777" w:rsidR="00646063" w:rsidRPr="00646063" w:rsidRDefault="00646063" w:rsidP="00D82D86">
            <w:pPr>
              <w:jc w:val="center"/>
              <w:rPr>
                <w:sz w:val="16"/>
                <w:szCs w:val="16"/>
                <w:lang w:val="en-US"/>
              </w:rPr>
            </w:pPr>
            <w:r w:rsidRPr="00646063">
              <w:rPr>
                <w:sz w:val="16"/>
                <w:szCs w:val="16"/>
                <w:lang w:val="en-US"/>
              </w:rPr>
              <w:t>Intervention Group</w:t>
            </w:r>
            <w:r w:rsidRPr="00646063">
              <w:rPr>
                <w:rFonts w:cs="Arial"/>
                <w:sz w:val="16"/>
                <w:szCs w:val="16"/>
                <w:vertAlign w:val="superscript"/>
                <w:lang w:val="en-US"/>
              </w:rPr>
              <w:t>†</w:t>
            </w:r>
          </w:p>
        </w:tc>
        <w:tc>
          <w:tcPr>
            <w:tcW w:w="709" w:type="dxa"/>
            <w:shd w:val="clear" w:color="auto" w:fill="auto"/>
            <w:vAlign w:val="center"/>
          </w:tcPr>
          <w:p w14:paraId="359F872A" w14:textId="77777777" w:rsidR="00646063" w:rsidRPr="00646063" w:rsidRDefault="00646063" w:rsidP="00D82D86">
            <w:pPr>
              <w:jc w:val="center"/>
              <w:rPr>
                <w:sz w:val="16"/>
                <w:szCs w:val="16"/>
                <w:lang w:val="en-US"/>
              </w:rPr>
            </w:pPr>
          </w:p>
        </w:tc>
        <w:tc>
          <w:tcPr>
            <w:tcW w:w="2126" w:type="dxa"/>
            <w:shd w:val="clear" w:color="auto" w:fill="auto"/>
            <w:vAlign w:val="center"/>
          </w:tcPr>
          <w:p w14:paraId="359F872B" w14:textId="77777777" w:rsidR="00646063" w:rsidRPr="00646063" w:rsidRDefault="00646063" w:rsidP="00D82D86">
            <w:pPr>
              <w:jc w:val="center"/>
              <w:rPr>
                <w:sz w:val="16"/>
                <w:szCs w:val="16"/>
                <w:lang w:val="en-US"/>
              </w:rPr>
            </w:pPr>
            <w:r w:rsidRPr="00646063">
              <w:rPr>
                <w:sz w:val="16"/>
                <w:szCs w:val="16"/>
                <w:lang w:val="en-US"/>
              </w:rPr>
              <w:t>Care-as-Usual Group</w:t>
            </w:r>
            <w:r w:rsidRPr="00646063">
              <w:rPr>
                <w:rFonts w:cs="Arial"/>
                <w:sz w:val="16"/>
                <w:szCs w:val="16"/>
                <w:vertAlign w:val="superscript"/>
                <w:lang w:val="en-US"/>
              </w:rPr>
              <w:t>†</w:t>
            </w:r>
          </w:p>
        </w:tc>
        <w:tc>
          <w:tcPr>
            <w:tcW w:w="1985" w:type="dxa"/>
            <w:shd w:val="clear" w:color="auto" w:fill="auto"/>
            <w:vAlign w:val="center"/>
          </w:tcPr>
          <w:p w14:paraId="359F872C" w14:textId="77777777" w:rsidR="00646063" w:rsidRPr="00646063" w:rsidRDefault="00646063" w:rsidP="00D82D86">
            <w:pPr>
              <w:jc w:val="center"/>
              <w:rPr>
                <w:sz w:val="16"/>
                <w:szCs w:val="16"/>
                <w:lang w:val="en-US"/>
              </w:rPr>
            </w:pPr>
            <w:r w:rsidRPr="00646063">
              <w:rPr>
                <w:sz w:val="16"/>
                <w:szCs w:val="16"/>
                <w:lang w:val="en-US"/>
              </w:rPr>
              <w:t>Intervention Group</w:t>
            </w:r>
            <w:r w:rsidRPr="00646063">
              <w:rPr>
                <w:rFonts w:cs="Arial"/>
                <w:sz w:val="16"/>
                <w:szCs w:val="16"/>
                <w:vertAlign w:val="superscript"/>
                <w:lang w:val="en-US"/>
              </w:rPr>
              <w:t>†</w:t>
            </w:r>
          </w:p>
        </w:tc>
      </w:tr>
      <w:tr w:rsidR="00646063" w:rsidRPr="000C0EB5" w14:paraId="359F8735" w14:textId="77777777" w:rsidTr="00D82D86">
        <w:tc>
          <w:tcPr>
            <w:tcW w:w="3403" w:type="dxa"/>
            <w:shd w:val="clear" w:color="auto" w:fill="auto"/>
          </w:tcPr>
          <w:p w14:paraId="359F872E" w14:textId="77777777" w:rsidR="00646063" w:rsidRPr="00646063" w:rsidRDefault="00646063" w:rsidP="00D82D86">
            <w:pPr>
              <w:rPr>
                <w:sz w:val="16"/>
                <w:szCs w:val="16"/>
                <w:lang w:val="en-US"/>
              </w:rPr>
            </w:pPr>
            <w:r w:rsidRPr="00646063">
              <w:rPr>
                <w:sz w:val="16"/>
                <w:szCs w:val="16"/>
                <w:lang w:val="en-US"/>
              </w:rPr>
              <w:t>Predicted PONV risk in categories</w:t>
            </w:r>
          </w:p>
        </w:tc>
        <w:tc>
          <w:tcPr>
            <w:tcW w:w="708" w:type="dxa"/>
            <w:gridSpan w:val="2"/>
            <w:shd w:val="clear" w:color="auto" w:fill="auto"/>
            <w:vAlign w:val="center"/>
          </w:tcPr>
          <w:p w14:paraId="359F872F" w14:textId="77777777" w:rsidR="00646063" w:rsidRPr="00646063" w:rsidRDefault="00646063" w:rsidP="00D82D86">
            <w:pPr>
              <w:jc w:val="center"/>
              <w:rPr>
                <w:sz w:val="16"/>
                <w:szCs w:val="16"/>
                <w:lang w:val="en-US"/>
              </w:rPr>
            </w:pPr>
            <w:r w:rsidRPr="00646063">
              <w:rPr>
                <w:sz w:val="16"/>
                <w:szCs w:val="16"/>
                <w:lang w:val="en-US"/>
              </w:rPr>
              <w:t>N*</w:t>
            </w:r>
          </w:p>
        </w:tc>
        <w:tc>
          <w:tcPr>
            <w:tcW w:w="2127" w:type="dxa"/>
            <w:shd w:val="clear" w:color="auto" w:fill="auto"/>
            <w:vAlign w:val="center"/>
          </w:tcPr>
          <w:p w14:paraId="359F8730" w14:textId="77777777" w:rsidR="00646063" w:rsidRPr="00646063" w:rsidRDefault="00646063"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4496)</w:t>
            </w:r>
          </w:p>
        </w:tc>
        <w:tc>
          <w:tcPr>
            <w:tcW w:w="1984" w:type="dxa"/>
            <w:shd w:val="clear" w:color="auto" w:fill="auto"/>
            <w:vAlign w:val="center"/>
          </w:tcPr>
          <w:p w14:paraId="359F8731" w14:textId="77777777" w:rsidR="00646063" w:rsidRPr="00646063" w:rsidRDefault="00646063"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3385)</w:t>
            </w:r>
          </w:p>
        </w:tc>
        <w:tc>
          <w:tcPr>
            <w:tcW w:w="709" w:type="dxa"/>
            <w:shd w:val="clear" w:color="auto" w:fill="auto"/>
            <w:vAlign w:val="center"/>
          </w:tcPr>
          <w:p w14:paraId="359F8732" w14:textId="77777777" w:rsidR="00646063" w:rsidRPr="00646063" w:rsidRDefault="00646063" w:rsidP="00D82D86">
            <w:pPr>
              <w:jc w:val="center"/>
              <w:rPr>
                <w:sz w:val="16"/>
                <w:szCs w:val="16"/>
                <w:lang w:val="en-US"/>
              </w:rPr>
            </w:pPr>
            <w:r w:rsidRPr="00646063">
              <w:rPr>
                <w:sz w:val="16"/>
                <w:szCs w:val="16"/>
                <w:lang w:val="en-US"/>
              </w:rPr>
              <w:t>N*</w:t>
            </w:r>
          </w:p>
        </w:tc>
        <w:tc>
          <w:tcPr>
            <w:tcW w:w="2126" w:type="dxa"/>
            <w:shd w:val="clear" w:color="auto" w:fill="auto"/>
            <w:vAlign w:val="center"/>
          </w:tcPr>
          <w:p w14:paraId="359F8733" w14:textId="77777777" w:rsidR="00646063" w:rsidRPr="00646063" w:rsidRDefault="00646063"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1022)</w:t>
            </w:r>
          </w:p>
        </w:tc>
        <w:tc>
          <w:tcPr>
            <w:tcW w:w="1985" w:type="dxa"/>
            <w:shd w:val="clear" w:color="auto" w:fill="auto"/>
            <w:vAlign w:val="center"/>
          </w:tcPr>
          <w:p w14:paraId="359F8734" w14:textId="77777777" w:rsidR="00646063" w:rsidRPr="00646063" w:rsidRDefault="00646063"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461)</w:t>
            </w:r>
          </w:p>
        </w:tc>
      </w:tr>
      <w:tr w:rsidR="00646063" w:rsidRPr="000C0EB5" w14:paraId="359F873D" w14:textId="77777777" w:rsidTr="00D82D86">
        <w:tc>
          <w:tcPr>
            <w:tcW w:w="3403" w:type="dxa"/>
            <w:shd w:val="clear" w:color="auto" w:fill="auto"/>
          </w:tcPr>
          <w:p w14:paraId="359F8736" w14:textId="0990C468" w:rsidR="00646063" w:rsidRPr="00646063" w:rsidRDefault="00646063" w:rsidP="00D82D86">
            <w:pPr>
              <w:rPr>
                <w:sz w:val="16"/>
                <w:szCs w:val="16"/>
                <w:lang w:val="en-US"/>
              </w:rPr>
            </w:pPr>
            <w:r w:rsidRPr="00646063">
              <w:rPr>
                <w:sz w:val="16"/>
                <w:szCs w:val="16"/>
                <w:lang w:val="en-US"/>
              </w:rPr>
              <w:t xml:space="preserve"> &lt;26% (0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37" w14:textId="77777777" w:rsidR="00646063" w:rsidRPr="00646063" w:rsidRDefault="00646063" w:rsidP="00D82D86">
            <w:pPr>
              <w:jc w:val="center"/>
              <w:rPr>
                <w:sz w:val="16"/>
                <w:szCs w:val="16"/>
                <w:lang w:val="en-US"/>
              </w:rPr>
            </w:pPr>
            <w:r w:rsidRPr="00646063">
              <w:rPr>
                <w:sz w:val="16"/>
                <w:szCs w:val="16"/>
                <w:lang w:val="en-US"/>
              </w:rPr>
              <w:t>765</w:t>
            </w:r>
          </w:p>
        </w:tc>
        <w:tc>
          <w:tcPr>
            <w:tcW w:w="2127" w:type="dxa"/>
            <w:shd w:val="clear" w:color="auto" w:fill="auto"/>
            <w:vAlign w:val="center"/>
          </w:tcPr>
          <w:p w14:paraId="359F8738" w14:textId="77777777" w:rsidR="00646063" w:rsidRPr="00646063" w:rsidRDefault="00646063" w:rsidP="00D82D86">
            <w:pPr>
              <w:jc w:val="center"/>
              <w:rPr>
                <w:sz w:val="16"/>
                <w:szCs w:val="16"/>
              </w:rPr>
            </w:pPr>
            <w:r w:rsidRPr="00646063">
              <w:rPr>
                <w:sz w:val="16"/>
                <w:szCs w:val="16"/>
              </w:rPr>
              <w:t>0.11 (0.32)</w:t>
            </w:r>
          </w:p>
        </w:tc>
        <w:tc>
          <w:tcPr>
            <w:tcW w:w="1984" w:type="dxa"/>
            <w:shd w:val="clear" w:color="auto" w:fill="auto"/>
            <w:vAlign w:val="center"/>
          </w:tcPr>
          <w:p w14:paraId="359F8739" w14:textId="77777777" w:rsidR="00646063" w:rsidRPr="00646063" w:rsidRDefault="00646063" w:rsidP="00D82D86">
            <w:pPr>
              <w:jc w:val="center"/>
              <w:rPr>
                <w:sz w:val="16"/>
                <w:szCs w:val="16"/>
              </w:rPr>
            </w:pPr>
            <w:r w:rsidRPr="00646063">
              <w:rPr>
                <w:sz w:val="16"/>
                <w:szCs w:val="16"/>
              </w:rPr>
              <w:t>0.12 (0.35)</w:t>
            </w:r>
          </w:p>
        </w:tc>
        <w:tc>
          <w:tcPr>
            <w:tcW w:w="709" w:type="dxa"/>
            <w:shd w:val="clear" w:color="auto" w:fill="auto"/>
            <w:vAlign w:val="center"/>
          </w:tcPr>
          <w:p w14:paraId="359F873A" w14:textId="77777777" w:rsidR="00646063" w:rsidRPr="00646063" w:rsidRDefault="00646063" w:rsidP="00D82D86">
            <w:pPr>
              <w:jc w:val="center"/>
              <w:rPr>
                <w:sz w:val="16"/>
                <w:szCs w:val="16"/>
                <w:lang w:val="en-US"/>
              </w:rPr>
            </w:pPr>
            <w:r w:rsidRPr="00646063">
              <w:rPr>
                <w:sz w:val="16"/>
                <w:szCs w:val="16"/>
                <w:lang w:val="en-US"/>
              </w:rPr>
              <w:t>188</w:t>
            </w:r>
          </w:p>
        </w:tc>
        <w:tc>
          <w:tcPr>
            <w:tcW w:w="2126" w:type="dxa"/>
            <w:shd w:val="clear" w:color="auto" w:fill="auto"/>
            <w:vAlign w:val="center"/>
          </w:tcPr>
          <w:p w14:paraId="359F873B" w14:textId="77777777" w:rsidR="00646063" w:rsidRPr="00646063" w:rsidRDefault="00646063" w:rsidP="00D82D86">
            <w:pPr>
              <w:jc w:val="center"/>
              <w:rPr>
                <w:sz w:val="16"/>
                <w:szCs w:val="16"/>
              </w:rPr>
            </w:pPr>
            <w:r w:rsidRPr="00646063">
              <w:rPr>
                <w:sz w:val="16"/>
                <w:szCs w:val="16"/>
              </w:rPr>
              <w:t>0.079 (0.27)</w:t>
            </w:r>
          </w:p>
        </w:tc>
        <w:tc>
          <w:tcPr>
            <w:tcW w:w="1985" w:type="dxa"/>
            <w:shd w:val="clear" w:color="auto" w:fill="auto"/>
            <w:vAlign w:val="center"/>
          </w:tcPr>
          <w:p w14:paraId="359F873C" w14:textId="77777777" w:rsidR="00646063" w:rsidRPr="00646063" w:rsidRDefault="00646063" w:rsidP="00D82D86">
            <w:pPr>
              <w:jc w:val="center"/>
              <w:rPr>
                <w:sz w:val="16"/>
                <w:szCs w:val="16"/>
              </w:rPr>
            </w:pPr>
            <w:r w:rsidRPr="00646063">
              <w:rPr>
                <w:sz w:val="16"/>
                <w:szCs w:val="16"/>
              </w:rPr>
              <w:t>0.12 (0.32)</w:t>
            </w:r>
          </w:p>
        </w:tc>
      </w:tr>
      <w:tr w:rsidR="00646063" w:rsidRPr="000C0EB5" w14:paraId="359F8745" w14:textId="77777777" w:rsidTr="00D82D86">
        <w:tc>
          <w:tcPr>
            <w:tcW w:w="3403" w:type="dxa"/>
            <w:shd w:val="clear" w:color="auto" w:fill="auto"/>
          </w:tcPr>
          <w:p w14:paraId="359F873E" w14:textId="117C3385" w:rsidR="00646063" w:rsidRPr="00646063" w:rsidRDefault="00646063" w:rsidP="00D82D86">
            <w:pPr>
              <w:rPr>
                <w:sz w:val="16"/>
                <w:szCs w:val="16"/>
                <w:lang w:val="en-US"/>
              </w:rPr>
            </w:pPr>
            <w:r w:rsidRPr="00646063">
              <w:rPr>
                <w:sz w:val="16"/>
                <w:szCs w:val="16"/>
                <w:lang w:val="en-US"/>
              </w:rPr>
              <w:t xml:space="preserve"> 26-41% (1 antiemetic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3F" w14:textId="77777777" w:rsidR="00646063" w:rsidRPr="00646063" w:rsidRDefault="00646063" w:rsidP="00D82D86">
            <w:pPr>
              <w:jc w:val="center"/>
              <w:rPr>
                <w:sz w:val="16"/>
                <w:szCs w:val="16"/>
                <w:lang w:val="en-US"/>
              </w:rPr>
            </w:pPr>
            <w:r w:rsidRPr="00646063">
              <w:rPr>
                <w:sz w:val="16"/>
                <w:szCs w:val="16"/>
                <w:lang w:val="en-US"/>
              </w:rPr>
              <w:t>3026</w:t>
            </w:r>
          </w:p>
        </w:tc>
        <w:tc>
          <w:tcPr>
            <w:tcW w:w="2127" w:type="dxa"/>
            <w:shd w:val="clear" w:color="auto" w:fill="auto"/>
            <w:vAlign w:val="center"/>
          </w:tcPr>
          <w:p w14:paraId="359F8740" w14:textId="77777777" w:rsidR="00646063" w:rsidRPr="00646063" w:rsidRDefault="00646063" w:rsidP="00D82D86">
            <w:pPr>
              <w:jc w:val="center"/>
              <w:rPr>
                <w:sz w:val="16"/>
                <w:szCs w:val="16"/>
              </w:rPr>
            </w:pPr>
            <w:r w:rsidRPr="00646063">
              <w:rPr>
                <w:sz w:val="16"/>
                <w:szCs w:val="16"/>
              </w:rPr>
              <w:t>0.12 (0.34)</w:t>
            </w:r>
          </w:p>
        </w:tc>
        <w:tc>
          <w:tcPr>
            <w:tcW w:w="1984" w:type="dxa"/>
            <w:shd w:val="clear" w:color="auto" w:fill="auto"/>
            <w:vAlign w:val="center"/>
          </w:tcPr>
          <w:p w14:paraId="359F8741" w14:textId="77777777" w:rsidR="00646063" w:rsidRPr="00646063" w:rsidRDefault="00646063" w:rsidP="00D82D86">
            <w:pPr>
              <w:jc w:val="center"/>
              <w:rPr>
                <w:sz w:val="16"/>
                <w:szCs w:val="16"/>
              </w:rPr>
            </w:pPr>
            <w:r w:rsidRPr="00646063">
              <w:rPr>
                <w:sz w:val="16"/>
                <w:szCs w:val="16"/>
              </w:rPr>
              <w:t>0.27 (0.52)</w:t>
            </w:r>
          </w:p>
        </w:tc>
        <w:tc>
          <w:tcPr>
            <w:tcW w:w="709" w:type="dxa"/>
            <w:shd w:val="clear" w:color="auto" w:fill="auto"/>
            <w:vAlign w:val="center"/>
          </w:tcPr>
          <w:p w14:paraId="359F8742" w14:textId="77777777" w:rsidR="00646063" w:rsidRPr="00646063" w:rsidRDefault="00646063" w:rsidP="00D82D86">
            <w:pPr>
              <w:jc w:val="center"/>
              <w:rPr>
                <w:sz w:val="16"/>
                <w:szCs w:val="16"/>
                <w:lang w:val="en-US"/>
              </w:rPr>
            </w:pPr>
            <w:r w:rsidRPr="00646063">
              <w:rPr>
                <w:sz w:val="16"/>
                <w:szCs w:val="16"/>
                <w:lang w:val="en-US"/>
              </w:rPr>
              <w:t>661</w:t>
            </w:r>
          </w:p>
        </w:tc>
        <w:tc>
          <w:tcPr>
            <w:tcW w:w="2126" w:type="dxa"/>
            <w:shd w:val="clear" w:color="auto" w:fill="auto"/>
            <w:vAlign w:val="center"/>
          </w:tcPr>
          <w:p w14:paraId="359F8743" w14:textId="77777777" w:rsidR="00646063" w:rsidRPr="00646063" w:rsidRDefault="00646063" w:rsidP="00D82D86">
            <w:pPr>
              <w:jc w:val="center"/>
              <w:rPr>
                <w:sz w:val="16"/>
                <w:szCs w:val="16"/>
              </w:rPr>
            </w:pPr>
            <w:r w:rsidRPr="00646063">
              <w:rPr>
                <w:sz w:val="16"/>
                <w:szCs w:val="16"/>
              </w:rPr>
              <w:t>0.21 (0.48)</w:t>
            </w:r>
          </w:p>
        </w:tc>
        <w:tc>
          <w:tcPr>
            <w:tcW w:w="1985" w:type="dxa"/>
            <w:shd w:val="clear" w:color="auto" w:fill="auto"/>
            <w:vAlign w:val="center"/>
          </w:tcPr>
          <w:p w14:paraId="359F8744" w14:textId="77777777" w:rsidR="00646063" w:rsidRPr="00646063" w:rsidRDefault="00646063" w:rsidP="00D82D86">
            <w:pPr>
              <w:jc w:val="center"/>
              <w:rPr>
                <w:sz w:val="16"/>
                <w:szCs w:val="16"/>
              </w:rPr>
            </w:pPr>
            <w:r w:rsidRPr="00646063">
              <w:rPr>
                <w:sz w:val="16"/>
                <w:szCs w:val="16"/>
              </w:rPr>
              <w:t>0.74 (0.53)</w:t>
            </w:r>
          </w:p>
        </w:tc>
      </w:tr>
      <w:tr w:rsidR="00646063" w:rsidRPr="000C0EB5" w14:paraId="359F874D" w14:textId="77777777" w:rsidTr="00D82D86">
        <w:tc>
          <w:tcPr>
            <w:tcW w:w="3403" w:type="dxa"/>
            <w:shd w:val="clear" w:color="auto" w:fill="auto"/>
          </w:tcPr>
          <w:p w14:paraId="359F8746" w14:textId="127AC95C" w:rsidR="00646063" w:rsidRPr="00646063" w:rsidRDefault="00646063" w:rsidP="00D82D86">
            <w:pPr>
              <w:rPr>
                <w:sz w:val="16"/>
                <w:szCs w:val="16"/>
                <w:lang w:val="en-US"/>
              </w:rPr>
            </w:pPr>
            <w:r w:rsidRPr="00646063">
              <w:rPr>
                <w:sz w:val="16"/>
                <w:szCs w:val="16"/>
                <w:lang w:val="en-US"/>
              </w:rPr>
              <w:t xml:space="preserve"> 41-62% (2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47" w14:textId="77777777" w:rsidR="00646063" w:rsidRPr="00646063" w:rsidRDefault="00646063" w:rsidP="00D82D86">
            <w:pPr>
              <w:jc w:val="center"/>
              <w:rPr>
                <w:sz w:val="16"/>
                <w:szCs w:val="16"/>
                <w:lang w:val="en-US"/>
              </w:rPr>
            </w:pPr>
            <w:r w:rsidRPr="00646063">
              <w:rPr>
                <w:sz w:val="16"/>
                <w:szCs w:val="16"/>
                <w:lang w:val="en-US"/>
              </w:rPr>
              <w:t>3473</w:t>
            </w:r>
          </w:p>
        </w:tc>
        <w:tc>
          <w:tcPr>
            <w:tcW w:w="2127" w:type="dxa"/>
            <w:shd w:val="clear" w:color="auto" w:fill="auto"/>
            <w:vAlign w:val="center"/>
          </w:tcPr>
          <w:p w14:paraId="359F8748" w14:textId="77777777" w:rsidR="00646063" w:rsidRPr="00646063" w:rsidRDefault="00646063" w:rsidP="00D82D86">
            <w:pPr>
              <w:jc w:val="center"/>
              <w:rPr>
                <w:sz w:val="16"/>
                <w:szCs w:val="16"/>
              </w:rPr>
            </w:pPr>
            <w:r w:rsidRPr="00646063">
              <w:rPr>
                <w:sz w:val="16"/>
                <w:szCs w:val="16"/>
              </w:rPr>
              <w:t>0.22 (0.45)</w:t>
            </w:r>
          </w:p>
        </w:tc>
        <w:tc>
          <w:tcPr>
            <w:tcW w:w="1984" w:type="dxa"/>
            <w:shd w:val="clear" w:color="auto" w:fill="auto"/>
            <w:vAlign w:val="center"/>
          </w:tcPr>
          <w:p w14:paraId="359F8749" w14:textId="77777777" w:rsidR="00646063" w:rsidRPr="00646063" w:rsidRDefault="00646063" w:rsidP="00D82D86">
            <w:pPr>
              <w:jc w:val="center"/>
              <w:rPr>
                <w:sz w:val="16"/>
                <w:szCs w:val="16"/>
              </w:rPr>
            </w:pPr>
            <w:r w:rsidRPr="00646063">
              <w:rPr>
                <w:sz w:val="16"/>
                <w:szCs w:val="16"/>
              </w:rPr>
              <w:t>0.53 (0.64)</w:t>
            </w:r>
          </w:p>
        </w:tc>
        <w:tc>
          <w:tcPr>
            <w:tcW w:w="709" w:type="dxa"/>
            <w:shd w:val="clear" w:color="auto" w:fill="auto"/>
            <w:vAlign w:val="center"/>
          </w:tcPr>
          <w:p w14:paraId="359F874A" w14:textId="77777777" w:rsidR="00646063" w:rsidRPr="00646063" w:rsidRDefault="00646063" w:rsidP="00D82D86">
            <w:pPr>
              <w:jc w:val="center"/>
              <w:rPr>
                <w:sz w:val="16"/>
                <w:szCs w:val="16"/>
                <w:lang w:val="en-US"/>
              </w:rPr>
            </w:pPr>
            <w:r w:rsidRPr="00646063">
              <w:rPr>
                <w:sz w:val="16"/>
                <w:szCs w:val="16"/>
                <w:lang w:val="en-US"/>
              </w:rPr>
              <w:t>546</w:t>
            </w:r>
          </w:p>
        </w:tc>
        <w:tc>
          <w:tcPr>
            <w:tcW w:w="2126" w:type="dxa"/>
            <w:shd w:val="clear" w:color="auto" w:fill="auto"/>
            <w:vAlign w:val="center"/>
          </w:tcPr>
          <w:p w14:paraId="359F874B" w14:textId="77777777" w:rsidR="00646063" w:rsidRPr="00646063" w:rsidRDefault="00646063" w:rsidP="00D82D86">
            <w:pPr>
              <w:jc w:val="center"/>
              <w:rPr>
                <w:sz w:val="16"/>
                <w:szCs w:val="16"/>
              </w:rPr>
            </w:pPr>
            <w:r w:rsidRPr="00646063">
              <w:rPr>
                <w:sz w:val="16"/>
                <w:szCs w:val="16"/>
              </w:rPr>
              <w:t>0.42 (0.68)</w:t>
            </w:r>
          </w:p>
        </w:tc>
        <w:tc>
          <w:tcPr>
            <w:tcW w:w="1985" w:type="dxa"/>
            <w:shd w:val="clear" w:color="auto" w:fill="auto"/>
            <w:vAlign w:val="center"/>
          </w:tcPr>
          <w:p w14:paraId="359F874C" w14:textId="77777777" w:rsidR="00646063" w:rsidRPr="00646063" w:rsidRDefault="00646063" w:rsidP="00D82D86">
            <w:pPr>
              <w:jc w:val="center"/>
              <w:rPr>
                <w:sz w:val="16"/>
                <w:szCs w:val="16"/>
              </w:rPr>
            </w:pPr>
            <w:r w:rsidRPr="00646063">
              <w:rPr>
                <w:sz w:val="16"/>
                <w:szCs w:val="16"/>
              </w:rPr>
              <w:t>1.5 (0.85)</w:t>
            </w:r>
          </w:p>
        </w:tc>
      </w:tr>
      <w:tr w:rsidR="00646063" w:rsidRPr="000C0EB5" w14:paraId="359F8755" w14:textId="77777777" w:rsidTr="00D82D86">
        <w:tc>
          <w:tcPr>
            <w:tcW w:w="3403" w:type="dxa"/>
            <w:shd w:val="clear" w:color="auto" w:fill="auto"/>
          </w:tcPr>
          <w:p w14:paraId="359F874E" w14:textId="577FE9E3" w:rsidR="00646063" w:rsidRPr="00646063" w:rsidRDefault="00646063" w:rsidP="00D82D86">
            <w:pPr>
              <w:rPr>
                <w:sz w:val="16"/>
                <w:szCs w:val="16"/>
                <w:lang w:val="en-US"/>
              </w:rPr>
            </w:pPr>
            <w:r w:rsidRPr="00646063">
              <w:rPr>
                <w:sz w:val="16"/>
                <w:szCs w:val="16"/>
                <w:lang w:val="en-US"/>
              </w:rPr>
              <w:t xml:space="preserve"> &gt;62% (3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4F" w14:textId="77777777" w:rsidR="00646063" w:rsidRPr="00646063" w:rsidRDefault="00646063" w:rsidP="00D82D86">
            <w:pPr>
              <w:jc w:val="center"/>
              <w:rPr>
                <w:sz w:val="16"/>
                <w:szCs w:val="16"/>
                <w:lang w:val="en-US"/>
              </w:rPr>
            </w:pPr>
            <w:r w:rsidRPr="00646063">
              <w:rPr>
                <w:sz w:val="16"/>
                <w:szCs w:val="16"/>
                <w:lang w:val="en-US"/>
              </w:rPr>
              <w:t>617</w:t>
            </w:r>
          </w:p>
        </w:tc>
        <w:tc>
          <w:tcPr>
            <w:tcW w:w="2127" w:type="dxa"/>
            <w:shd w:val="clear" w:color="auto" w:fill="auto"/>
            <w:vAlign w:val="center"/>
          </w:tcPr>
          <w:p w14:paraId="359F8750" w14:textId="77777777" w:rsidR="00646063" w:rsidRPr="00646063" w:rsidRDefault="00646063" w:rsidP="00D82D86">
            <w:pPr>
              <w:jc w:val="center"/>
              <w:rPr>
                <w:sz w:val="16"/>
                <w:szCs w:val="16"/>
              </w:rPr>
            </w:pPr>
            <w:r w:rsidRPr="00646063">
              <w:rPr>
                <w:sz w:val="16"/>
                <w:szCs w:val="16"/>
              </w:rPr>
              <w:t>0.30 (0.51)</w:t>
            </w:r>
          </w:p>
        </w:tc>
        <w:tc>
          <w:tcPr>
            <w:tcW w:w="1984" w:type="dxa"/>
            <w:shd w:val="clear" w:color="auto" w:fill="auto"/>
            <w:vAlign w:val="center"/>
          </w:tcPr>
          <w:p w14:paraId="359F8751" w14:textId="77777777" w:rsidR="00646063" w:rsidRPr="00646063" w:rsidRDefault="00646063" w:rsidP="00D82D86">
            <w:pPr>
              <w:jc w:val="center"/>
              <w:rPr>
                <w:sz w:val="16"/>
                <w:szCs w:val="16"/>
              </w:rPr>
            </w:pPr>
            <w:r w:rsidRPr="00646063">
              <w:rPr>
                <w:sz w:val="16"/>
                <w:szCs w:val="16"/>
              </w:rPr>
              <w:t>0.82 (0.69)</w:t>
            </w:r>
          </w:p>
        </w:tc>
        <w:tc>
          <w:tcPr>
            <w:tcW w:w="709" w:type="dxa"/>
            <w:shd w:val="clear" w:color="auto" w:fill="auto"/>
            <w:vAlign w:val="center"/>
          </w:tcPr>
          <w:p w14:paraId="359F8752" w14:textId="77777777" w:rsidR="00646063" w:rsidRPr="00646063" w:rsidRDefault="00646063" w:rsidP="00D82D86">
            <w:pPr>
              <w:jc w:val="center"/>
              <w:rPr>
                <w:sz w:val="16"/>
                <w:szCs w:val="16"/>
                <w:lang w:val="en-US"/>
              </w:rPr>
            </w:pPr>
            <w:r w:rsidRPr="00646063">
              <w:rPr>
                <w:sz w:val="16"/>
                <w:szCs w:val="16"/>
                <w:lang w:val="en-US"/>
              </w:rPr>
              <w:t>88</w:t>
            </w:r>
          </w:p>
        </w:tc>
        <w:tc>
          <w:tcPr>
            <w:tcW w:w="2126" w:type="dxa"/>
            <w:shd w:val="clear" w:color="auto" w:fill="auto"/>
            <w:vAlign w:val="center"/>
          </w:tcPr>
          <w:p w14:paraId="359F8753" w14:textId="77777777" w:rsidR="00646063" w:rsidRPr="00646063" w:rsidRDefault="00646063" w:rsidP="00D82D86">
            <w:pPr>
              <w:jc w:val="center"/>
              <w:rPr>
                <w:sz w:val="16"/>
                <w:szCs w:val="16"/>
              </w:rPr>
            </w:pPr>
            <w:r w:rsidRPr="00646063">
              <w:rPr>
                <w:sz w:val="16"/>
                <w:szCs w:val="16"/>
              </w:rPr>
              <w:t>0.68 (0.70)</w:t>
            </w:r>
          </w:p>
        </w:tc>
        <w:tc>
          <w:tcPr>
            <w:tcW w:w="1985" w:type="dxa"/>
            <w:shd w:val="clear" w:color="auto" w:fill="auto"/>
            <w:vAlign w:val="center"/>
          </w:tcPr>
          <w:p w14:paraId="359F8754" w14:textId="77777777" w:rsidR="00646063" w:rsidRPr="00646063" w:rsidRDefault="00646063" w:rsidP="00D82D86">
            <w:pPr>
              <w:jc w:val="center"/>
              <w:rPr>
                <w:sz w:val="16"/>
                <w:szCs w:val="16"/>
              </w:rPr>
            </w:pPr>
            <w:r w:rsidRPr="00646063">
              <w:rPr>
                <w:sz w:val="16"/>
                <w:szCs w:val="16"/>
              </w:rPr>
              <w:t>1.9 (1.1)</w:t>
            </w:r>
          </w:p>
        </w:tc>
      </w:tr>
      <w:tr w:rsidR="00646063" w:rsidRPr="00B71E75" w14:paraId="359F875A" w14:textId="77777777" w:rsidTr="00D82D86">
        <w:trPr>
          <w:trHeight w:val="329"/>
        </w:trPr>
        <w:tc>
          <w:tcPr>
            <w:tcW w:w="13042" w:type="dxa"/>
            <w:gridSpan w:val="8"/>
            <w:shd w:val="clear" w:color="auto" w:fill="auto"/>
          </w:tcPr>
          <w:p w14:paraId="359F8756" w14:textId="77777777" w:rsidR="00646063" w:rsidRPr="00646063" w:rsidRDefault="00646063" w:rsidP="00D82D86">
            <w:pPr>
              <w:rPr>
                <w:rFonts w:eastAsia="Arial"/>
                <w:sz w:val="16"/>
                <w:szCs w:val="16"/>
                <w:lang w:val="en-US"/>
              </w:rPr>
            </w:pPr>
            <w:r w:rsidRPr="00646063">
              <w:rPr>
                <w:rFonts w:eastAsia="Arial"/>
                <w:sz w:val="16"/>
                <w:szCs w:val="16"/>
                <w:lang w:val="en-US"/>
              </w:rPr>
              <w:t>*</w:t>
            </w:r>
            <w:r w:rsidRPr="00646063">
              <w:rPr>
                <w:rFonts w:eastAsia="Arial"/>
                <w:sz w:val="16"/>
                <w:szCs w:val="16"/>
                <w:vertAlign w:val="superscript"/>
                <w:lang w:val="en-US"/>
              </w:rPr>
              <w:t xml:space="preserve"> </w:t>
            </w:r>
            <w:r w:rsidRPr="00646063">
              <w:rPr>
                <w:rFonts w:eastAsia="Arial"/>
                <w:sz w:val="16"/>
                <w:szCs w:val="16"/>
                <w:lang w:val="en-US"/>
              </w:rPr>
              <w:t>N represents the total number of non-missing observations for that characteristic</w:t>
            </w:r>
          </w:p>
          <w:p w14:paraId="359F8757" w14:textId="77777777" w:rsidR="00646063" w:rsidRDefault="00646063" w:rsidP="00D82D86">
            <w:pPr>
              <w:rPr>
                <w:rFonts w:eastAsia="Arial"/>
                <w:sz w:val="16"/>
                <w:szCs w:val="16"/>
                <w:lang w:val="en-US"/>
              </w:rPr>
            </w:pPr>
            <w:r w:rsidRPr="00646063">
              <w:rPr>
                <w:rFonts w:cs="Arial"/>
                <w:sz w:val="16"/>
                <w:szCs w:val="16"/>
                <w:vertAlign w:val="superscript"/>
                <w:lang w:val="en-US"/>
              </w:rPr>
              <w:t>†</w:t>
            </w:r>
            <w:r w:rsidRPr="00646063">
              <w:rPr>
                <w:rFonts w:cs="Arial"/>
                <w:sz w:val="16"/>
                <w:szCs w:val="16"/>
                <w:lang w:val="en-US"/>
              </w:rPr>
              <w:t xml:space="preserve"> </w:t>
            </w:r>
            <w:r w:rsidRPr="00646063">
              <w:rPr>
                <w:rFonts w:eastAsia="Arial"/>
                <w:sz w:val="16"/>
                <w:szCs w:val="16"/>
                <w:lang w:val="en-US"/>
              </w:rPr>
              <w:t>Data represent mean number of prophylactic antiemetics (SD)</w:t>
            </w:r>
          </w:p>
          <w:p w14:paraId="359F8758" w14:textId="77777777" w:rsidR="001939E8" w:rsidRPr="001939E8" w:rsidRDefault="001939E8" w:rsidP="001939E8">
            <w:pPr>
              <w:rPr>
                <w:rFonts w:eastAsia="Arial"/>
                <w:sz w:val="16"/>
                <w:szCs w:val="16"/>
                <w:lang w:val="en-US"/>
              </w:rPr>
            </w:pPr>
            <w:r w:rsidRPr="001939E8">
              <w:rPr>
                <w:rFonts w:eastAsia="Arial" w:cs="Arial"/>
                <w:sz w:val="16"/>
                <w:szCs w:val="16"/>
                <w:vertAlign w:val="superscript"/>
                <w:lang w:val="en-US"/>
              </w:rPr>
              <w:t>‡</w:t>
            </w:r>
            <w:r>
              <w:rPr>
                <w:rFonts w:eastAsia="Arial" w:cs="Arial"/>
                <w:sz w:val="16"/>
                <w:szCs w:val="16"/>
                <w:lang w:val="en-US"/>
              </w:rPr>
              <w:t xml:space="preserve"> Advice only presented to physicians of the intervention group in the directive study</w:t>
            </w:r>
          </w:p>
          <w:p w14:paraId="359F8759" w14:textId="77777777" w:rsidR="00646063" w:rsidRPr="00646063" w:rsidRDefault="00646063" w:rsidP="00D82D86">
            <w:pPr>
              <w:rPr>
                <w:rFonts w:cs="Arial"/>
                <w:sz w:val="16"/>
                <w:szCs w:val="16"/>
                <w:vertAlign w:val="superscript"/>
                <w:lang w:val="en-US"/>
              </w:rPr>
            </w:pPr>
            <w:r w:rsidRPr="00646063">
              <w:rPr>
                <w:rFonts w:eastAsia="Arial"/>
                <w:sz w:val="16"/>
                <w:szCs w:val="16"/>
                <w:lang w:val="en-US"/>
              </w:rPr>
              <w:t>PONV = postoperative nausea and vomiting; SD = standard deviation</w:t>
            </w:r>
          </w:p>
        </w:tc>
      </w:tr>
    </w:tbl>
    <w:p w14:paraId="359F875B" w14:textId="77777777" w:rsidR="005211DE" w:rsidRDefault="005211DE" w:rsidP="00796079">
      <w:pPr>
        <w:rPr>
          <w:lang w:val="en-US"/>
        </w:rPr>
      </w:pPr>
    </w:p>
    <w:p w14:paraId="359F875C" w14:textId="77777777" w:rsidR="005211DE" w:rsidRDefault="005211DE">
      <w:pPr>
        <w:suppressAutoHyphens w:val="0"/>
        <w:spacing w:line="240" w:lineRule="auto"/>
        <w:rPr>
          <w:lang w:val="en-US"/>
        </w:rPr>
      </w:pPr>
      <w:r>
        <w:rPr>
          <w:lang w:val="en-US"/>
        </w:rPr>
        <w:br w:type="page"/>
      </w:r>
    </w:p>
    <w:p w14:paraId="359F875D" w14:textId="77777777" w:rsidR="005211DE" w:rsidRPr="000C0EB5" w:rsidRDefault="005211DE" w:rsidP="005211DE">
      <w:pPr>
        <w:pStyle w:val="Heading1"/>
        <w:rPr>
          <w:lang w:val="en-US"/>
        </w:rPr>
      </w:pPr>
      <w:r w:rsidRPr="000C0EB5">
        <w:rPr>
          <w:lang w:val="en-US"/>
        </w:rPr>
        <w:lastRenderedPageBreak/>
        <w:t xml:space="preserve">Table </w:t>
      </w:r>
      <w:r>
        <w:rPr>
          <w:lang w:val="en-US"/>
        </w:rPr>
        <w:t>3</w:t>
      </w:r>
      <w:r w:rsidRPr="000C0EB5">
        <w:rPr>
          <w:lang w:val="en-US"/>
        </w:rPr>
        <w:t xml:space="preserve"> –</w:t>
      </w:r>
      <w:r>
        <w:rPr>
          <w:lang w:val="en-US"/>
        </w:rPr>
        <w:t xml:space="preserve"> Crude risk-dependent PONV incidences</w:t>
      </w:r>
      <w:r w:rsidRPr="000C0EB5">
        <w:rPr>
          <w:lang w:val="en-US"/>
        </w:rPr>
        <w:t xml:space="preserve"> between allocation groups of both </w:t>
      </w:r>
      <w:r>
        <w:rPr>
          <w:lang w:val="en-US"/>
        </w:rPr>
        <w:t>impact studies</w:t>
      </w:r>
    </w:p>
    <w:tbl>
      <w:tblPr>
        <w:tblW w:w="13042" w:type="dxa"/>
        <w:tblInd w:w="-34" w:type="dxa"/>
        <w:tblLayout w:type="fixed"/>
        <w:tblLook w:val="00A0" w:firstRow="1" w:lastRow="0" w:firstColumn="1" w:lastColumn="0" w:noHBand="0" w:noVBand="0"/>
      </w:tblPr>
      <w:tblGrid>
        <w:gridCol w:w="3403"/>
        <w:gridCol w:w="283"/>
        <w:gridCol w:w="425"/>
        <w:gridCol w:w="2127"/>
        <w:gridCol w:w="1984"/>
        <w:gridCol w:w="709"/>
        <w:gridCol w:w="2126"/>
        <w:gridCol w:w="1985"/>
      </w:tblGrid>
      <w:tr w:rsidR="005211DE" w:rsidRPr="000C0EB5" w14:paraId="359F8761" w14:textId="77777777" w:rsidTr="00D82D86">
        <w:tc>
          <w:tcPr>
            <w:tcW w:w="3686" w:type="dxa"/>
            <w:gridSpan w:val="2"/>
            <w:shd w:val="clear" w:color="auto" w:fill="auto"/>
          </w:tcPr>
          <w:p w14:paraId="359F875E" w14:textId="77777777" w:rsidR="005211DE" w:rsidRPr="000C0EB5" w:rsidRDefault="005211DE" w:rsidP="00D82D86">
            <w:pPr>
              <w:rPr>
                <w:sz w:val="18"/>
                <w:lang w:val="en-US"/>
              </w:rPr>
            </w:pPr>
          </w:p>
        </w:tc>
        <w:tc>
          <w:tcPr>
            <w:tcW w:w="4536" w:type="dxa"/>
            <w:gridSpan w:val="3"/>
            <w:shd w:val="clear" w:color="auto" w:fill="auto"/>
          </w:tcPr>
          <w:p w14:paraId="359F875F" w14:textId="77777777" w:rsidR="005211DE" w:rsidRPr="000C0EB5" w:rsidRDefault="005211DE" w:rsidP="00D82D86">
            <w:pPr>
              <w:jc w:val="center"/>
              <w:rPr>
                <w:b/>
                <w:sz w:val="20"/>
                <w:szCs w:val="20"/>
                <w:lang w:val="en-US"/>
              </w:rPr>
            </w:pPr>
            <w:r w:rsidRPr="000C0EB5">
              <w:rPr>
                <w:b/>
                <w:sz w:val="20"/>
                <w:szCs w:val="20"/>
                <w:lang w:val="en-US"/>
              </w:rPr>
              <w:t>Assistive Study</w:t>
            </w:r>
          </w:p>
        </w:tc>
        <w:tc>
          <w:tcPr>
            <w:tcW w:w="4820" w:type="dxa"/>
            <w:gridSpan w:val="3"/>
            <w:shd w:val="clear" w:color="auto" w:fill="auto"/>
          </w:tcPr>
          <w:p w14:paraId="359F8760" w14:textId="77777777" w:rsidR="005211DE" w:rsidRPr="000C0EB5" w:rsidRDefault="005211DE" w:rsidP="00D82D86">
            <w:pPr>
              <w:jc w:val="center"/>
              <w:rPr>
                <w:b/>
                <w:sz w:val="20"/>
                <w:szCs w:val="20"/>
                <w:lang w:val="en-US"/>
              </w:rPr>
            </w:pPr>
            <w:r w:rsidRPr="000C0EB5">
              <w:rPr>
                <w:b/>
                <w:sz w:val="20"/>
                <w:szCs w:val="20"/>
                <w:lang w:val="en-US"/>
              </w:rPr>
              <w:t>Directive Study</w:t>
            </w:r>
          </w:p>
        </w:tc>
      </w:tr>
      <w:tr w:rsidR="005211DE" w:rsidRPr="000C0EB5" w14:paraId="359F8769" w14:textId="77777777" w:rsidTr="00D82D86">
        <w:tc>
          <w:tcPr>
            <w:tcW w:w="3403" w:type="dxa"/>
            <w:shd w:val="clear" w:color="auto" w:fill="auto"/>
          </w:tcPr>
          <w:p w14:paraId="359F8762" w14:textId="77777777" w:rsidR="005211DE" w:rsidRPr="00646063" w:rsidRDefault="005211DE" w:rsidP="00D82D86">
            <w:pPr>
              <w:ind w:firstLine="708"/>
              <w:rPr>
                <w:sz w:val="16"/>
                <w:szCs w:val="16"/>
                <w:lang w:val="en-US"/>
              </w:rPr>
            </w:pPr>
          </w:p>
        </w:tc>
        <w:tc>
          <w:tcPr>
            <w:tcW w:w="708" w:type="dxa"/>
            <w:gridSpan w:val="2"/>
            <w:shd w:val="clear" w:color="auto" w:fill="auto"/>
            <w:vAlign w:val="center"/>
          </w:tcPr>
          <w:p w14:paraId="359F8763" w14:textId="77777777" w:rsidR="005211DE" w:rsidRPr="00646063" w:rsidRDefault="005211DE" w:rsidP="00D82D86">
            <w:pPr>
              <w:jc w:val="center"/>
              <w:rPr>
                <w:sz w:val="16"/>
                <w:szCs w:val="16"/>
                <w:lang w:val="en-US"/>
              </w:rPr>
            </w:pPr>
          </w:p>
        </w:tc>
        <w:tc>
          <w:tcPr>
            <w:tcW w:w="2127" w:type="dxa"/>
            <w:shd w:val="clear" w:color="auto" w:fill="auto"/>
            <w:vAlign w:val="center"/>
          </w:tcPr>
          <w:p w14:paraId="359F8764" w14:textId="77777777" w:rsidR="005211DE" w:rsidRPr="00646063" w:rsidRDefault="005211DE" w:rsidP="00D82D86">
            <w:pPr>
              <w:jc w:val="center"/>
              <w:rPr>
                <w:sz w:val="16"/>
                <w:szCs w:val="16"/>
                <w:lang w:val="en-US"/>
              </w:rPr>
            </w:pPr>
            <w:r w:rsidRPr="00646063">
              <w:rPr>
                <w:sz w:val="16"/>
                <w:szCs w:val="16"/>
                <w:lang w:val="en-US"/>
              </w:rPr>
              <w:t>Care-as-Usual Group</w:t>
            </w:r>
            <w:r w:rsidRPr="00646063">
              <w:rPr>
                <w:rFonts w:cs="Arial"/>
                <w:sz w:val="16"/>
                <w:szCs w:val="16"/>
                <w:vertAlign w:val="superscript"/>
                <w:lang w:val="en-US"/>
              </w:rPr>
              <w:t>†</w:t>
            </w:r>
          </w:p>
        </w:tc>
        <w:tc>
          <w:tcPr>
            <w:tcW w:w="1984" w:type="dxa"/>
            <w:shd w:val="clear" w:color="auto" w:fill="auto"/>
            <w:vAlign w:val="center"/>
          </w:tcPr>
          <w:p w14:paraId="359F8765" w14:textId="77777777" w:rsidR="005211DE" w:rsidRPr="00646063" w:rsidRDefault="005211DE" w:rsidP="00D82D86">
            <w:pPr>
              <w:jc w:val="center"/>
              <w:rPr>
                <w:sz w:val="16"/>
                <w:szCs w:val="16"/>
                <w:lang w:val="en-US"/>
              </w:rPr>
            </w:pPr>
            <w:r w:rsidRPr="00646063">
              <w:rPr>
                <w:sz w:val="16"/>
                <w:szCs w:val="16"/>
                <w:lang w:val="en-US"/>
              </w:rPr>
              <w:t>Intervention Group</w:t>
            </w:r>
            <w:r w:rsidRPr="00646063">
              <w:rPr>
                <w:rFonts w:cs="Arial"/>
                <w:sz w:val="16"/>
                <w:szCs w:val="16"/>
                <w:vertAlign w:val="superscript"/>
                <w:lang w:val="en-US"/>
              </w:rPr>
              <w:t>†</w:t>
            </w:r>
          </w:p>
        </w:tc>
        <w:tc>
          <w:tcPr>
            <w:tcW w:w="709" w:type="dxa"/>
            <w:shd w:val="clear" w:color="auto" w:fill="auto"/>
            <w:vAlign w:val="center"/>
          </w:tcPr>
          <w:p w14:paraId="359F8766" w14:textId="77777777" w:rsidR="005211DE" w:rsidRPr="00646063" w:rsidRDefault="005211DE" w:rsidP="00D82D86">
            <w:pPr>
              <w:jc w:val="center"/>
              <w:rPr>
                <w:sz w:val="16"/>
                <w:szCs w:val="16"/>
                <w:lang w:val="en-US"/>
              </w:rPr>
            </w:pPr>
          </w:p>
        </w:tc>
        <w:tc>
          <w:tcPr>
            <w:tcW w:w="2126" w:type="dxa"/>
            <w:shd w:val="clear" w:color="auto" w:fill="auto"/>
            <w:vAlign w:val="center"/>
          </w:tcPr>
          <w:p w14:paraId="359F8767" w14:textId="77777777" w:rsidR="005211DE" w:rsidRPr="00646063" w:rsidRDefault="005211DE" w:rsidP="00D82D86">
            <w:pPr>
              <w:jc w:val="center"/>
              <w:rPr>
                <w:sz w:val="16"/>
                <w:szCs w:val="16"/>
                <w:lang w:val="en-US"/>
              </w:rPr>
            </w:pPr>
            <w:r w:rsidRPr="00646063">
              <w:rPr>
                <w:sz w:val="16"/>
                <w:szCs w:val="16"/>
                <w:lang w:val="en-US"/>
              </w:rPr>
              <w:t>Care-as-Usual Group</w:t>
            </w:r>
            <w:r w:rsidRPr="00646063">
              <w:rPr>
                <w:rFonts w:cs="Arial"/>
                <w:sz w:val="16"/>
                <w:szCs w:val="16"/>
                <w:vertAlign w:val="superscript"/>
                <w:lang w:val="en-US"/>
              </w:rPr>
              <w:t>†</w:t>
            </w:r>
          </w:p>
        </w:tc>
        <w:tc>
          <w:tcPr>
            <w:tcW w:w="1985" w:type="dxa"/>
            <w:shd w:val="clear" w:color="auto" w:fill="auto"/>
            <w:vAlign w:val="center"/>
          </w:tcPr>
          <w:p w14:paraId="359F8768" w14:textId="77777777" w:rsidR="005211DE" w:rsidRPr="00646063" w:rsidRDefault="005211DE" w:rsidP="00D82D86">
            <w:pPr>
              <w:jc w:val="center"/>
              <w:rPr>
                <w:sz w:val="16"/>
                <w:szCs w:val="16"/>
                <w:lang w:val="en-US"/>
              </w:rPr>
            </w:pPr>
            <w:r w:rsidRPr="00646063">
              <w:rPr>
                <w:sz w:val="16"/>
                <w:szCs w:val="16"/>
                <w:lang w:val="en-US"/>
              </w:rPr>
              <w:t>Intervention Group</w:t>
            </w:r>
            <w:r w:rsidRPr="00646063">
              <w:rPr>
                <w:rFonts w:cs="Arial"/>
                <w:sz w:val="16"/>
                <w:szCs w:val="16"/>
                <w:vertAlign w:val="superscript"/>
                <w:lang w:val="en-US"/>
              </w:rPr>
              <w:t>†</w:t>
            </w:r>
          </w:p>
        </w:tc>
      </w:tr>
      <w:tr w:rsidR="005211DE" w:rsidRPr="000C0EB5" w14:paraId="359F8771" w14:textId="77777777" w:rsidTr="00D82D86">
        <w:tc>
          <w:tcPr>
            <w:tcW w:w="3403" w:type="dxa"/>
            <w:shd w:val="clear" w:color="auto" w:fill="auto"/>
          </w:tcPr>
          <w:p w14:paraId="359F876A" w14:textId="77777777" w:rsidR="005211DE" w:rsidRPr="00646063" w:rsidRDefault="005211DE" w:rsidP="00D82D86">
            <w:pPr>
              <w:rPr>
                <w:sz w:val="16"/>
                <w:szCs w:val="16"/>
                <w:lang w:val="en-US"/>
              </w:rPr>
            </w:pPr>
            <w:r w:rsidRPr="00646063">
              <w:rPr>
                <w:sz w:val="16"/>
                <w:szCs w:val="16"/>
                <w:lang w:val="en-US"/>
              </w:rPr>
              <w:t>Predicted PONV risk in categories</w:t>
            </w:r>
          </w:p>
        </w:tc>
        <w:tc>
          <w:tcPr>
            <w:tcW w:w="708" w:type="dxa"/>
            <w:gridSpan w:val="2"/>
            <w:shd w:val="clear" w:color="auto" w:fill="auto"/>
            <w:vAlign w:val="center"/>
          </w:tcPr>
          <w:p w14:paraId="359F876B" w14:textId="77777777" w:rsidR="005211DE" w:rsidRPr="00646063" w:rsidRDefault="005211DE" w:rsidP="00D82D86">
            <w:pPr>
              <w:jc w:val="center"/>
              <w:rPr>
                <w:sz w:val="16"/>
                <w:szCs w:val="16"/>
                <w:lang w:val="en-US"/>
              </w:rPr>
            </w:pPr>
            <w:r w:rsidRPr="00646063">
              <w:rPr>
                <w:sz w:val="16"/>
                <w:szCs w:val="16"/>
                <w:lang w:val="en-US"/>
              </w:rPr>
              <w:t>N*</w:t>
            </w:r>
          </w:p>
        </w:tc>
        <w:tc>
          <w:tcPr>
            <w:tcW w:w="2127" w:type="dxa"/>
            <w:shd w:val="clear" w:color="auto" w:fill="auto"/>
            <w:vAlign w:val="center"/>
          </w:tcPr>
          <w:p w14:paraId="359F876C" w14:textId="77777777" w:rsidR="005211DE" w:rsidRPr="00646063" w:rsidRDefault="005211DE"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4496)</w:t>
            </w:r>
          </w:p>
        </w:tc>
        <w:tc>
          <w:tcPr>
            <w:tcW w:w="1984" w:type="dxa"/>
            <w:shd w:val="clear" w:color="auto" w:fill="auto"/>
            <w:vAlign w:val="center"/>
          </w:tcPr>
          <w:p w14:paraId="359F876D" w14:textId="77777777" w:rsidR="005211DE" w:rsidRPr="00646063" w:rsidRDefault="005211DE"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3385)</w:t>
            </w:r>
          </w:p>
        </w:tc>
        <w:tc>
          <w:tcPr>
            <w:tcW w:w="709" w:type="dxa"/>
            <w:shd w:val="clear" w:color="auto" w:fill="auto"/>
            <w:vAlign w:val="center"/>
          </w:tcPr>
          <w:p w14:paraId="359F876E" w14:textId="77777777" w:rsidR="005211DE" w:rsidRPr="00646063" w:rsidRDefault="005211DE" w:rsidP="00D82D86">
            <w:pPr>
              <w:jc w:val="center"/>
              <w:rPr>
                <w:sz w:val="16"/>
                <w:szCs w:val="16"/>
                <w:lang w:val="en-US"/>
              </w:rPr>
            </w:pPr>
            <w:r w:rsidRPr="00646063">
              <w:rPr>
                <w:sz w:val="16"/>
                <w:szCs w:val="16"/>
                <w:lang w:val="en-US"/>
              </w:rPr>
              <w:t>N*</w:t>
            </w:r>
          </w:p>
        </w:tc>
        <w:tc>
          <w:tcPr>
            <w:tcW w:w="2126" w:type="dxa"/>
            <w:shd w:val="clear" w:color="auto" w:fill="auto"/>
            <w:vAlign w:val="center"/>
          </w:tcPr>
          <w:p w14:paraId="359F876F" w14:textId="77777777" w:rsidR="005211DE" w:rsidRPr="00646063" w:rsidRDefault="005211DE"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1022)</w:t>
            </w:r>
          </w:p>
        </w:tc>
        <w:tc>
          <w:tcPr>
            <w:tcW w:w="1985" w:type="dxa"/>
            <w:shd w:val="clear" w:color="auto" w:fill="auto"/>
            <w:vAlign w:val="center"/>
          </w:tcPr>
          <w:p w14:paraId="359F8770" w14:textId="77777777" w:rsidR="005211DE" w:rsidRPr="00646063" w:rsidRDefault="005211DE" w:rsidP="00D82D86">
            <w:pPr>
              <w:jc w:val="center"/>
              <w:rPr>
                <w:sz w:val="16"/>
                <w:szCs w:val="16"/>
                <w:lang w:val="en-US"/>
              </w:rPr>
            </w:pPr>
            <w:r w:rsidRPr="00646063">
              <w:rPr>
                <w:sz w:val="16"/>
                <w:szCs w:val="16"/>
                <w:lang w:val="en-US"/>
              </w:rPr>
              <w:t>(</w:t>
            </w:r>
            <w:r w:rsidRPr="00646063">
              <w:rPr>
                <w:rFonts w:eastAsia="Arial"/>
                <w:i/>
                <w:sz w:val="16"/>
                <w:szCs w:val="16"/>
                <w:lang w:val="en-US"/>
              </w:rPr>
              <w:t>n</w:t>
            </w:r>
            <w:r w:rsidRPr="00646063">
              <w:rPr>
                <w:rFonts w:eastAsia="Arial"/>
                <w:sz w:val="16"/>
                <w:szCs w:val="16"/>
                <w:lang w:val="en-US"/>
              </w:rPr>
              <w:t xml:space="preserve"> = </w:t>
            </w:r>
            <w:r w:rsidRPr="00646063">
              <w:rPr>
                <w:sz w:val="16"/>
                <w:szCs w:val="16"/>
                <w:lang w:val="en-US"/>
              </w:rPr>
              <w:t>461)</w:t>
            </w:r>
          </w:p>
        </w:tc>
      </w:tr>
      <w:tr w:rsidR="005211DE" w:rsidRPr="000C0EB5" w14:paraId="359F8779" w14:textId="77777777" w:rsidTr="00D82D86">
        <w:tc>
          <w:tcPr>
            <w:tcW w:w="3403" w:type="dxa"/>
            <w:shd w:val="clear" w:color="auto" w:fill="auto"/>
          </w:tcPr>
          <w:p w14:paraId="359F8772" w14:textId="3A9EA579" w:rsidR="005211DE" w:rsidRPr="001939E8" w:rsidRDefault="005211DE" w:rsidP="00D82D86">
            <w:pPr>
              <w:rPr>
                <w:rFonts w:eastAsia="Arial"/>
                <w:sz w:val="16"/>
                <w:szCs w:val="16"/>
                <w:vertAlign w:val="superscript"/>
                <w:lang w:val="en-US"/>
              </w:rPr>
            </w:pPr>
            <w:r w:rsidRPr="00646063">
              <w:rPr>
                <w:sz w:val="16"/>
                <w:szCs w:val="16"/>
                <w:lang w:val="en-US"/>
              </w:rPr>
              <w:t xml:space="preserve"> &lt;26% (0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73" w14:textId="77777777" w:rsidR="005211DE" w:rsidRPr="00646063" w:rsidRDefault="004817FA" w:rsidP="00D82D86">
            <w:pPr>
              <w:jc w:val="center"/>
              <w:rPr>
                <w:sz w:val="16"/>
                <w:szCs w:val="16"/>
                <w:lang w:val="en-US"/>
              </w:rPr>
            </w:pPr>
            <w:r>
              <w:rPr>
                <w:sz w:val="16"/>
                <w:szCs w:val="16"/>
                <w:lang w:val="en-US"/>
              </w:rPr>
              <w:t>521</w:t>
            </w:r>
          </w:p>
        </w:tc>
        <w:tc>
          <w:tcPr>
            <w:tcW w:w="2127" w:type="dxa"/>
            <w:shd w:val="clear" w:color="auto" w:fill="auto"/>
            <w:vAlign w:val="center"/>
          </w:tcPr>
          <w:p w14:paraId="359F8774" w14:textId="77777777" w:rsidR="005211DE" w:rsidRPr="00646063" w:rsidRDefault="005211DE" w:rsidP="00D82D86">
            <w:pPr>
              <w:jc w:val="center"/>
              <w:rPr>
                <w:sz w:val="16"/>
                <w:szCs w:val="16"/>
              </w:rPr>
            </w:pPr>
            <w:r>
              <w:rPr>
                <w:sz w:val="16"/>
                <w:szCs w:val="16"/>
              </w:rPr>
              <w:t>66 (23</w:t>
            </w:r>
            <w:r w:rsidRPr="005211DE">
              <w:rPr>
                <w:sz w:val="16"/>
                <w:szCs w:val="16"/>
              </w:rPr>
              <w:t>)</w:t>
            </w:r>
          </w:p>
        </w:tc>
        <w:tc>
          <w:tcPr>
            <w:tcW w:w="1984" w:type="dxa"/>
            <w:shd w:val="clear" w:color="auto" w:fill="auto"/>
            <w:vAlign w:val="center"/>
          </w:tcPr>
          <w:p w14:paraId="359F8775" w14:textId="77777777" w:rsidR="005211DE" w:rsidRPr="00646063" w:rsidRDefault="005211DE" w:rsidP="00D82D86">
            <w:pPr>
              <w:jc w:val="center"/>
              <w:rPr>
                <w:sz w:val="16"/>
                <w:szCs w:val="16"/>
              </w:rPr>
            </w:pPr>
            <w:r>
              <w:rPr>
                <w:sz w:val="16"/>
                <w:szCs w:val="16"/>
              </w:rPr>
              <w:t>42 (18)</w:t>
            </w:r>
          </w:p>
        </w:tc>
        <w:tc>
          <w:tcPr>
            <w:tcW w:w="709" w:type="dxa"/>
            <w:shd w:val="clear" w:color="auto" w:fill="auto"/>
            <w:vAlign w:val="center"/>
          </w:tcPr>
          <w:p w14:paraId="359F8776" w14:textId="77777777" w:rsidR="005211DE" w:rsidRPr="00646063" w:rsidRDefault="004817FA" w:rsidP="00D82D86">
            <w:pPr>
              <w:jc w:val="center"/>
              <w:rPr>
                <w:sz w:val="16"/>
                <w:szCs w:val="16"/>
                <w:lang w:val="en-US"/>
              </w:rPr>
            </w:pPr>
            <w:r>
              <w:rPr>
                <w:sz w:val="16"/>
                <w:szCs w:val="16"/>
                <w:lang w:val="en-US"/>
              </w:rPr>
              <w:t>116</w:t>
            </w:r>
          </w:p>
        </w:tc>
        <w:tc>
          <w:tcPr>
            <w:tcW w:w="2126" w:type="dxa"/>
            <w:shd w:val="clear" w:color="auto" w:fill="auto"/>
            <w:vAlign w:val="center"/>
          </w:tcPr>
          <w:p w14:paraId="359F8777" w14:textId="77777777" w:rsidR="005211DE" w:rsidRPr="00646063" w:rsidRDefault="005211DE" w:rsidP="00D82D86">
            <w:pPr>
              <w:jc w:val="center"/>
              <w:rPr>
                <w:sz w:val="16"/>
                <w:szCs w:val="16"/>
              </w:rPr>
            </w:pPr>
            <w:r w:rsidRPr="005211DE">
              <w:rPr>
                <w:sz w:val="16"/>
                <w:szCs w:val="16"/>
              </w:rPr>
              <w:t>19 (23)</w:t>
            </w:r>
          </w:p>
        </w:tc>
        <w:tc>
          <w:tcPr>
            <w:tcW w:w="1985" w:type="dxa"/>
            <w:shd w:val="clear" w:color="auto" w:fill="auto"/>
            <w:vAlign w:val="center"/>
          </w:tcPr>
          <w:p w14:paraId="359F8778" w14:textId="77777777" w:rsidR="005211DE" w:rsidRPr="00646063" w:rsidRDefault="005211DE" w:rsidP="00D82D86">
            <w:pPr>
              <w:jc w:val="center"/>
              <w:rPr>
                <w:sz w:val="16"/>
                <w:szCs w:val="16"/>
              </w:rPr>
            </w:pPr>
            <w:r w:rsidRPr="005211DE">
              <w:rPr>
                <w:sz w:val="16"/>
                <w:szCs w:val="16"/>
              </w:rPr>
              <w:t>10 (29)</w:t>
            </w:r>
          </w:p>
        </w:tc>
      </w:tr>
      <w:tr w:rsidR="005211DE" w:rsidRPr="000C0EB5" w14:paraId="359F8781" w14:textId="77777777" w:rsidTr="00D82D86">
        <w:tc>
          <w:tcPr>
            <w:tcW w:w="3403" w:type="dxa"/>
            <w:shd w:val="clear" w:color="auto" w:fill="auto"/>
          </w:tcPr>
          <w:p w14:paraId="359F877A" w14:textId="4DF50741" w:rsidR="005211DE" w:rsidRPr="00646063" w:rsidRDefault="005211DE" w:rsidP="00D82D86">
            <w:pPr>
              <w:rPr>
                <w:sz w:val="16"/>
                <w:szCs w:val="16"/>
                <w:lang w:val="en-US"/>
              </w:rPr>
            </w:pPr>
            <w:r w:rsidRPr="00646063">
              <w:rPr>
                <w:sz w:val="16"/>
                <w:szCs w:val="16"/>
                <w:lang w:val="en-US"/>
              </w:rPr>
              <w:t xml:space="preserve"> 26-41% (1 antiemetic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7B" w14:textId="77777777" w:rsidR="005211DE" w:rsidRPr="00646063" w:rsidRDefault="005211DE" w:rsidP="004817FA">
            <w:pPr>
              <w:jc w:val="center"/>
              <w:rPr>
                <w:sz w:val="16"/>
                <w:szCs w:val="16"/>
                <w:lang w:val="en-US"/>
              </w:rPr>
            </w:pPr>
            <w:r w:rsidRPr="005211DE">
              <w:rPr>
                <w:sz w:val="16"/>
                <w:szCs w:val="16"/>
                <w:lang w:val="en-US"/>
              </w:rPr>
              <w:t>2</w:t>
            </w:r>
            <w:r w:rsidR="004817FA">
              <w:rPr>
                <w:sz w:val="16"/>
                <w:szCs w:val="16"/>
                <w:lang w:val="en-US"/>
              </w:rPr>
              <w:t>158</w:t>
            </w:r>
          </w:p>
        </w:tc>
        <w:tc>
          <w:tcPr>
            <w:tcW w:w="2127" w:type="dxa"/>
            <w:shd w:val="clear" w:color="auto" w:fill="auto"/>
            <w:vAlign w:val="center"/>
          </w:tcPr>
          <w:p w14:paraId="359F877C" w14:textId="77777777" w:rsidR="005211DE" w:rsidRPr="00646063" w:rsidRDefault="005211DE" w:rsidP="00D82D86">
            <w:pPr>
              <w:jc w:val="center"/>
              <w:rPr>
                <w:sz w:val="16"/>
                <w:szCs w:val="16"/>
              </w:rPr>
            </w:pPr>
            <w:r w:rsidRPr="005211DE">
              <w:rPr>
                <w:sz w:val="16"/>
                <w:szCs w:val="16"/>
              </w:rPr>
              <w:t>443 (37)</w:t>
            </w:r>
          </w:p>
        </w:tc>
        <w:tc>
          <w:tcPr>
            <w:tcW w:w="1984" w:type="dxa"/>
            <w:shd w:val="clear" w:color="auto" w:fill="auto"/>
            <w:vAlign w:val="center"/>
          </w:tcPr>
          <w:p w14:paraId="359F877D" w14:textId="77777777" w:rsidR="005211DE" w:rsidRPr="00646063" w:rsidRDefault="005211DE" w:rsidP="00D82D86">
            <w:pPr>
              <w:jc w:val="center"/>
              <w:rPr>
                <w:sz w:val="16"/>
                <w:szCs w:val="16"/>
              </w:rPr>
            </w:pPr>
            <w:r w:rsidRPr="005211DE">
              <w:rPr>
                <w:sz w:val="16"/>
                <w:szCs w:val="16"/>
              </w:rPr>
              <w:t>336 (35)</w:t>
            </w:r>
          </w:p>
        </w:tc>
        <w:tc>
          <w:tcPr>
            <w:tcW w:w="709" w:type="dxa"/>
            <w:shd w:val="clear" w:color="auto" w:fill="auto"/>
            <w:vAlign w:val="center"/>
          </w:tcPr>
          <w:p w14:paraId="359F877E" w14:textId="77777777" w:rsidR="005211DE" w:rsidRPr="00646063" w:rsidRDefault="004817FA" w:rsidP="00D82D86">
            <w:pPr>
              <w:jc w:val="center"/>
              <w:rPr>
                <w:sz w:val="16"/>
                <w:szCs w:val="16"/>
                <w:lang w:val="en-US"/>
              </w:rPr>
            </w:pPr>
            <w:r>
              <w:rPr>
                <w:sz w:val="16"/>
                <w:szCs w:val="16"/>
                <w:lang w:val="en-US"/>
              </w:rPr>
              <w:t>432</w:t>
            </w:r>
          </w:p>
        </w:tc>
        <w:tc>
          <w:tcPr>
            <w:tcW w:w="2126" w:type="dxa"/>
            <w:shd w:val="clear" w:color="auto" w:fill="auto"/>
            <w:vAlign w:val="center"/>
          </w:tcPr>
          <w:p w14:paraId="359F877F" w14:textId="77777777" w:rsidR="005211DE" w:rsidRPr="00646063" w:rsidRDefault="005211DE" w:rsidP="00D82D86">
            <w:pPr>
              <w:jc w:val="center"/>
              <w:rPr>
                <w:sz w:val="16"/>
                <w:szCs w:val="16"/>
              </w:rPr>
            </w:pPr>
            <w:r w:rsidRPr="005211DE">
              <w:rPr>
                <w:sz w:val="16"/>
                <w:szCs w:val="16"/>
              </w:rPr>
              <w:t>123 (41)</w:t>
            </w:r>
          </w:p>
        </w:tc>
        <w:tc>
          <w:tcPr>
            <w:tcW w:w="1985" w:type="dxa"/>
            <w:shd w:val="clear" w:color="auto" w:fill="auto"/>
            <w:vAlign w:val="center"/>
          </w:tcPr>
          <w:p w14:paraId="359F8780" w14:textId="77777777" w:rsidR="005211DE" w:rsidRPr="00646063" w:rsidRDefault="005211DE" w:rsidP="00D82D86">
            <w:pPr>
              <w:jc w:val="center"/>
              <w:rPr>
                <w:sz w:val="16"/>
                <w:szCs w:val="16"/>
              </w:rPr>
            </w:pPr>
            <w:r w:rsidRPr="005211DE">
              <w:rPr>
                <w:sz w:val="16"/>
                <w:szCs w:val="16"/>
              </w:rPr>
              <w:t>50 (38)</w:t>
            </w:r>
          </w:p>
        </w:tc>
      </w:tr>
      <w:tr w:rsidR="005211DE" w:rsidRPr="000C0EB5" w14:paraId="359F8789" w14:textId="77777777" w:rsidTr="00D82D86">
        <w:tc>
          <w:tcPr>
            <w:tcW w:w="3403" w:type="dxa"/>
            <w:shd w:val="clear" w:color="auto" w:fill="auto"/>
          </w:tcPr>
          <w:p w14:paraId="359F8782" w14:textId="050392E2" w:rsidR="005211DE" w:rsidRPr="00646063" w:rsidRDefault="005211DE" w:rsidP="00D82D86">
            <w:pPr>
              <w:rPr>
                <w:sz w:val="16"/>
                <w:szCs w:val="16"/>
                <w:lang w:val="en-US"/>
              </w:rPr>
            </w:pPr>
            <w:r w:rsidRPr="00646063">
              <w:rPr>
                <w:sz w:val="16"/>
                <w:szCs w:val="16"/>
                <w:lang w:val="en-US"/>
              </w:rPr>
              <w:t xml:space="preserve"> 41-62% (2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83" w14:textId="77777777" w:rsidR="005211DE" w:rsidRPr="00646063" w:rsidRDefault="004817FA" w:rsidP="00D82D86">
            <w:pPr>
              <w:jc w:val="center"/>
              <w:rPr>
                <w:sz w:val="16"/>
                <w:szCs w:val="16"/>
                <w:lang w:val="en-US"/>
              </w:rPr>
            </w:pPr>
            <w:r>
              <w:rPr>
                <w:sz w:val="16"/>
                <w:szCs w:val="16"/>
                <w:lang w:val="en-US"/>
              </w:rPr>
              <w:t>2515</w:t>
            </w:r>
          </w:p>
        </w:tc>
        <w:tc>
          <w:tcPr>
            <w:tcW w:w="2127" w:type="dxa"/>
            <w:shd w:val="clear" w:color="auto" w:fill="auto"/>
            <w:vAlign w:val="center"/>
          </w:tcPr>
          <w:p w14:paraId="359F8784" w14:textId="77777777" w:rsidR="005211DE" w:rsidRPr="00646063" w:rsidRDefault="005211DE" w:rsidP="00D82D86">
            <w:pPr>
              <w:jc w:val="center"/>
              <w:rPr>
                <w:sz w:val="16"/>
                <w:szCs w:val="16"/>
              </w:rPr>
            </w:pPr>
            <w:r w:rsidRPr="005211DE">
              <w:rPr>
                <w:sz w:val="16"/>
                <w:szCs w:val="16"/>
              </w:rPr>
              <w:t>837 (59)</w:t>
            </w:r>
          </w:p>
        </w:tc>
        <w:tc>
          <w:tcPr>
            <w:tcW w:w="1984" w:type="dxa"/>
            <w:shd w:val="clear" w:color="auto" w:fill="auto"/>
            <w:vAlign w:val="center"/>
          </w:tcPr>
          <w:p w14:paraId="359F8785" w14:textId="77777777" w:rsidR="005211DE" w:rsidRPr="00646063" w:rsidRDefault="005211DE" w:rsidP="00D82D86">
            <w:pPr>
              <w:jc w:val="center"/>
              <w:rPr>
                <w:sz w:val="16"/>
                <w:szCs w:val="16"/>
              </w:rPr>
            </w:pPr>
            <w:r w:rsidRPr="005211DE">
              <w:rPr>
                <w:sz w:val="16"/>
                <w:szCs w:val="16"/>
              </w:rPr>
              <w:t>626 (57)</w:t>
            </w:r>
          </w:p>
        </w:tc>
        <w:tc>
          <w:tcPr>
            <w:tcW w:w="709" w:type="dxa"/>
            <w:shd w:val="clear" w:color="auto" w:fill="auto"/>
            <w:vAlign w:val="center"/>
          </w:tcPr>
          <w:p w14:paraId="359F8786" w14:textId="77777777" w:rsidR="005211DE" w:rsidRPr="00646063" w:rsidRDefault="004817FA" w:rsidP="00D82D86">
            <w:pPr>
              <w:jc w:val="center"/>
              <w:rPr>
                <w:sz w:val="16"/>
                <w:szCs w:val="16"/>
                <w:lang w:val="en-US"/>
              </w:rPr>
            </w:pPr>
            <w:r>
              <w:rPr>
                <w:sz w:val="16"/>
                <w:szCs w:val="16"/>
                <w:lang w:val="en-US"/>
              </w:rPr>
              <w:t>354</w:t>
            </w:r>
          </w:p>
        </w:tc>
        <w:tc>
          <w:tcPr>
            <w:tcW w:w="2126" w:type="dxa"/>
            <w:shd w:val="clear" w:color="auto" w:fill="auto"/>
            <w:vAlign w:val="center"/>
          </w:tcPr>
          <w:p w14:paraId="359F8787" w14:textId="77777777" w:rsidR="005211DE" w:rsidRPr="00646063" w:rsidRDefault="005211DE" w:rsidP="00D82D86">
            <w:pPr>
              <w:jc w:val="center"/>
              <w:rPr>
                <w:sz w:val="16"/>
                <w:szCs w:val="16"/>
              </w:rPr>
            </w:pPr>
            <w:r w:rsidRPr="005211DE">
              <w:rPr>
                <w:sz w:val="16"/>
                <w:szCs w:val="16"/>
              </w:rPr>
              <w:t>167 (64)</w:t>
            </w:r>
          </w:p>
        </w:tc>
        <w:tc>
          <w:tcPr>
            <w:tcW w:w="1985" w:type="dxa"/>
            <w:shd w:val="clear" w:color="auto" w:fill="auto"/>
            <w:vAlign w:val="center"/>
          </w:tcPr>
          <w:p w14:paraId="359F8788" w14:textId="77777777" w:rsidR="005211DE" w:rsidRPr="00646063" w:rsidRDefault="005211DE" w:rsidP="00D82D86">
            <w:pPr>
              <w:jc w:val="center"/>
              <w:rPr>
                <w:sz w:val="16"/>
                <w:szCs w:val="16"/>
              </w:rPr>
            </w:pPr>
            <w:r w:rsidRPr="005211DE">
              <w:rPr>
                <w:sz w:val="16"/>
                <w:szCs w:val="16"/>
              </w:rPr>
              <w:t>48 (52)</w:t>
            </w:r>
          </w:p>
        </w:tc>
      </w:tr>
      <w:tr w:rsidR="005211DE" w:rsidRPr="000C0EB5" w14:paraId="359F8791" w14:textId="77777777" w:rsidTr="00D82D86">
        <w:tc>
          <w:tcPr>
            <w:tcW w:w="3403" w:type="dxa"/>
            <w:shd w:val="clear" w:color="auto" w:fill="auto"/>
          </w:tcPr>
          <w:p w14:paraId="359F878A" w14:textId="3C1CBBC8" w:rsidR="005211DE" w:rsidRPr="00646063" w:rsidRDefault="005211DE" w:rsidP="00D82D86">
            <w:pPr>
              <w:rPr>
                <w:sz w:val="16"/>
                <w:szCs w:val="16"/>
                <w:lang w:val="en-US"/>
              </w:rPr>
            </w:pPr>
            <w:r w:rsidRPr="00646063">
              <w:rPr>
                <w:sz w:val="16"/>
                <w:szCs w:val="16"/>
                <w:lang w:val="en-US"/>
              </w:rPr>
              <w:t xml:space="preserve"> &gt;62% (3 antiemetics advised</w:t>
            </w:r>
            <w:r w:rsidR="001939E8" w:rsidRPr="001939E8">
              <w:rPr>
                <w:rFonts w:eastAsia="Arial" w:cs="Arial"/>
                <w:sz w:val="16"/>
                <w:szCs w:val="16"/>
                <w:vertAlign w:val="superscript"/>
                <w:lang w:val="en-US"/>
              </w:rPr>
              <w:t>‡</w:t>
            </w:r>
            <w:r w:rsidRPr="00646063">
              <w:rPr>
                <w:sz w:val="16"/>
                <w:szCs w:val="16"/>
                <w:lang w:val="en-US"/>
              </w:rPr>
              <w:t>)</w:t>
            </w:r>
          </w:p>
        </w:tc>
        <w:tc>
          <w:tcPr>
            <w:tcW w:w="708" w:type="dxa"/>
            <w:gridSpan w:val="2"/>
            <w:shd w:val="clear" w:color="auto" w:fill="auto"/>
            <w:vAlign w:val="center"/>
          </w:tcPr>
          <w:p w14:paraId="359F878B" w14:textId="77777777" w:rsidR="005211DE" w:rsidRPr="00646063" w:rsidRDefault="004817FA" w:rsidP="00D82D86">
            <w:pPr>
              <w:jc w:val="center"/>
              <w:rPr>
                <w:sz w:val="16"/>
                <w:szCs w:val="16"/>
                <w:lang w:val="en-US"/>
              </w:rPr>
            </w:pPr>
            <w:r>
              <w:rPr>
                <w:sz w:val="16"/>
                <w:szCs w:val="16"/>
                <w:lang w:val="en-US"/>
              </w:rPr>
              <w:t>471</w:t>
            </w:r>
          </w:p>
        </w:tc>
        <w:tc>
          <w:tcPr>
            <w:tcW w:w="2127" w:type="dxa"/>
            <w:shd w:val="clear" w:color="auto" w:fill="auto"/>
            <w:vAlign w:val="center"/>
          </w:tcPr>
          <w:p w14:paraId="359F878C" w14:textId="77777777" w:rsidR="005211DE" w:rsidRPr="00646063" w:rsidRDefault="005211DE" w:rsidP="00D82D86">
            <w:pPr>
              <w:jc w:val="center"/>
              <w:rPr>
                <w:sz w:val="16"/>
                <w:szCs w:val="16"/>
              </w:rPr>
            </w:pPr>
            <w:r w:rsidRPr="005211DE">
              <w:rPr>
                <w:sz w:val="16"/>
                <w:szCs w:val="16"/>
              </w:rPr>
              <w:t>191 (71)</w:t>
            </w:r>
          </w:p>
        </w:tc>
        <w:tc>
          <w:tcPr>
            <w:tcW w:w="1984" w:type="dxa"/>
            <w:shd w:val="clear" w:color="auto" w:fill="auto"/>
            <w:vAlign w:val="center"/>
          </w:tcPr>
          <w:p w14:paraId="359F878D" w14:textId="77777777" w:rsidR="005211DE" w:rsidRPr="00646063" w:rsidRDefault="005211DE" w:rsidP="00D82D86">
            <w:pPr>
              <w:jc w:val="center"/>
              <w:rPr>
                <w:sz w:val="16"/>
                <w:szCs w:val="16"/>
              </w:rPr>
            </w:pPr>
            <w:r w:rsidRPr="005211DE">
              <w:rPr>
                <w:sz w:val="16"/>
                <w:szCs w:val="16"/>
              </w:rPr>
              <w:t>145 (72)</w:t>
            </w:r>
          </w:p>
        </w:tc>
        <w:tc>
          <w:tcPr>
            <w:tcW w:w="709" w:type="dxa"/>
            <w:shd w:val="clear" w:color="auto" w:fill="auto"/>
            <w:vAlign w:val="center"/>
          </w:tcPr>
          <w:p w14:paraId="359F878E" w14:textId="77777777" w:rsidR="005211DE" w:rsidRPr="00646063" w:rsidRDefault="004817FA" w:rsidP="00D82D86">
            <w:pPr>
              <w:jc w:val="center"/>
              <w:rPr>
                <w:sz w:val="16"/>
                <w:szCs w:val="16"/>
                <w:lang w:val="en-US"/>
              </w:rPr>
            </w:pPr>
            <w:r>
              <w:rPr>
                <w:sz w:val="16"/>
                <w:szCs w:val="16"/>
                <w:lang w:val="en-US"/>
              </w:rPr>
              <w:t>60</w:t>
            </w:r>
          </w:p>
        </w:tc>
        <w:tc>
          <w:tcPr>
            <w:tcW w:w="2126" w:type="dxa"/>
            <w:shd w:val="clear" w:color="auto" w:fill="auto"/>
            <w:vAlign w:val="center"/>
          </w:tcPr>
          <w:p w14:paraId="359F878F" w14:textId="77777777" w:rsidR="005211DE" w:rsidRPr="00646063" w:rsidRDefault="005211DE" w:rsidP="00D82D86">
            <w:pPr>
              <w:jc w:val="center"/>
              <w:rPr>
                <w:sz w:val="16"/>
                <w:szCs w:val="16"/>
              </w:rPr>
            </w:pPr>
            <w:r w:rsidRPr="005211DE">
              <w:rPr>
                <w:sz w:val="16"/>
                <w:szCs w:val="16"/>
              </w:rPr>
              <w:t>41 (82)</w:t>
            </w:r>
          </w:p>
        </w:tc>
        <w:tc>
          <w:tcPr>
            <w:tcW w:w="1985" w:type="dxa"/>
            <w:shd w:val="clear" w:color="auto" w:fill="auto"/>
            <w:vAlign w:val="center"/>
          </w:tcPr>
          <w:p w14:paraId="359F8790" w14:textId="77777777" w:rsidR="005211DE" w:rsidRPr="00646063" w:rsidRDefault="005211DE" w:rsidP="00D82D86">
            <w:pPr>
              <w:jc w:val="center"/>
              <w:rPr>
                <w:sz w:val="16"/>
                <w:szCs w:val="16"/>
              </w:rPr>
            </w:pPr>
            <w:r w:rsidRPr="005211DE">
              <w:rPr>
                <w:sz w:val="16"/>
                <w:szCs w:val="16"/>
              </w:rPr>
              <w:t>5 (50)</w:t>
            </w:r>
          </w:p>
        </w:tc>
      </w:tr>
      <w:tr w:rsidR="005211DE" w:rsidRPr="00B71E75" w14:paraId="359F8796" w14:textId="77777777" w:rsidTr="00D82D86">
        <w:trPr>
          <w:trHeight w:val="329"/>
        </w:trPr>
        <w:tc>
          <w:tcPr>
            <w:tcW w:w="13042" w:type="dxa"/>
            <w:gridSpan w:val="8"/>
            <w:shd w:val="clear" w:color="auto" w:fill="auto"/>
          </w:tcPr>
          <w:p w14:paraId="359F8792" w14:textId="77777777" w:rsidR="005211DE" w:rsidRPr="00646063" w:rsidRDefault="005211DE" w:rsidP="00D82D86">
            <w:pPr>
              <w:rPr>
                <w:rFonts w:eastAsia="Arial"/>
                <w:sz w:val="16"/>
                <w:szCs w:val="16"/>
                <w:lang w:val="en-US"/>
              </w:rPr>
            </w:pPr>
            <w:r w:rsidRPr="00646063">
              <w:rPr>
                <w:rFonts w:eastAsia="Arial"/>
                <w:sz w:val="16"/>
                <w:szCs w:val="16"/>
                <w:lang w:val="en-US"/>
              </w:rPr>
              <w:t>*</w:t>
            </w:r>
            <w:r w:rsidRPr="00646063">
              <w:rPr>
                <w:rFonts w:eastAsia="Arial"/>
                <w:sz w:val="16"/>
                <w:szCs w:val="16"/>
                <w:vertAlign w:val="superscript"/>
                <w:lang w:val="en-US"/>
              </w:rPr>
              <w:t xml:space="preserve"> </w:t>
            </w:r>
            <w:r w:rsidRPr="00646063">
              <w:rPr>
                <w:rFonts w:eastAsia="Arial"/>
                <w:sz w:val="16"/>
                <w:szCs w:val="16"/>
                <w:lang w:val="en-US"/>
              </w:rPr>
              <w:t>N represents the total number of non-missing observations for that characteristic</w:t>
            </w:r>
          </w:p>
          <w:p w14:paraId="359F8793" w14:textId="77777777" w:rsidR="005211DE" w:rsidRDefault="005211DE" w:rsidP="00D82D86">
            <w:pPr>
              <w:rPr>
                <w:rFonts w:eastAsia="Arial"/>
                <w:sz w:val="16"/>
                <w:szCs w:val="16"/>
                <w:lang w:val="en-US"/>
              </w:rPr>
            </w:pPr>
            <w:r w:rsidRPr="00646063">
              <w:rPr>
                <w:rFonts w:cs="Arial"/>
                <w:sz w:val="16"/>
                <w:szCs w:val="16"/>
                <w:vertAlign w:val="superscript"/>
                <w:lang w:val="en-US"/>
              </w:rPr>
              <w:t>†</w:t>
            </w:r>
            <w:r w:rsidRPr="00646063">
              <w:rPr>
                <w:rFonts w:cs="Arial"/>
                <w:sz w:val="16"/>
                <w:szCs w:val="16"/>
                <w:lang w:val="en-US"/>
              </w:rPr>
              <w:t xml:space="preserve"> </w:t>
            </w:r>
            <w:r w:rsidRPr="00646063">
              <w:rPr>
                <w:rFonts w:eastAsia="Arial"/>
                <w:sz w:val="16"/>
                <w:szCs w:val="16"/>
                <w:lang w:val="en-US"/>
              </w:rPr>
              <w:t xml:space="preserve">Data represent </w:t>
            </w:r>
            <w:r>
              <w:rPr>
                <w:rFonts w:eastAsia="Arial"/>
                <w:sz w:val="16"/>
                <w:szCs w:val="16"/>
                <w:lang w:val="en-US"/>
              </w:rPr>
              <w:t xml:space="preserve">absolute frequencies of PONV </w:t>
            </w:r>
            <w:r w:rsidRPr="00646063">
              <w:rPr>
                <w:rFonts w:eastAsia="Arial"/>
                <w:sz w:val="16"/>
                <w:szCs w:val="16"/>
                <w:lang w:val="en-US"/>
              </w:rPr>
              <w:t>(</w:t>
            </w:r>
            <w:r>
              <w:rPr>
                <w:rFonts w:eastAsia="Arial"/>
                <w:sz w:val="16"/>
                <w:szCs w:val="16"/>
                <w:lang w:val="en-US"/>
              </w:rPr>
              <w:t>%</w:t>
            </w:r>
            <w:r w:rsidRPr="00646063">
              <w:rPr>
                <w:rFonts w:eastAsia="Arial"/>
                <w:sz w:val="16"/>
                <w:szCs w:val="16"/>
                <w:lang w:val="en-US"/>
              </w:rPr>
              <w:t>)</w:t>
            </w:r>
          </w:p>
          <w:p w14:paraId="359F8794" w14:textId="77777777" w:rsidR="001939E8" w:rsidRPr="001939E8" w:rsidRDefault="001939E8" w:rsidP="00D82D86">
            <w:pPr>
              <w:rPr>
                <w:rFonts w:eastAsia="Arial"/>
                <w:sz w:val="16"/>
                <w:szCs w:val="16"/>
                <w:lang w:val="en-US"/>
              </w:rPr>
            </w:pPr>
            <w:r w:rsidRPr="001939E8">
              <w:rPr>
                <w:rFonts w:eastAsia="Arial" w:cs="Arial"/>
                <w:sz w:val="16"/>
                <w:szCs w:val="16"/>
                <w:vertAlign w:val="superscript"/>
                <w:lang w:val="en-US"/>
              </w:rPr>
              <w:t>‡</w:t>
            </w:r>
            <w:r>
              <w:rPr>
                <w:rFonts w:eastAsia="Arial" w:cs="Arial"/>
                <w:sz w:val="16"/>
                <w:szCs w:val="16"/>
                <w:lang w:val="en-US"/>
              </w:rPr>
              <w:t xml:space="preserve"> Advice only presented to physicians of the intervention group in the directive study</w:t>
            </w:r>
          </w:p>
          <w:p w14:paraId="359F8795" w14:textId="77777777" w:rsidR="005211DE" w:rsidRPr="00646063" w:rsidRDefault="005211DE" w:rsidP="001939E8">
            <w:pPr>
              <w:rPr>
                <w:rFonts w:cs="Arial"/>
                <w:sz w:val="16"/>
                <w:szCs w:val="16"/>
                <w:vertAlign w:val="superscript"/>
                <w:lang w:val="en-US"/>
              </w:rPr>
            </w:pPr>
            <w:r w:rsidRPr="00646063">
              <w:rPr>
                <w:rFonts w:eastAsia="Arial"/>
                <w:sz w:val="16"/>
                <w:szCs w:val="16"/>
                <w:lang w:val="en-US"/>
              </w:rPr>
              <w:t>PONV = postoperative nausea and vomiting</w:t>
            </w:r>
          </w:p>
        </w:tc>
      </w:tr>
    </w:tbl>
    <w:p w14:paraId="359F8797" w14:textId="77777777" w:rsidR="00796079" w:rsidRPr="00796079" w:rsidRDefault="00796079" w:rsidP="00796079">
      <w:pPr>
        <w:rPr>
          <w:lang w:val="en-US"/>
        </w:rPr>
      </w:pPr>
    </w:p>
    <w:p w14:paraId="359F8798" w14:textId="77777777" w:rsidR="00796079" w:rsidRDefault="00796079">
      <w:pPr>
        <w:suppressAutoHyphens w:val="0"/>
        <w:spacing w:line="240" w:lineRule="auto"/>
        <w:rPr>
          <w:rFonts w:eastAsia="Arial"/>
          <w:lang w:val="en-US"/>
        </w:rPr>
      </w:pPr>
      <w:r>
        <w:rPr>
          <w:rFonts w:eastAsia="Arial"/>
          <w:lang w:val="en-US"/>
        </w:rPr>
        <w:br w:type="page"/>
      </w:r>
    </w:p>
    <w:p w14:paraId="359F8799" w14:textId="77777777" w:rsidR="00796079" w:rsidRDefault="00796079" w:rsidP="00796079">
      <w:pPr>
        <w:rPr>
          <w:rFonts w:eastAsia="Arial"/>
          <w:lang w:val="en-US"/>
        </w:rPr>
        <w:sectPr w:rsidR="00796079" w:rsidSect="00796079">
          <w:pgSz w:w="16838" w:h="11906" w:orient="landscape"/>
          <w:pgMar w:top="1418" w:right="1418" w:bottom="1418" w:left="1418" w:header="709" w:footer="709" w:gutter="0"/>
          <w:cols w:space="708"/>
          <w:docGrid w:linePitch="360" w:charSpace="32768"/>
        </w:sectPr>
      </w:pPr>
    </w:p>
    <w:p w14:paraId="359F879A" w14:textId="77777777" w:rsidR="00F218F2" w:rsidRPr="000C0EB5" w:rsidRDefault="00F218F2" w:rsidP="00F218F2">
      <w:pPr>
        <w:pStyle w:val="Heading1"/>
        <w:rPr>
          <w:lang w:val="en-US"/>
        </w:rPr>
      </w:pPr>
      <w:r>
        <w:rPr>
          <w:rFonts w:eastAsia="Arial"/>
          <w:lang w:val="en-US"/>
        </w:rPr>
        <w:lastRenderedPageBreak/>
        <w:t>Table</w:t>
      </w:r>
      <w:r w:rsidRPr="000C0EB5">
        <w:rPr>
          <w:rFonts w:eastAsia="Arial"/>
          <w:lang w:val="en-US"/>
        </w:rPr>
        <w:t xml:space="preserve"> </w:t>
      </w:r>
      <w:r>
        <w:rPr>
          <w:rFonts w:eastAsia="Arial"/>
          <w:lang w:val="en-US"/>
        </w:rPr>
        <w:t>4</w:t>
      </w:r>
      <w:r w:rsidRPr="000C0EB5">
        <w:rPr>
          <w:lang w:val="en-US"/>
        </w:rPr>
        <w:t xml:space="preserve"> – Regression analysis of the comparison of physicians’ administration of risk-dependent antiemetic prophylaxis between allocation groups of both the assistive and directive study.</w:t>
      </w:r>
    </w:p>
    <w:tbl>
      <w:tblPr>
        <w:tblW w:w="9648" w:type="dxa"/>
        <w:tblInd w:w="-57" w:type="dxa"/>
        <w:tblCellMar>
          <w:left w:w="0" w:type="dxa"/>
          <w:right w:w="0" w:type="dxa"/>
        </w:tblCellMar>
        <w:tblLook w:val="00A0" w:firstRow="1" w:lastRow="0" w:firstColumn="1" w:lastColumn="0" w:noHBand="0" w:noVBand="0"/>
      </w:tblPr>
      <w:tblGrid>
        <w:gridCol w:w="9648"/>
        <w:gridCol w:w="6"/>
        <w:gridCol w:w="6"/>
        <w:gridCol w:w="6"/>
        <w:gridCol w:w="6"/>
      </w:tblGrid>
      <w:tr w:rsidR="00F218F2" w:rsidRPr="00B71E75" w14:paraId="359F87D9" w14:textId="77777777" w:rsidTr="00D82D86">
        <w:tc>
          <w:tcPr>
            <w:tcW w:w="2266" w:type="dxa"/>
            <w:vAlign w:val="center"/>
          </w:tcPr>
          <w:tbl>
            <w:tblPr>
              <w:tblW w:w="9648" w:type="dxa"/>
              <w:tblCellMar>
                <w:left w:w="28" w:type="dxa"/>
                <w:right w:w="28" w:type="dxa"/>
              </w:tblCellMar>
              <w:tblLook w:val="0000" w:firstRow="0" w:lastRow="0" w:firstColumn="0" w:lastColumn="0" w:noHBand="0" w:noVBand="0"/>
            </w:tblPr>
            <w:tblGrid>
              <w:gridCol w:w="2467"/>
              <w:gridCol w:w="1985"/>
              <w:gridCol w:w="2693"/>
              <w:gridCol w:w="2503"/>
            </w:tblGrid>
            <w:tr w:rsidR="00F218F2" w:rsidRPr="00F218F2" w14:paraId="359F879E" w14:textId="77777777" w:rsidTr="00D82D86">
              <w:tc>
                <w:tcPr>
                  <w:tcW w:w="2467" w:type="dxa"/>
                </w:tcPr>
                <w:p w14:paraId="359F879B" w14:textId="77777777" w:rsidR="00F218F2" w:rsidRPr="00F218F2" w:rsidRDefault="00F218F2" w:rsidP="00D82D86">
                  <w:pPr>
                    <w:rPr>
                      <w:sz w:val="16"/>
                      <w:szCs w:val="16"/>
                      <w:lang w:val="en-US"/>
                    </w:rPr>
                  </w:pPr>
                </w:p>
              </w:tc>
              <w:tc>
                <w:tcPr>
                  <w:tcW w:w="4678" w:type="dxa"/>
                  <w:gridSpan w:val="2"/>
                  <w:vAlign w:val="center"/>
                </w:tcPr>
                <w:p w14:paraId="359F879C" w14:textId="77777777" w:rsidR="00F218F2" w:rsidRPr="00F218F2" w:rsidRDefault="00F218F2" w:rsidP="00D82D86">
                  <w:pPr>
                    <w:jc w:val="center"/>
                    <w:rPr>
                      <w:b/>
                      <w:sz w:val="16"/>
                      <w:szCs w:val="16"/>
                      <w:lang w:val="en-US"/>
                    </w:rPr>
                  </w:pPr>
                  <w:r w:rsidRPr="00F218F2">
                    <w:rPr>
                      <w:b/>
                      <w:sz w:val="16"/>
                      <w:szCs w:val="16"/>
                      <w:lang w:val="en-US"/>
                    </w:rPr>
                    <w:t>Complete case*</w:t>
                  </w:r>
                </w:p>
              </w:tc>
              <w:tc>
                <w:tcPr>
                  <w:tcW w:w="2503" w:type="dxa"/>
                  <w:vAlign w:val="center"/>
                </w:tcPr>
                <w:p w14:paraId="359F879D" w14:textId="77777777" w:rsidR="00F218F2" w:rsidRPr="00F218F2" w:rsidRDefault="00F218F2" w:rsidP="00D82D86">
                  <w:pPr>
                    <w:jc w:val="center"/>
                    <w:rPr>
                      <w:b/>
                      <w:sz w:val="16"/>
                      <w:szCs w:val="16"/>
                      <w:lang w:val="en-US"/>
                    </w:rPr>
                  </w:pPr>
                  <w:r w:rsidRPr="00F218F2">
                    <w:rPr>
                      <w:b/>
                      <w:sz w:val="16"/>
                      <w:szCs w:val="16"/>
                      <w:lang w:val="en-US"/>
                    </w:rPr>
                    <w:t>Multiple imputation</w:t>
                  </w:r>
                  <w:r w:rsidRPr="00F218F2">
                    <w:rPr>
                      <w:rFonts w:cs="Arial"/>
                      <w:b/>
                      <w:sz w:val="16"/>
                      <w:szCs w:val="16"/>
                      <w:vertAlign w:val="superscript"/>
                      <w:lang w:val="en-US"/>
                    </w:rPr>
                    <w:t>‡</w:t>
                  </w:r>
                </w:p>
              </w:tc>
            </w:tr>
            <w:tr w:rsidR="00F218F2" w:rsidRPr="00F218F2" w14:paraId="359F87A3" w14:textId="77777777" w:rsidTr="00D82D86">
              <w:tc>
                <w:tcPr>
                  <w:tcW w:w="2467" w:type="dxa"/>
                </w:tcPr>
                <w:p w14:paraId="359F879F" w14:textId="77777777" w:rsidR="00F218F2" w:rsidRPr="00F218F2" w:rsidRDefault="00F218F2" w:rsidP="00D82D86">
                  <w:pPr>
                    <w:rPr>
                      <w:sz w:val="16"/>
                      <w:szCs w:val="16"/>
                      <w:lang w:val="en-US"/>
                    </w:rPr>
                  </w:pPr>
                  <w:bookmarkStart w:id="1" w:name="Table21"/>
                </w:p>
              </w:tc>
              <w:tc>
                <w:tcPr>
                  <w:tcW w:w="1985" w:type="dxa"/>
                  <w:vAlign w:val="center"/>
                </w:tcPr>
                <w:p w14:paraId="359F87A0" w14:textId="77777777" w:rsidR="00F218F2" w:rsidRPr="00F218F2" w:rsidRDefault="00F218F2" w:rsidP="00D82D86">
                  <w:pPr>
                    <w:jc w:val="center"/>
                    <w:rPr>
                      <w:sz w:val="16"/>
                      <w:szCs w:val="16"/>
                      <w:lang w:val="en-US"/>
                    </w:rPr>
                  </w:pPr>
                  <w:r w:rsidRPr="00F218F2">
                    <w:rPr>
                      <w:sz w:val="16"/>
                      <w:szCs w:val="16"/>
                      <w:lang w:val="en-US"/>
                    </w:rPr>
                    <w:t>unadjusted</w:t>
                  </w:r>
                </w:p>
              </w:tc>
              <w:tc>
                <w:tcPr>
                  <w:tcW w:w="2693" w:type="dxa"/>
                  <w:vAlign w:val="center"/>
                </w:tcPr>
                <w:p w14:paraId="359F87A1" w14:textId="77777777" w:rsidR="00F218F2" w:rsidRPr="00F218F2" w:rsidRDefault="00F218F2" w:rsidP="00D82D86">
                  <w:pPr>
                    <w:jc w:val="center"/>
                    <w:rPr>
                      <w:sz w:val="16"/>
                      <w:szCs w:val="16"/>
                      <w:vertAlign w:val="superscript"/>
                      <w:lang w:val="en-US"/>
                    </w:rPr>
                  </w:pPr>
                  <w:r w:rsidRPr="00F218F2">
                    <w:rPr>
                      <w:sz w:val="16"/>
                      <w:szCs w:val="16"/>
                      <w:lang w:val="en-US"/>
                    </w:rPr>
                    <w:t>confounder adjusted</w:t>
                  </w:r>
                  <w:r w:rsidRPr="00F218F2">
                    <w:rPr>
                      <w:rFonts w:cs="Arial"/>
                      <w:sz w:val="16"/>
                      <w:szCs w:val="16"/>
                      <w:vertAlign w:val="superscript"/>
                      <w:lang w:val="en-US"/>
                    </w:rPr>
                    <w:t>†</w:t>
                  </w:r>
                </w:p>
              </w:tc>
              <w:tc>
                <w:tcPr>
                  <w:tcW w:w="2503" w:type="dxa"/>
                  <w:vAlign w:val="center"/>
                </w:tcPr>
                <w:p w14:paraId="359F87A2" w14:textId="77777777" w:rsidR="00F218F2" w:rsidRPr="00F218F2" w:rsidRDefault="00F218F2" w:rsidP="00D82D86">
                  <w:pPr>
                    <w:jc w:val="center"/>
                    <w:rPr>
                      <w:sz w:val="16"/>
                      <w:szCs w:val="16"/>
                      <w:lang w:val="en-US"/>
                    </w:rPr>
                  </w:pPr>
                  <w:r w:rsidRPr="00F218F2">
                    <w:rPr>
                      <w:sz w:val="16"/>
                      <w:szCs w:val="16"/>
                      <w:lang w:val="en-US"/>
                    </w:rPr>
                    <w:t>confounder adjusted</w:t>
                  </w:r>
                  <w:r w:rsidRPr="00F218F2">
                    <w:rPr>
                      <w:rFonts w:cs="Arial"/>
                      <w:sz w:val="16"/>
                      <w:szCs w:val="16"/>
                      <w:vertAlign w:val="superscript"/>
                      <w:lang w:val="en-US"/>
                    </w:rPr>
                    <w:t>†</w:t>
                  </w:r>
                  <w:r w:rsidRPr="00F218F2">
                    <w:rPr>
                      <w:sz w:val="16"/>
                      <w:szCs w:val="16"/>
                      <w:lang w:val="en-US"/>
                    </w:rPr>
                    <w:t xml:space="preserve"> </w:t>
                  </w:r>
                </w:p>
              </w:tc>
            </w:tr>
            <w:tr w:rsidR="00F218F2" w:rsidRPr="00F218F2" w14:paraId="359F87A8" w14:textId="77777777" w:rsidTr="00D82D86">
              <w:tc>
                <w:tcPr>
                  <w:tcW w:w="2467" w:type="dxa"/>
                  <w:vAlign w:val="center"/>
                </w:tcPr>
                <w:p w14:paraId="359F87A4" w14:textId="77777777" w:rsidR="00F218F2" w:rsidRPr="00F218F2" w:rsidRDefault="00F218F2" w:rsidP="00D82D86">
                  <w:pPr>
                    <w:rPr>
                      <w:sz w:val="16"/>
                      <w:szCs w:val="16"/>
                      <w:lang w:val="en-US"/>
                    </w:rPr>
                  </w:pPr>
                  <w:r w:rsidRPr="00F218F2">
                    <w:rPr>
                      <w:sz w:val="16"/>
                      <w:szCs w:val="16"/>
                      <w:lang w:val="en-US"/>
                    </w:rPr>
                    <w:t>Directive study</w:t>
                  </w:r>
                </w:p>
              </w:tc>
              <w:tc>
                <w:tcPr>
                  <w:tcW w:w="1985" w:type="dxa"/>
                  <w:vAlign w:val="center"/>
                </w:tcPr>
                <w:p w14:paraId="359F87A5" w14:textId="77777777" w:rsidR="00F218F2" w:rsidRPr="00F218F2" w:rsidRDefault="00F218F2" w:rsidP="00D82D86">
                  <w:pPr>
                    <w:jc w:val="center"/>
                    <w:rPr>
                      <w:sz w:val="16"/>
                      <w:szCs w:val="16"/>
                    </w:rPr>
                  </w:pPr>
                  <w:r w:rsidRPr="00F218F2">
                    <w:rPr>
                      <w:sz w:val="16"/>
                      <w:szCs w:val="16"/>
                    </w:rPr>
                    <w:t>0.01 (-0.06 - 0.09)</w:t>
                  </w:r>
                </w:p>
              </w:tc>
              <w:tc>
                <w:tcPr>
                  <w:tcW w:w="2693" w:type="dxa"/>
                  <w:vAlign w:val="center"/>
                </w:tcPr>
                <w:p w14:paraId="359F87A6" w14:textId="77777777" w:rsidR="00F218F2" w:rsidRPr="00F218F2" w:rsidRDefault="00F218F2" w:rsidP="00D82D86">
                  <w:pPr>
                    <w:jc w:val="center"/>
                    <w:rPr>
                      <w:sz w:val="16"/>
                      <w:szCs w:val="16"/>
                    </w:rPr>
                  </w:pPr>
                  <w:r w:rsidRPr="00F218F2">
                    <w:rPr>
                      <w:sz w:val="16"/>
                      <w:szCs w:val="16"/>
                    </w:rPr>
                    <w:t>0.04 (-0.06 - 0.14)</w:t>
                  </w:r>
                </w:p>
              </w:tc>
              <w:tc>
                <w:tcPr>
                  <w:tcW w:w="2503" w:type="dxa"/>
                  <w:vAlign w:val="center"/>
                </w:tcPr>
                <w:p w14:paraId="359F87A7" w14:textId="77777777" w:rsidR="00F218F2" w:rsidRPr="00F218F2" w:rsidRDefault="00F218F2" w:rsidP="00D82D86">
                  <w:pPr>
                    <w:jc w:val="center"/>
                    <w:rPr>
                      <w:sz w:val="16"/>
                      <w:szCs w:val="16"/>
                    </w:rPr>
                  </w:pPr>
                  <w:r w:rsidRPr="00F218F2">
                    <w:rPr>
                      <w:sz w:val="16"/>
                      <w:szCs w:val="16"/>
                    </w:rPr>
                    <w:t>0.02 (-0.05 - 0.10)</w:t>
                  </w:r>
                </w:p>
              </w:tc>
            </w:tr>
            <w:tr w:rsidR="00F218F2" w:rsidRPr="00F218F2" w14:paraId="359F87AD" w14:textId="77777777" w:rsidTr="00D82D86">
              <w:tc>
                <w:tcPr>
                  <w:tcW w:w="2467" w:type="dxa"/>
                  <w:vAlign w:val="center"/>
                </w:tcPr>
                <w:p w14:paraId="359F87A9" w14:textId="77777777" w:rsidR="00F218F2" w:rsidRPr="00F218F2" w:rsidRDefault="00F218F2" w:rsidP="00D82D86">
                  <w:pPr>
                    <w:rPr>
                      <w:sz w:val="16"/>
                      <w:szCs w:val="16"/>
                      <w:lang w:val="en-US"/>
                    </w:rPr>
                  </w:pPr>
                  <w:r w:rsidRPr="00F218F2">
                    <w:rPr>
                      <w:sz w:val="16"/>
                      <w:szCs w:val="16"/>
                      <w:lang w:val="en-US"/>
                    </w:rPr>
                    <w:t>Intervention group</w:t>
                  </w:r>
                </w:p>
              </w:tc>
              <w:tc>
                <w:tcPr>
                  <w:tcW w:w="1985" w:type="dxa"/>
                  <w:vAlign w:val="center"/>
                </w:tcPr>
                <w:p w14:paraId="359F87AA" w14:textId="77777777" w:rsidR="00F218F2" w:rsidRPr="00F218F2" w:rsidRDefault="00F218F2" w:rsidP="00D82D86">
                  <w:pPr>
                    <w:jc w:val="center"/>
                    <w:rPr>
                      <w:sz w:val="16"/>
                      <w:szCs w:val="16"/>
                    </w:rPr>
                  </w:pPr>
                  <w:r w:rsidRPr="00F218F2">
                    <w:rPr>
                      <w:sz w:val="16"/>
                      <w:szCs w:val="16"/>
                    </w:rPr>
                    <w:t>0.04 (-0.03 - 0.10)</w:t>
                  </w:r>
                </w:p>
              </w:tc>
              <w:tc>
                <w:tcPr>
                  <w:tcW w:w="2693" w:type="dxa"/>
                  <w:vAlign w:val="center"/>
                </w:tcPr>
                <w:p w14:paraId="359F87AB" w14:textId="77777777" w:rsidR="00F218F2" w:rsidRPr="00F218F2" w:rsidRDefault="00F218F2" w:rsidP="00D82D86">
                  <w:pPr>
                    <w:jc w:val="center"/>
                    <w:rPr>
                      <w:sz w:val="16"/>
                      <w:szCs w:val="16"/>
                    </w:rPr>
                  </w:pPr>
                  <w:r w:rsidRPr="00F218F2">
                    <w:rPr>
                      <w:sz w:val="16"/>
                      <w:szCs w:val="16"/>
                    </w:rPr>
                    <w:t>0.03 (-0.05 - 0.10)</w:t>
                  </w:r>
                </w:p>
              </w:tc>
              <w:tc>
                <w:tcPr>
                  <w:tcW w:w="2503" w:type="dxa"/>
                  <w:vAlign w:val="center"/>
                </w:tcPr>
                <w:p w14:paraId="359F87AC" w14:textId="77777777" w:rsidR="00F218F2" w:rsidRPr="00F218F2" w:rsidRDefault="00F218F2" w:rsidP="00D82D86">
                  <w:pPr>
                    <w:jc w:val="center"/>
                    <w:rPr>
                      <w:sz w:val="16"/>
                      <w:szCs w:val="16"/>
                    </w:rPr>
                  </w:pPr>
                  <w:r w:rsidRPr="00F218F2">
                    <w:rPr>
                      <w:sz w:val="16"/>
                      <w:szCs w:val="16"/>
                    </w:rPr>
                    <w:t>0.02 (-0.04 - 0.09)</w:t>
                  </w:r>
                </w:p>
              </w:tc>
            </w:tr>
            <w:tr w:rsidR="00F218F2" w:rsidRPr="00F218F2" w14:paraId="359F87B2" w14:textId="77777777" w:rsidTr="00D82D86">
              <w:tc>
                <w:tcPr>
                  <w:tcW w:w="2467" w:type="dxa"/>
                  <w:vAlign w:val="center"/>
                </w:tcPr>
                <w:p w14:paraId="359F87AE" w14:textId="77777777" w:rsidR="00F218F2" w:rsidRPr="00F218F2" w:rsidRDefault="00F218F2" w:rsidP="00D82D86">
                  <w:pPr>
                    <w:rPr>
                      <w:sz w:val="16"/>
                      <w:szCs w:val="16"/>
                      <w:lang w:val="en-US"/>
                    </w:rPr>
                  </w:pPr>
                  <w:r w:rsidRPr="00F218F2">
                    <w:rPr>
                      <w:sz w:val="16"/>
                      <w:szCs w:val="16"/>
                      <w:lang w:val="en-US"/>
                    </w:rPr>
                    <w:t>Recommendation categories</w:t>
                  </w:r>
                  <w:r w:rsidRPr="00F218F2">
                    <w:rPr>
                      <w:rFonts w:cs="Arial"/>
                      <w:sz w:val="16"/>
                      <w:szCs w:val="16"/>
                      <w:vertAlign w:val="superscript"/>
                      <w:lang w:val="en-US"/>
                    </w:rPr>
                    <w:t>§</w:t>
                  </w:r>
                </w:p>
              </w:tc>
              <w:tc>
                <w:tcPr>
                  <w:tcW w:w="1985" w:type="dxa"/>
                  <w:vAlign w:val="center"/>
                </w:tcPr>
                <w:p w14:paraId="359F87AF" w14:textId="77777777" w:rsidR="00F218F2" w:rsidRPr="00F218F2" w:rsidRDefault="00F218F2" w:rsidP="00D82D86">
                  <w:pPr>
                    <w:jc w:val="center"/>
                    <w:rPr>
                      <w:b/>
                      <w:sz w:val="16"/>
                      <w:szCs w:val="16"/>
                    </w:rPr>
                  </w:pPr>
                  <w:r w:rsidRPr="00F218F2">
                    <w:rPr>
                      <w:b/>
                      <w:sz w:val="16"/>
                      <w:szCs w:val="16"/>
                    </w:rPr>
                    <w:t>0.08 (0.06 - 0.10)</w:t>
                  </w:r>
                </w:p>
              </w:tc>
              <w:tc>
                <w:tcPr>
                  <w:tcW w:w="2693" w:type="dxa"/>
                  <w:vAlign w:val="center"/>
                </w:tcPr>
                <w:p w14:paraId="359F87B0" w14:textId="77777777" w:rsidR="00F218F2" w:rsidRPr="00F218F2" w:rsidRDefault="00F218F2" w:rsidP="00D82D86">
                  <w:pPr>
                    <w:jc w:val="center"/>
                    <w:rPr>
                      <w:b/>
                      <w:sz w:val="16"/>
                      <w:szCs w:val="16"/>
                    </w:rPr>
                  </w:pPr>
                  <w:r w:rsidRPr="00F218F2">
                    <w:rPr>
                      <w:b/>
                      <w:sz w:val="16"/>
                      <w:szCs w:val="16"/>
                    </w:rPr>
                    <w:t>-0.07 (-0.11 - -0.03)</w:t>
                  </w:r>
                </w:p>
              </w:tc>
              <w:tc>
                <w:tcPr>
                  <w:tcW w:w="2503" w:type="dxa"/>
                  <w:vAlign w:val="center"/>
                </w:tcPr>
                <w:p w14:paraId="359F87B1" w14:textId="77777777" w:rsidR="00F218F2" w:rsidRPr="00F218F2" w:rsidRDefault="00F218F2" w:rsidP="00D82D86">
                  <w:pPr>
                    <w:jc w:val="center"/>
                    <w:rPr>
                      <w:b/>
                      <w:sz w:val="16"/>
                      <w:szCs w:val="16"/>
                    </w:rPr>
                  </w:pPr>
                  <w:r w:rsidRPr="00F218F2">
                    <w:rPr>
                      <w:b/>
                      <w:sz w:val="16"/>
                      <w:szCs w:val="16"/>
                    </w:rPr>
                    <w:t>-0.06 (-0.09 - -0.02)</w:t>
                  </w:r>
                </w:p>
              </w:tc>
            </w:tr>
            <w:tr w:rsidR="00F218F2" w:rsidRPr="00F218F2" w14:paraId="359F87B7" w14:textId="77777777" w:rsidTr="00D82D86">
              <w:tc>
                <w:tcPr>
                  <w:tcW w:w="2467" w:type="dxa"/>
                  <w:vAlign w:val="center"/>
                </w:tcPr>
                <w:p w14:paraId="359F87B3" w14:textId="77777777" w:rsidR="00F218F2" w:rsidRPr="00F218F2" w:rsidRDefault="00F218F2" w:rsidP="00D82D86">
                  <w:pPr>
                    <w:rPr>
                      <w:sz w:val="16"/>
                      <w:szCs w:val="16"/>
                      <w:lang w:val="en-US"/>
                    </w:rPr>
                  </w:pPr>
                  <w:r w:rsidRPr="00F218F2">
                    <w:rPr>
                      <w:sz w:val="16"/>
                      <w:szCs w:val="16"/>
                      <w:lang w:val="en-US"/>
                    </w:rPr>
                    <w:t>Interaction: directive study * intervention group</w:t>
                  </w:r>
                </w:p>
              </w:tc>
              <w:tc>
                <w:tcPr>
                  <w:tcW w:w="1985" w:type="dxa"/>
                  <w:vAlign w:val="center"/>
                </w:tcPr>
                <w:p w14:paraId="359F87B4" w14:textId="77777777" w:rsidR="00F218F2" w:rsidRPr="00F218F2" w:rsidRDefault="00F218F2" w:rsidP="00D82D86">
                  <w:pPr>
                    <w:jc w:val="center"/>
                    <w:rPr>
                      <w:sz w:val="16"/>
                      <w:szCs w:val="16"/>
                    </w:rPr>
                  </w:pPr>
                  <w:r w:rsidRPr="00F218F2">
                    <w:rPr>
                      <w:sz w:val="16"/>
                      <w:szCs w:val="16"/>
                    </w:rPr>
                    <w:t>0.03 (-0.10 - 0.16)</w:t>
                  </w:r>
                </w:p>
              </w:tc>
              <w:tc>
                <w:tcPr>
                  <w:tcW w:w="2693" w:type="dxa"/>
                  <w:vAlign w:val="center"/>
                </w:tcPr>
                <w:p w14:paraId="359F87B5" w14:textId="77777777" w:rsidR="00F218F2" w:rsidRPr="00F218F2" w:rsidRDefault="00F218F2" w:rsidP="00D82D86">
                  <w:pPr>
                    <w:jc w:val="center"/>
                    <w:rPr>
                      <w:sz w:val="16"/>
                      <w:szCs w:val="16"/>
                    </w:rPr>
                  </w:pPr>
                  <w:r w:rsidRPr="00F218F2">
                    <w:rPr>
                      <w:sz w:val="16"/>
                      <w:szCs w:val="16"/>
                    </w:rPr>
                    <w:t>0.05 (-0.11 - 0.20)</w:t>
                  </w:r>
                </w:p>
              </w:tc>
              <w:tc>
                <w:tcPr>
                  <w:tcW w:w="2503" w:type="dxa"/>
                  <w:vAlign w:val="center"/>
                </w:tcPr>
                <w:p w14:paraId="359F87B6" w14:textId="77777777" w:rsidR="00F218F2" w:rsidRPr="00F218F2" w:rsidRDefault="00F218F2" w:rsidP="00D82D86">
                  <w:pPr>
                    <w:jc w:val="center"/>
                    <w:rPr>
                      <w:sz w:val="16"/>
                      <w:szCs w:val="16"/>
                    </w:rPr>
                  </w:pPr>
                  <w:r w:rsidRPr="00F218F2">
                    <w:rPr>
                      <w:sz w:val="16"/>
                      <w:szCs w:val="16"/>
                    </w:rPr>
                    <w:t>0.04 (-0.09 - 0.16)</w:t>
                  </w:r>
                </w:p>
              </w:tc>
            </w:tr>
            <w:tr w:rsidR="00F218F2" w:rsidRPr="00F218F2" w14:paraId="359F87BC" w14:textId="77777777" w:rsidTr="00D82D86">
              <w:tc>
                <w:tcPr>
                  <w:tcW w:w="2467" w:type="dxa"/>
                  <w:vAlign w:val="center"/>
                </w:tcPr>
                <w:p w14:paraId="359F87B8" w14:textId="77777777" w:rsidR="00F218F2" w:rsidRPr="00F218F2" w:rsidRDefault="00F218F2" w:rsidP="00D82D86">
                  <w:pPr>
                    <w:rPr>
                      <w:sz w:val="16"/>
                      <w:szCs w:val="16"/>
                      <w:lang w:val="en-US"/>
                    </w:rPr>
                  </w:pPr>
                  <w:r w:rsidRPr="00F218F2">
                    <w:rPr>
                      <w:sz w:val="16"/>
                      <w:szCs w:val="16"/>
                      <w:lang w:val="en-US"/>
                    </w:rPr>
                    <w:t>Interaction: directive study * categories</w:t>
                  </w:r>
                  <w:r w:rsidRPr="00F218F2">
                    <w:rPr>
                      <w:rFonts w:cs="Arial"/>
                      <w:sz w:val="16"/>
                      <w:szCs w:val="16"/>
                      <w:vertAlign w:val="superscript"/>
                      <w:lang w:val="en-US"/>
                    </w:rPr>
                    <w:t xml:space="preserve"> §</w:t>
                  </w:r>
                </w:p>
              </w:tc>
              <w:tc>
                <w:tcPr>
                  <w:tcW w:w="1985" w:type="dxa"/>
                  <w:vAlign w:val="center"/>
                </w:tcPr>
                <w:p w14:paraId="359F87B9" w14:textId="77777777" w:rsidR="00F218F2" w:rsidRPr="00F218F2" w:rsidRDefault="00F218F2" w:rsidP="00D82D86">
                  <w:pPr>
                    <w:jc w:val="center"/>
                    <w:rPr>
                      <w:b/>
                      <w:sz w:val="16"/>
                      <w:szCs w:val="16"/>
                    </w:rPr>
                  </w:pPr>
                  <w:r w:rsidRPr="00F218F2">
                    <w:rPr>
                      <w:b/>
                      <w:sz w:val="16"/>
                      <w:szCs w:val="16"/>
                    </w:rPr>
                    <w:t>0.11 (0.06 - 0.15)</w:t>
                  </w:r>
                </w:p>
              </w:tc>
              <w:tc>
                <w:tcPr>
                  <w:tcW w:w="2693" w:type="dxa"/>
                  <w:vAlign w:val="center"/>
                </w:tcPr>
                <w:p w14:paraId="359F87BA" w14:textId="77777777" w:rsidR="00F218F2" w:rsidRPr="00F218F2" w:rsidRDefault="00F218F2" w:rsidP="00D82D86">
                  <w:pPr>
                    <w:jc w:val="center"/>
                    <w:rPr>
                      <w:b/>
                      <w:sz w:val="16"/>
                      <w:szCs w:val="16"/>
                    </w:rPr>
                  </w:pPr>
                  <w:r w:rsidRPr="00F218F2">
                    <w:rPr>
                      <w:b/>
                      <w:sz w:val="16"/>
                      <w:szCs w:val="16"/>
                    </w:rPr>
                    <w:t>0.09 (0.03 - 0.14)</w:t>
                  </w:r>
                </w:p>
              </w:tc>
              <w:tc>
                <w:tcPr>
                  <w:tcW w:w="2503" w:type="dxa"/>
                  <w:vAlign w:val="center"/>
                </w:tcPr>
                <w:p w14:paraId="359F87BB" w14:textId="77777777" w:rsidR="00F218F2" w:rsidRPr="00F218F2" w:rsidRDefault="00F218F2" w:rsidP="00D82D86">
                  <w:pPr>
                    <w:jc w:val="center"/>
                    <w:rPr>
                      <w:b/>
                      <w:sz w:val="16"/>
                      <w:szCs w:val="16"/>
                    </w:rPr>
                  </w:pPr>
                  <w:r w:rsidRPr="00F218F2">
                    <w:rPr>
                      <w:b/>
                      <w:sz w:val="16"/>
                      <w:szCs w:val="16"/>
                    </w:rPr>
                    <w:t>0.10 (0.06 - 0.15)</w:t>
                  </w:r>
                </w:p>
              </w:tc>
            </w:tr>
            <w:tr w:rsidR="00F218F2" w:rsidRPr="00F218F2" w14:paraId="359F87C1" w14:textId="77777777" w:rsidTr="00D82D86">
              <w:tc>
                <w:tcPr>
                  <w:tcW w:w="2467" w:type="dxa"/>
                  <w:vAlign w:val="center"/>
                </w:tcPr>
                <w:p w14:paraId="359F87BD" w14:textId="77777777" w:rsidR="00F218F2" w:rsidRPr="00F218F2" w:rsidRDefault="00F218F2" w:rsidP="00D82D86">
                  <w:pPr>
                    <w:rPr>
                      <w:sz w:val="16"/>
                      <w:szCs w:val="16"/>
                      <w:lang w:val="en-US"/>
                    </w:rPr>
                  </w:pPr>
                  <w:r w:rsidRPr="00F218F2">
                    <w:rPr>
                      <w:sz w:val="16"/>
                      <w:szCs w:val="16"/>
                      <w:lang w:val="en-US"/>
                    </w:rPr>
                    <w:t>Interaction: intervention group * categories</w:t>
                  </w:r>
                  <w:r w:rsidRPr="00F218F2">
                    <w:rPr>
                      <w:rFonts w:cs="Arial"/>
                      <w:sz w:val="16"/>
                      <w:szCs w:val="16"/>
                      <w:vertAlign w:val="superscript"/>
                      <w:lang w:val="en-US"/>
                    </w:rPr>
                    <w:t xml:space="preserve"> §</w:t>
                  </w:r>
                </w:p>
              </w:tc>
              <w:tc>
                <w:tcPr>
                  <w:tcW w:w="1985" w:type="dxa"/>
                  <w:vAlign w:val="center"/>
                </w:tcPr>
                <w:p w14:paraId="359F87BE" w14:textId="77777777" w:rsidR="00F218F2" w:rsidRPr="00F218F2" w:rsidRDefault="00F218F2" w:rsidP="00D82D86">
                  <w:pPr>
                    <w:jc w:val="center"/>
                    <w:rPr>
                      <w:b/>
                      <w:sz w:val="16"/>
                      <w:szCs w:val="16"/>
                    </w:rPr>
                  </w:pPr>
                  <w:r w:rsidRPr="00F218F2">
                    <w:rPr>
                      <w:b/>
                      <w:sz w:val="16"/>
                      <w:szCs w:val="16"/>
                    </w:rPr>
                    <w:t>0.15 (0.13 - 0.18)</w:t>
                  </w:r>
                </w:p>
              </w:tc>
              <w:tc>
                <w:tcPr>
                  <w:tcW w:w="2693" w:type="dxa"/>
                  <w:vAlign w:val="center"/>
                </w:tcPr>
                <w:p w14:paraId="359F87BF" w14:textId="77777777" w:rsidR="00F218F2" w:rsidRPr="00F218F2" w:rsidRDefault="00F218F2" w:rsidP="00D82D86">
                  <w:pPr>
                    <w:jc w:val="center"/>
                    <w:rPr>
                      <w:b/>
                      <w:sz w:val="16"/>
                      <w:szCs w:val="16"/>
                    </w:rPr>
                  </w:pPr>
                  <w:r w:rsidRPr="00F218F2">
                    <w:rPr>
                      <w:b/>
                      <w:sz w:val="16"/>
                      <w:szCs w:val="16"/>
                    </w:rPr>
                    <w:t>0.15 (0.12 - 0.19)</w:t>
                  </w:r>
                </w:p>
              </w:tc>
              <w:tc>
                <w:tcPr>
                  <w:tcW w:w="2503" w:type="dxa"/>
                  <w:vAlign w:val="center"/>
                </w:tcPr>
                <w:p w14:paraId="359F87C0" w14:textId="77777777" w:rsidR="00F218F2" w:rsidRPr="00F218F2" w:rsidRDefault="00F218F2" w:rsidP="00D82D86">
                  <w:pPr>
                    <w:jc w:val="center"/>
                    <w:rPr>
                      <w:b/>
                      <w:sz w:val="16"/>
                      <w:szCs w:val="16"/>
                    </w:rPr>
                  </w:pPr>
                  <w:r w:rsidRPr="00F218F2">
                    <w:rPr>
                      <w:b/>
                      <w:sz w:val="16"/>
                      <w:szCs w:val="16"/>
                    </w:rPr>
                    <w:t>0.15 (0.13 - 0.18)</w:t>
                  </w:r>
                </w:p>
              </w:tc>
            </w:tr>
            <w:tr w:rsidR="00F218F2" w:rsidRPr="00F218F2" w14:paraId="359F87C6" w14:textId="77777777" w:rsidTr="00D82D86">
              <w:tc>
                <w:tcPr>
                  <w:tcW w:w="2467" w:type="dxa"/>
                  <w:vAlign w:val="center"/>
                </w:tcPr>
                <w:p w14:paraId="359F87C2" w14:textId="77777777" w:rsidR="00F218F2" w:rsidRPr="00F218F2" w:rsidRDefault="00F218F2" w:rsidP="00D82D86">
                  <w:pPr>
                    <w:rPr>
                      <w:sz w:val="16"/>
                      <w:szCs w:val="16"/>
                      <w:lang w:val="en-US"/>
                    </w:rPr>
                  </w:pPr>
                  <w:r w:rsidRPr="00F218F2">
                    <w:rPr>
                      <w:sz w:val="16"/>
                      <w:szCs w:val="16"/>
                      <w:lang w:val="en-US"/>
                    </w:rPr>
                    <w:t>Interaction: directive study * intervention group * categories</w:t>
                  </w:r>
                  <w:r w:rsidRPr="00F218F2">
                    <w:rPr>
                      <w:rFonts w:cs="Arial"/>
                      <w:sz w:val="16"/>
                      <w:szCs w:val="16"/>
                      <w:vertAlign w:val="superscript"/>
                      <w:lang w:val="en-US"/>
                    </w:rPr>
                    <w:t xml:space="preserve"> §</w:t>
                  </w:r>
                </w:p>
              </w:tc>
              <w:tc>
                <w:tcPr>
                  <w:tcW w:w="1985" w:type="dxa"/>
                  <w:vAlign w:val="center"/>
                </w:tcPr>
                <w:p w14:paraId="359F87C3" w14:textId="77777777" w:rsidR="00F218F2" w:rsidRPr="00F218F2" w:rsidRDefault="00F218F2" w:rsidP="00D82D86">
                  <w:pPr>
                    <w:jc w:val="center"/>
                    <w:rPr>
                      <w:b/>
                      <w:sz w:val="16"/>
                      <w:szCs w:val="16"/>
                    </w:rPr>
                  </w:pPr>
                  <w:r w:rsidRPr="00F218F2">
                    <w:rPr>
                      <w:b/>
                      <w:sz w:val="16"/>
                      <w:szCs w:val="16"/>
                    </w:rPr>
                    <w:t>0.31 (0.23 - 0.39)</w:t>
                  </w:r>
                </w:p>
              </w:tc>
              <w:tc>
                <w:tcPr>
                  <w:tcW w:w="2693" w:type="dxa"/>
                  <w:vAlign w:val="center"/>
                </w:tcPr>
                <w:p w14:paraId="359F87C4" w14:textId="77777777" w:rsidR="00F218F2" w:rsidRPr="00F218F2" w:rsidRDefault="00F218F2" w:rsidP="00D82D86">
                  <w:pPr>
                    <w:jc w:val="center"/>
                    <w:rPr>
                      <w:b/>
                      <w:sz w:val="16"/>
                      <w:szCs w:val="16"/>
                    </w:rPr>
                  </w:pPr>
                  <w:r w:rsidRPr="00F218F2">
                    <w:rPr>
                      <w:b/>
                      <w:sz w:val="16"/>
                      <w:szCs w:val="16"/>
                    </w:rPr>
                    <w:t>0.32 (0.23 - 0.41)</w:t>
                  </w:r>
                </w:p>
              </w:tc>
              <w:tc>
                <w:tcPr>
                  <w:tcW w:w="2503" w:type="dxa"/>
                  <w:vAlign w:val="center"/>
                </w:tcPr>
                <w:p w14:paraId="359F87C5" w14:textId="77777777" w:rsidR="00F218F2" w:rsidRPr="00F218F2" w:rsidRDefault="00F218F2" w:rsidP="00D82D86">
                  <w:pPr>
                    <w:jc w:val="center"/>
                    <w:rPr>
                      <w:b/>
                      <w:sz w:val="16"/>
                      <w:szCs w:val="16"/>
                    </w:rPr>
                  </w:pPr>
                  <w:r w:rsidRPr="00F218F2">
                    <w:rPr>
                      <w:b/>
                      <w:sz w:val="16"/>
                      <w:szCs w:val="16"/>
                    </w:rPr>
                    <w:t>0.32 (0.25 - 0.40)</w:t>
                  </w:r>
                </w:p>
              </w:tc>
            </w:tr>
            <w:tr w:rsidR="00F218F2" w:rsidRPr="00B71E75" w14:paraId="359F87C8" w14:textId="77777777" w:rsidTr="00D82D86">
              <w:tc>
                <w:tcPr>
                  <w:tcW w:w="9648" w:type="dxa"/>
                  <w:gridSpan w:val="4"/>
                  <w:vAlign w:val="center"/>
                </w:tcPr>
                <w:p w14:paraId="359F87C7" w14:textId="77777777" w:rsidR="00F218F2" w:rsidRPr="00F218F2" w:rsidRDefault="00F218F2" w:rsidP="00D82D86">
                  <w:pPr>
                    <w:rPr>
                      <w:sz w:val="16"/>
                      <w:szCs w:val="16"/>
                      <w:lang w:val="en-US"/>
                    </w:rPr>
                  </w:pPr>
                  <w:r w:rsidRPr="00F218F2">
                    <w:rPr>
                      <w:sz w:val="16"/>
                      <w:szCs w:val="16"/>
                      <w:lang w:val="en-US"/>
                    </w:rPr>
                    <w:t xml:space="preserve">Numbers represent regression coefficients with 95% confidence intervals. </w:t>
                  </w:r>
                </w:p>
              </w:tc>
            </w:tr>
            <w:tr w:rsidR="00F218F2" w:rsidRPr="00B71E75" w14:paraId="359F87CB" w14:textId="77777777" w:rsidTr="00D82D86">
              <w:tc>
                <w:tcPr>
                  <w:tcW w:w="9648" w:type="dxa"/>
                  <w:gridSpan w:val="4"/>
                  <w:vAlign w:val="center"/>
                </w:tcPr>
                <w:p w14:paraId="359F87C9" w14:textId="77777777" w:rsidR="00F218F2" w:rsidRPr="00F218F2" w:rsidRDefault="00F218F2" w:rsidP="00D82D86">
                  <w:pPr>
                    <w:rPr>
                      <w:rFonts w:eastAsia="Arial"/>
                      <w:sz w:val="16"/>
                      <w:szCs w:val="16"/>
                      <w:lang w:val="en-US"/>
                    </w:rPr>
                  </w:pPr>
                  <w:r w:rsidRPr="00F218F2">
                    <w:rPr>
                      <w:rFonts w:eastAsia="Arial"/>
                      <w:sz w:val="16"/>
                      <w:szCs w:val="16"/>
                      <w:lang w:val="en-US"/>
                    </w:rPr>
                    <w:t>Bold numbers are statistically significant regression coefficients.</w:t>
                  </w:r>
                </w:p>
                <w:p w14:paraId="359F87CA" w14:textId="77777777" w:rsidR="00F218F2" w:rsidRPr="00F218F2" w:rsidRDefault="00F218F2" w:rsidP="00D82D86">
                  <w:pPr>
                    <w:rPr>
                      <w:rFonts w:eastAsia="Arial"/>
                      <w:sz w:val="16"/>
                      <w:szCs w:val="16"/>
                      <w:lang w:val="en-US"/>
                    </w:rPr>
                  </w:pPr>
                  <w:r w:rsidRPr="00F218F2">
                    <w:rPr>
                      <w:rFonts w:eastAsia="Arial"/>
                      <w:sz w:val="16"/>
                      <w:szCs w:val="16"/>
                      <w:lang w:val="en-US"/>
                    </w:rPr>
                    <w:t>No unadjusted model is presented for multiple imputation as variables within the models were not missing.</w:t>
                  </w:r>
                </w:p>
              </w:tc>
            </w:tr>
            <w:tr w:rsidR="00F218F2" w:rsidRPr="00B71E75" w14:paraId="359F87CD" w14:textId="77777777" w:rsidTr="00D82D86">
              <w:tc>
                <w:tcPr>
                  <w:tcW w:w="9648" w:type="dxa"/>
                  <w:gridSpan w:val="4"/>
                  <w:vAlign w:val="center"/>
                </w:tcPr>
                <w:p w14:paraId="359F87CC" w14:textId="77777777" w:rsidR="00F218F2" w:rsidRPr="00F218F2" w:rsidRDefault="00F218F2" w:rsidP="00D82D86">
                  <w:pPr>
                    <w:rPr>
                      <w:sz w:val="16"/>
                      <w:szCs w:val="16"/>
                      <w:lang w:val="en-US"/>
                    </w:rPr>
                  </w:pPr>
                  <w:r w:rsidRPr="00F218F2">
                    <w:rPr>
                      <w:rFonts w:eastAsia="Arial"/>
                      <w:sz w:val="16"/>
                      <w:szCs w:val="16"/>
                      <w:lang w:val="en-US"/>
                    </w:rPr>
                    <w:t>*</w:t>
                  </w:r>
                  <w:r w:rsidRPr="00F218F2">
                    <w:rPr>
                      <w:sz w:val="16"/>
                      <w:szCs w:val="16"/>
                      <w:lang w:val="en-US"/>
                    </w:rPr>
                    <w:t xml:space="preserve"> Cases with missing variables were discarded</w:t>
                  </w:r>
                </w:p>
              </w:tc>
            </w:tr>
            <w:tr w:rsidR="00F218F2" w:rsidRPr="00B71E75" w14:paraId="359F87CF" w14:textId="77777777" w:rsidTr="00D82D86">
              <w:tc>
                <w:tcPr>
                  <w:tcW w:w="9648" w:type="dxa"/>
                  <w:gridSpan w:val="4"/>
                  <w:vAlign w:val="center"/>
                </w:tcPr>
                <w:p w14:paraId="359F87CE" w14:textId="77777777" w:rsidR="00F218F2" w:rsidRPr="00F218F2" w:rsidRDefault="00F218F2" w:rsidP="00D82D86">
                  <w:pPr>
                    <w:rPr>
                      <w:sz w:val="16"/>
                      <w:szCs w:val="16"/>
                      <w:lang w:val="en-US"/>
                    </w:rPr>
                  </w:pPr>
                  <w:r w:rsidRPr="00F218F2">
                    <w:rPr>
                      <w:rFonts w:cs="Arial"/>
                      <w:sz w:val="16"/>
                      <w:szCs w:val="16"/>
                      <w:vertAlign w:val="superscript"/>
                      <w:lang w:val="en-US"/>
                    </w:rPr>
                    <w:t>†</w:t>
                  </w:r>
                  <w:r w:rsidRPr="00F218F2">
                    <w:rPr>
                      <w:sz w:val="16"/>
                      <w:szCs w:val="16"/>
                      <w:lang w:val="en-US"/>
                    </w:rPr>
                    <w:t xml:space="preserve"> Adjusted for possible confounders: age (continuous, restricted cubic splines), gender, ASA class, current smoking, middle ear of abdominal surgery, history of PONV / motion sickness, use of inhalational anesthesia, procedure duration (continuous, restricted cubic splines)</w:t>
                  </w:r>
                </w:p>
              </w:tc>
            </w:tr>
            <w:tr w:rsidR="00F218F2" w:rsidRPr="00F218F2" w14:paraId="359F87D1" w14:textId="77777777" w:rsidTr="00D82D86">
              <w:tc>
                <w:tcPr>
                  <w:tcW w:w="9648" w:type="dxa"/>
                  <w:gridSpan w:val="4"/>
                  <w:vAlign w:val="center"/>
                </w:tcPr>
                <w:p w14:paraId="359F87D0" w14:textId="77777777" w:rsidR="00F218F2" w:rsidRPr="00F218F2" w:rsidRDefault="00F218F2" w:rsidP="00D82D86">
                  <w:pPr>
                    <w:rPr>
                      <w:sz w:val="16"/>
                      <w:szCs w:val="16"/>
                      <w:vertAlign w:val="superscript"/>
                      <w:lang w:val="en-US"/>
                    </w:rPr>
                  </w:pPr>
                  <w:r w:rsidRPr="00F218F2">
                    <w:rPr>
                      <w:sz w:val="16"/>
                      <w:szCs w:val="16"/>
                      <w:vertAlign w:val="superscript"/>
                      <w:lang w:val="en-US"/>
                    </w:rPr>
                    <w:t>‡</w:t>
                  </w:r>
                  <w:r w:rsidRPr="00F218F2">
                    <w:rPr>
                      <w:sz w:val="16"/>
                      <w:szCs w:val="16"/>
                      <w:lang w:val="en-US"/>
                    </w:rPr>
                    <w:t xml:space="preserve"> Using 10 imputation datasets</w:t>
                  </w:r>
                </w:p>
              </w:tc>
            </w:tr>
            <w:tr w:rsidR="00F218F2" w:rsidRPr="00B71E75" w14:paraId="359F87D3" w14:textId="77777777" w:rsidTr="00D82D86">
              <w:tc>
                <w:tcPr>
                  <w:tcW w:w="9648" w:type="dxa"/>
                  <w:gridSpan w:val="4"/>
                  <w:vAlign w:val="center"/>
                </w:tcPr>
                <w:p w14:paraId="359F87D2" w14:textId="77777777" w:rsidR="00F218F2" w:rsidRPr="00F218F2" w:rsidRDefault="00F218F2" w:rsidP="00D82D86">
                  <w:pPr>
                    <w:rPr>
                      <w:sz w:val="16"/>
                      <w:szCs w:val="16"/>
                      <w:lang w:val="en-US"/>
                    </w:rPr>
                  </w:pPr>
                  <w:r w:rsidRPr="00F218F2">
                    <w:rPr>
                      <w:rFonts w:cs="Arial"/>
                      <w:sz w:val="16"/>
                      <w:szCs w:val="16"/>
                      <w:vertAlign w:val="superscript"/>
                      <w:lang w:val="en-US"/>
                    </w:rPr>
                    <w:t>§</w:t>
                  </w:r>
                  <w:r w:rsidRPr="00F218F2">
                    <w:rPr>
                      <w:sz w:val="16"/>
                      <w:szCs w:val="16"/>
                      <w:lang w:val="en-US"/>
                    </w:rPr>
                    <w:t xml:space="preserve"> Regression coefficients represent an increase the number of administered prophylactic antiemetics per advised prophylactic antiemetics – i.e. per risk category</w:t>
                  </w:r>
                </w:p>
              </w:tc>
            </w:tr>
            <w:bookmarkEnd w:id="1"/>
          </w:tbl>
          <w:p w14:paraId="359F87D4" w14:textId="77777777" w:rsidR="00F218F2" w:rsidRPr="000C0EB5" w:rsidRDefault="00F218F2" w:rsidP="00D82D86">
            <w:pPr>
              <w:rPr>
                <w:sz w:val="20"/>
                <w:szCs w:val="20"/>
                <w:lang w:val="en-US"/>
              </w:rPr>
            </w:pPr>
          </w:p>
        </w:tc>
        <w:tc>
          <w:tcPr>
            <w:tcW w:w="1418" w:type="dxa"/>
            <w:vAlign w:val="center"/>
          </w:tcPr>
          <w:p w14:paraId="359F87D5" w14:textId="77777777" w:rsidR="00F218F2" w:rsidRPr="000C0EB5" w:rsidRDefault="00F218F2" w:rsidP="00D82D86">
            <w:pPr>
              <w:jc w:val="right"/>
              <w:rPr>
                <w:sz w:val="20"/>
                <w:szCs w:val="20"/>
                <w:lang w:val="en-US"/>
              </w:rPr>
            </w:pPr>
          </w:p>
        </w:tc>
        <w:tc>
          <w:tcPr>
            <w:tcW w:w="1691" w:type="dxa"/>
            <w:vAlign w:val="center"/>
          </w:tcPr>
          <w:p w14:paraId="359F87D6" w14:textId="77777777" w:rsidR="00F218F2" w:rsidRPr="000C0EB5" w:rsidRDefault="00F218F2" w:rsidP="00D82D86">
            <w:pPr>
              <w:jc w:val="right"/>
              <w:rPr>
                <w:sz w:val="20"/>
                <w:szCs w:val="20"/>
                <w:lang w:val="en-US"/>
              </w:rPr>
            </w:pPr>
          </w:p>
        </w:tc>
        <w:tc>
          <w:tcPr>
            <w:tcW w:w="1711" w:type="dxa"/>
            <w:vAlign w:val="center"/>
          </w:tcPr>
          <w:p w14:paraId="359F87D7" w14:textId="77777777" w:rsidR="00F218F2" w:rsidRPr="000C0EB5" w:rsidRDefault="00F218F2" w:rsidP="00D82D86">
            <w:pPr>
              <w:jc w:val="right"/>
              <w:rPr>
                <w:sz w:val="20"/>
                <w:szCs w:val="20"/>
                <w:lang w:val="en-US"/>
              </w:rPr>
            </w:pPr>
          </w:p>
        </w:tc>
        <w:tc>
          <w:tcPr>
            <w:tcW w:w="1984" w:type="dxa"/>
            <w:vAlign w:val="center"/>
          </w:tcPr>
          <w:p w14:paraId="359F87D8" w14:textId="77777777" w:rsidR="00F218F2" w:rsidRPr="000C0EB5" w:rsidRDefault="00F218F2" w:rsidP="00D82D86">
            <w:pPr>
              <w:jc w:val="right"/>
              <w:rPr>
                <w:sz w:val="20"/>
                <w:szCs w:val="20"/>
                <w:lang w:val="en-US"/>
              </w:rPr>
            </w:pPr>
          </w:p>
        </w:tc>
      </w:tr>
    </w:tbl>
    <w:p w14:paraId="359F87DA" w14:textId="77777777" w:rsidR="00F218F2" w:rsidRDefault="00F218F2">
      <w:pPr>
        <w:suppressAutoHyphens w:val="0"/>
        <w:spacing w:line="240" w:lineRule="auto"/>
        <w:rPr>
          <w:rFonts w:eastAsia="Arial"/>
          <w:lang w:val="en-US"/>
        </w:rPr>
      </w:pPr>
      <w:r>
        <w:rPr>
          <w:rFonts w:eastAsia="Arial"/>
          <w:b/>
          <w:bCs/>
          <w:lang w:val="en-US"/>
        </w:rPr>
        <w:br w:type="page"/>
      </w:r>
    </w:p>
    <w:p w14:paraId="359F87DB" w14:textId="77777777" w:rsidR="00F218F2" w:rsidRPr="000C0EB5" w:rsidRDefault="00F218F2" w:rsidP="00F218F2">
      <w:pPr>
        <w:pStyle w:val="Heading1"/>
        <w:rPr>
          <w:lang w:val="en-US"/>
        </w:rPr>
      </w:pPr>
      <w:r>
        <w:rPr>
          <w:rFonts w:eastAsia="Arial"/>
          <w:lang w:val="en-US"/>
        </w:rPr>
        <w:lastRenderedPageBreak/>
        <w:t>Table 5</w:t>
      </w:r>
      <w:r w:rsidRPr="000C0EB5">
        <w:rPr>
          <w:lang w:val="en-US"/>
        </w:rPr>
        <w:t xml:space="preserve"> – Regression analysis of the comparison of the risk-dependent incidence of postoperative nausea and vomiting between allocation groups of both the assistive and directive study.</w:t>
      </w:r>
    </w:p>
    <w:tbl>
      <w:tblPr>
        <w:tblW w:w="9672" w:type="dxa"/>
        <w:tblCellMar>
          <w:left w:w="0" w:type="dxa"/>
          <w:right w:w="0" w:type="dxa"/>
        </w:tblCellMar>
        <w:tblLook w:val="00A0" w:firstRow="1" w:lastRow="0" w:firstColumn="1" w:lastColumn="0" w:noHBand="0" w:noVBand="0"/>
      </w:tblPr>
      <w:tblGrid>
        <w:gridCol w:w="9648"/>
        <w:gridCol w:w="6"/>
        <w:gridCol w:w="6"/>
        <w:gridCol w:w="6"/>
        <w:gridCol w:w="6"/>
      </w:tblGrid>
      <w:tr w:rsidR="00F218F2" w:rsidRPr="000C0EB5" w14:paraId="359F881F" w14:textId="77777777" w:rsidTr="00D82D86">
        <w:tc>
          <w:tcPr>
            <w:tcW w:w="9648" w:type="dxa"/>
            <w:vAlign w:val="center"/>
          </w:tcPr>
          <w:tbl>
            <w:tblPr>
              <w:tblW w:w="9648" w:type="dxa"/>
              <w:tblCellMar>
                <w:left w:w="28" w:type="dxa"/>
                <w:right w:w="28" w:type="dxa"/>
              </w:tblCellMar>
              <w:tblLook w:val="0000" w:firstRow="0" w:lastRow="0" w:firstColumn="0" w:lastColumn="0" w:noHBand="0" w:noVBand="0"/>
            </w:tblPr>
            <w:tblGrid>
              <w:gridCol w:w="2410"/>
              <w:gridCol w:w="1843"/>
              <w:gridCol w:w="1843"/>
              <w:gridCol w:w="1842"/>
              <w:gridCol w:w="1710"/>
            </w:tblGrid>
            <w:tr w:rsidR="00F218F2" w:rsidRPr="00F218F2" w14:paraId="359F87DF" w14:textId="77777777" w:rsidTr="00D82D86">
              <w:tc>
                <w:tcPr>
                  <w:tcW w:w="2410" w:type="dxa"/>
                </w:tcPr>
                <w:p w14:paraId="359F87DC" w14:textId="77777777" w:rsidR="00F218F2" w:rsidRPr="00F218F2" w:rsidRDefault="00F218F2" w:rsidP="00D82D86">
                  <w:pPr>
                    <w:rPr>
                      <w:sz w:val="16"/>
                      <w:szCs w:val="16"/>
                      <w:lang w:val="en-US"/>
                    </w:rPr>
                  </w:pPr>
                  <w:bookmarkStart w:id="2" w:name="Table4"/>
                </w:p>
              </w:tc>
              <w:tc>
                <w:tcPr>
                  <w:tcW w:w="3686" w:type="dxa"/>
                  <w:gridSpan w:val="2"/>
                  <w:vAlign w:val="center"/>
                </w:tcPr>
                <w:p w14:paraId="359F87DD" w14:textId="77777777" w:rsidR="00F218F2" w:rsidRPr="00F218F2" w:rsidRDefault="00F218F2" w:rsidP="00D82D86">
                  <w:pPr>
                    <w:jc w:val="center"/>
                    <w:rPr>
                      <w:b/>
                      <w:sz w:val="16"/>
                      <w:szCs w:val="16"/>
                      <w:lang w:val="en-US"/>
                    </w:rPr>
                  </w:pPr>
                  <w:r w:rsidRPr="00F218F2">
                    <w:rPr>
                      <w:b/>
                      <w:sz w:val="16"/>
                      <w:szCs w:val="16"/>
                      <w:lang w:val="en-US"/>
                    </w:rPr>
                    <w:t>Complete case*</w:t>
                  </w:r>
                </w:p>
              </w:tc>
              <w:tc>
                <w:tcPr>
                  <w:tcW w:w="3552" w:type="dxa"/>
                  <w:gridSpan w:val="2"/>
                  <w:vAlign w:val="center"/>
                </w:tcPr>
                <w:p w14:paraId="359F87DE" w14:textId="77777777" w:rsidR="00F218F2" w:rsidRPr="00F218F2" w:rsidRDefault="00F218F2" w:rsidP="00D82D86">
                  <w:pPr>
                    <w:jc w:val="center"/>
                    <w:rPr>
                      <w:b/>
                      <w:sz w:val="16"/>
                      <w:szCs w:val="16"/>
                      <w:lang w:val="en-US"/>
                    </w:rPr>
                  </w:pPr>
                  <w:r w:rsidRPr="00F218F2">
                    <w:rPr>
                      <w:b/>
                      <w:sz w:val="16"/>
                      <w:szCs w:val="16"/>
                      <w:lang w:val="en-US"/>
                    </w:rPr>
                    <w:t>Multiple imputation</w:t>
                  </w:r>
                  <w:r w:rsidRPr="00F218F2">
                    <w:rPr>
                      <w:rFonts w:cs="Arial"/>
                      <w:b/>
                      <w:sz w:val="16"/>
                      <w:szCs w:val="16"/>
                      <w:vertAlign w:val="superscript"/>
                      <w:lang w:val="en-US"/>
                    </w:rPr>
                    <w:t>‡</w:t>
                  </w:r>
                </w:p>
              </w:tc>
            </w:tr>
            <w:tr w:rsidR="00F218F2" w:rsidRPr="00F218F2" w14:paraId="359F87E5" w14:textId="77777777" w:rsidTr="00D82D86">
              <w:tc>
                <w:tcPr>
                  <w:tcW w:w="2410" w:type="dxa"/>
                </w:tcPr>
                <w:p w14:paraId="359F87E0" w14:textId="77777777" w:rsidR="00F218F2" w:rsidRPr="00F218F2" w:rsidRDefault="00F218F2" w:rsidP="00D82D86">
                  <w:pPr>
                    <w:rPr>
                      <w:sz w:val="16"/>
                      <w:szCs w:val="16"/>
                      <w:lang w:val="en-US"/>
                    </w:rPr>
                  </w:pPr>
                </w:p>
              </w:tc>
              <w:tc>
                <w:tcPr>
                  <w:tcW w:w="1843" w:type="dxa"/>
                  <w:vAlign w:val="center"/>
                </w:tcPr>
                <w:p w14:paraId="359F87E1" w14:textId="77777777" w:rsidR="00F218F2" w:rsidRPr="00F218F2" w:rsidRDefault="00F218F2" w:rsidP="00D82D86">
                  <w:pPr>
                    <w:jc w:val="center"/>
                    <w:rPr>
                      <w:sz w:val="16"/>
                      <w:szCs w:val="16"/>
                      <w:lang w:val="en-US"/>
                    </w:rPr>
                  </w:pPr>
                  <w:r w:rsidRPr="00F218F2">
                    <w:rPr>
                      <w:sz w:val="16"/>
                      <w:szCs w:val="16"/>
                      <w:lang w:val="en-US"/>
                    </w:rPr>
                    <w:t>unadjusted</w:t>
                  </w:r>
                </w:p>
              </w:tc>
              <w:tc>
                <w:tcPr>
                  <w:tcW w:w="1843" w:type="dxa"/>
                  <w:vAlign w:val="center"/>
                </w:tcPr>
                <w:p w14:paraId="359F87E2" w14:textId="77777777" w:rsidR="00F218F2" w:rsidRPr="00F218F2" w:rsidRDefault="00F218F2" w:rsidP="00D82D86">
                  <w:pPr>
                    <w:jc w:val="center"/>
                    <w:rPr>
                      <w:sz w:val="16"/>
                      <w:szCs w:val="16"/>
                      <w:vertAlign w:val="superscript"/>
                      <w:lang w:val="en-US"/>
                    </w:rPr>
                  </w:pPr>
                  <w:r w:rsidRPr="00F218F2">
                    <w:rPr>
                      <w:sz w:val="16"/>
                      <w:szCs w:val="16"/>
                      <w:lang w:val="en-US"/>
                    </w:rPr>
                    <w:t>confounder adjusted</w:t>
                  </w:r>
                  <w:r w:rsidRPr="00F218F2">
                    <w:rPr>
                      <w:rFonts w:cs="Arial"/>
                      <w:sz w:val="16"/>
                      <w:szCs w:val="16"/>
                      <w:vertAlign w:val="superscript"/>
                      <w:lang w:val="en-US"/>
                    </w:rPr>
                    <w:t>†</w:t>
                  </w:r>
                </w:p>
              </w:tc>
              <w:tc>
                <w:tcPr>
                  <w:tcW w:w="1842" w:type="dxa"/>
                  <w:vAlign w:val="center"/>
                </w:tcPr>
                <w:p w14:paraId="359F87E3" w14:textId="77777777" w:rsidR="00F218F2" w:rsidRPr="00F218F2" w:rsidRDefault="00F218F2" w:rsidP="00D82D86">
                  <w:pPr>
                    <w:jc w:val="center"/>
                    <w:rPr>
                      <w:sz w:val="16"/>
                      <w:szCs w:val="16"/>
                      <w:vertAlign w:val="superscript"/>
                      <w:lang w:val="en-US"/>
                    </w:rPr>
                  </w:pPr>
                  <w:r w:rsidRPr="00F218F2">
                    <w:rPr>
                      <w:sz w:val="16"/>
                      <w:szCs w:val="16"/>
                      <w:lang w:val="en-US"/>
                    </w:rPr>
                    <w:t>unadjusted</w:t>
                  </w:r>
                </w:p>
              </w:tc>
              <w:tc>
                <w:tcPr>
                  <w:tcW w:w="1710" w:type="dxa"/>
                  <w:vAlign w:val="center"/>
                </w:tcPr>
                <w:p w14:paraId="359F87E4" w14:textId="77777777" w:rsidR="00F218F2" w:rsidRPr="00F218F2" w:rsidRDefault="00F218F2" w:rsidP="00D82D86">
                  <w:pPr>
                    <w:jc w:val="center"/>
                    <w:rPr>
                      <w:sz w:val="16"/>
                      <w:szCs w:val="16"/>
                      <w:lang w:val="en-US"/>
                    </w:rPr>
                  </w:pPr>
                  <w:r w:rsidRPr="00F218F2">
                    <w:rPr>
                      <w:sz w:val="16"/>
                      <w:szCs w:val="16"/>
                      <w:lang w:val="en-US"/>
                    </w:rPr>
                    <w:t>confounder adjusted</w:t>
                  </w:r>
                  <w:r w:rsidRPr="00F218F2">
                    <w:rPr>
                      <w:rFonts w:cs="Arial"/>
                      <w:sz w:val="16"/>
                      <w:szCs w:val="16"/>
                      <w:vertAlign w:val="superscript"/>
                      <w:lang w:val="en-US"/>
                    </w:rPr>
                    <w:t>†</w:t>
                  </w:r>
                  <w:r w:rsidRPr="00F218F2">
                    <w:rPr>
                      <w:sz w:val="16"/>
                      <w:szCs w:val="16"/>
                      <w:lang w:val="en-US"/>
                    </w:rPr>
                    <w:t xml:space="preserve"> </w:t>
                  </w:r>
                </w:p>
              </w:tc>
            </w:tr>
            <w:tr w:rsidR="00F218F2" w:rsidRPr="00F218F2" w14:paraId="359F87EB" w14:textId="77777777" w:rsidTr="00D82D86">
              <w:tc>
                <w:tcPr>
                  <w:tcW w:w="2410" w:type="dxa"/>
                  <w:vAlign w:val="center"/>
                </w:tcPr>
                <w:p w14:paraId="359F87E6" w14:textId="77777777" w:rsidR="00F218F2" w:rsidRPr="00F218F2" w:rsidRDefault="00F218F2" w:rsidP="00D82D86">
                  <w:pPr>
                    <w:rPr>
                      <w:sz w:val="16"/>
                      <w:szCs w:val="16"/>
                      <w:lang w:val="en-US"/>
                    </w:rPr>
                  </w:pPr>
                  <w:r w:rsidRPr="00F218F2">
                    <w:rPr>
                      <w:sz w:val="16"/>
                      <w:szCs w:val="16"/>
                      <w:lang w:val="en-US"/>
                    </w:rPr>
                    <w:t>Directive study</w:t>
                  </w:r>
                </w:p>
              </w:tc>
              <w:tc>
                <w:tcPr>
                  <w:tcW w:w="1843" w:type="dxa"/>
                  <w:vAlign w:val="center"/>
                </w:tcPr>
                <w:p w14:paraId="359F87E7" w14:textId="77777777" w:rsidR="00F218F2" w:rsidRPr="00F218F2" w:rsidRDefault="00F218F2" w:rsidP="00D82D86">
                  <w:pPr>
                    <w:jc w:val="center"/>
                    <w:rPr>
                      <w:b/>
                      <w:sz w:val="16"/>
                      <w:szCs w:val="16"/>
                    </w:rPr>
                  </w:pPr>
                  <w:r w:rsidRPr="00F218F2">
                    <w:rPr>
                      <w:b/>
                      <w:sz w:val="16"/>
                      <w:szCs w:val="16"/>
                    </w:rPr>
                    <w:t>1.4 (1.1 - 1.7)</w:t>
                  </w:r>
                </w:p>
              </w:tc>
              <w:tc>
                <w:tcPr>
                  <w:tcW w:w="1843" w:type="dxa"/>
                  <w:vAlign w:val="center"/>
                </w:tcPr>
                <w:p w14:paraId="359F87E8" w14:textId="77777777" w:rsidR="00F218F2" w:rsidRPr="00F218F2" w:rsidRDefault="00F218F2" w:rsidP="00D82D86">
                  <w:pPr>
                    <w:jc w:val="center"/>
                    <w:rPr>
                      <w:sz w:val="16"/>
                      <w:szCs w:val="16"/>
                    </w:rPr>
                  </w:pPr>
                  <w:r w:rsidRPr="00F218F2">
                    <w:rPr>
                      <w:sz w:val="16"/>
                      <w:szCs w:val="16"/>
                    </w:rPr>
                    <w:t>1.3 (1.0 - 1.8)</w:t>
                  </w:r>
                </w:p>
              </w:tc>
              <w:tc>
                <w:tcPr>
                  <w:tcW w:w="1842" w:type="dxa"/>
                  <w:vAlign w:val="center"/>
                </w:tcPr>
                <w:p w14:paraId="359F87E9" w14:textId="77777777" w:rsidR="00F218F2" w:rsidRPr="00F218F2" w:rsidRDefault="00F218F2" w:rsidP="00D82D86">
                  <w:pPr>
                    <w:jc w:val="center"/>
                    <w:rPr>
                      <w:b/>
                      <w:sz w:val="16"/>
                      <w:szCs w:val="16"/>
                    </w:rPr>
                  </w:pPr>
                  <w:r w:rsidRPr="00F218F2">
                    <w:rPr>
                      <w:b/>
                      <w:sz w:val="16"/>
                      <w:szCs w:val="16"/>
                    </w:rPr>
                    <w:t>1.3 (1.1 - 1.6)</w:t>
                  </w:r>
                </w:p>
              </w:tc>
              <w:tc>
                <w:tcPr>
                  <w:tcW w:w="1710" w:type="dxa"/>
                  <w:vAlign w:val="center"/>
                </w:tcPr>
                <w:p w14:paraId="359F87EA" w14:textId="77777777" w:rsidR="00F218F2" w:rsidRPr="00F218F2" w:rsidRDefault="00F218F2" w:rsidP="00D82D86">
                  <w:pPr>
                    <w:jc w:val="center"/>
                    <w:rPr>
                      <w:sz w:val="16"/>
                      <w:szCs w:val="16"/>
                    </w:rPr>
                  </w:pPr>
                  <w:r w:rsidRPr="00F218F2">
                    <w:rPr>
                      <w:b/>
                      <w:sz w:val="16"/>
                      <w:szCs w:val="16"/>
                    </w:rPr>
                    <w:t>1.3 (1.1 - 1.6</w:t>
                  </w:r>
                  <w:r w:rsidRPr="00F218F2">
                    <w:rPr>
                      <w:sz w:val="16"/>
                      <w:szCs w:val="16"/>
                    </w:rPr>
                    <w:t>)</w:t>
                  </w:r>
                </w:p>
              </w:tc>
            </w:tr>
            <w:tr w:rsidR="00F218F2" w:rsidRPr="00F218F2" w14:paraId="359F87F1" w14:textId="77777777" w:rsidTr="00D82D86">
              <w:tc>
                <w:tcPr>
                  <w:tcW w:w="2410" w:type="dxa"/>
                  <w:vAlign w:val="center"/>
                </w:tcPr>
                <w:p w14:paraId="359F87EC" w14:textId="77777777" w:rsidR="00F218F2" w:rsidRPr="00F218F2" w:rsidRDefault="00F218F2" w:rsidP="00D82D86">
                  <w:pPr>
                    <w:rPr>
                      <w:sz w:val="16"/>
                      <w:szCs w:val="16"/>
                      <w:lang w:val="en-US"/>
                    </w:rPr>
                  </w:pPr>
                  <w:r w:rsidRPr="00F218F2">
                    <w:rPr>
                      <w:sz w:val="16"/>
                      <w:szCs w:val="16"/>
                      <w:lang w:val="en-US"/>
                    </w:rPr>
                    <w:t>Intervention group</w:t>
                  </w:r>
                </w:p>
              </w:tc>
              <w:tc>
                <w:tcPr>
                  <w:tcW w:w="1843" w:type="dxa"/>
                  <w:vAlign w:val="center"/>
                </w:tcPr>
                <w:p w14:paraId="359F87ED" w14:textId="77777777" w:rsidR="00F218F2" w:rsidRPr="00F218F2" w:rsidRDefault="00F218F2" w:rsidP="00D82D86">
                  <w:pPr>
                    <w:jc w:val="center"/>
                    <w:rPr>
                      <w:sz w:val="16"/>
                      <w:szCs w:val="16"/>
                    </w:rPr>
                  </w:pPr>
                  <w:r w:rsidRPr="00F218F2">
                    <w:rPr>
                      <w:sz w:val="16"/>
                      <w:szCs w:val="16"/>
                    </w:rPr>
                    <w:t>0.96 (0.83 - 1.1)</w:t>
                  </w:r>
                </w:p>
              </w:tc>
              <w:tc>
                <w:tcPr>
                  <w:tcW w:w="1843" w:type="dxa"/>
                  <w:vAlign w:val="center"/>
                </w:tcPr>
                <w:p w14:paraId="359F87EE" w14:textId="77777777" w:rsidR="00F218F2" w:rsidRPr="00F218F2" w:rsidRDefault="00F218F2" w:rsidP="00D82D86">
                  <w:pPr>
                    <w:jc w:val="center"/>
                    <w:rPr>
                      <w:sz w:val="16"/>
                      <w:szCs w:val="16"/>
                    </w:rPr>
                  </w:pPr>
                  <w:r w:rsidRPr="00F218F2">
                    <w:rPr>
                      <w:sz w:val="16"/>
                      <w:szCs w:val="16"/>
                    </w:rPr>
                    <w:t>0.91 (0.75 - 1.1)</w:t>
                  </w:r>
                </w:p>
              </w:tc>
              <w:tc>
                <w:tcPr>
                  <w:tcW w:w="1842" w:type="dxa"/>
                  <w:vAlign w:val="center"/>
                </w:tcPr>
                <w:p w14:paraId="359F87EF" w14:textId="77777777" w:rsidR="00F218F2" w:rsidRPr="00F218F2" w:rsidRDefault="00F218F2" w:rsidP="00D82D86">
                  <w:pPr>
                    <w:jc w:val="center"/>
                    <w:rPr>
                      <w:sz w:val="16"/>
                      <w:szCs w:val="16"/>
                    </w:rPr>
                  </w:pPr>
                  <w:r w:rsidRPr="00F218F2">
                    <w:rPr>
                      <w:sz w:val="16"/>
                      <w:szCs w:val="16"/>
                    </w:rPr>
                    <w:t>0.94 (0.83 - 1.1)</w:t>
                  </w:r>
                </w:p>
              </w:tc>
              <w:tc>
                <w:tcPr>
                  <w:tcW w:w="1710" w:type="dxa"/>
                  <w:vAlign w:val="center"/>
                </w:tcPr>
                <w:p w14:paraId="359F87F0" w14:textId="77777777" w:rsidR="00F218F2" w:rsidRPr="00F218F2" w:rsidRDefault="00F218F2" w:rsidP="00D82D86">
                  <w:pPr>
                    <w:jc w:val="center"/>
                    <w:rPr>
                      <w:sz w:val="16"/>
                      <w:szCs w:val="16"/>
                    </w:rPr>
                  </w:pPr>
                  <w:r w:rsidRPr="00F218F2">
                    <w:rPr>
                      <w:sz w:val="16"/>
                      <w:szCs w:val="16"/>
                    </w:rPr>
                    <w:t>0.93 (0.81 - 1.1)</w:t>
                  </w:r>
                </w:p>
              </w:tc>
            </w:tr>
            <w:tr w:rsidR="00F218F2" w:rsidRPr="00F218F2" w14:paraId="359F87F7" w14:textId="77777777" w:rsidTr="00D82D86">
              <w:tc>
                <w:tcPr>
                  <w:tcW w:w="2410" w:type="dxa"/>
                  <w:vAlign w:val="center"/>
                </w:tcPr>
                <w:p w14:paraId="359F87F2" w14:textId="77777777" w:rsidR="00F218F2" w:rsidRPr="00F218F2" w:rsidRDefault="00F218F2" w:rsidP="00D82D86">
                  <w:pPr>
                    <w:rPr>
                      <w:sz w:val="16"/>
                      <w:szCs w:val="16"/>
                      <w:lang w:val="en-US"/>
                    </w:rPr>
                  </w:pPr>
                  <w:r w:rsidRPr="00F218F2">
                    <w:rPr>
                      <w:sz w:val="16"/>
                      <w:szCs w:val="16"/>
                      <w:lang w:val="en-US"/>
                    </w:rPr>
                    <w:t>Predicted risk</w:t>
                  </w:r>
                  <w:r w:rsidRPr="00F218F2">
                    <w:rPr>
                      <w:rFonts w:cs="Arial"/>
                      <w:sz w:val="16"/>
                      <w:szCs w:val="16"/>
                      <w:vertAlign w:val="superscript"/>
                      <w:lang w:val="en-US"/>
                    </w:rPr>
                    <w:t>§</w:t>
                  </w:r>
                </w:p>
              </w:tc>
              <w:tc>
                <w:tcPr>
                  <w:tcW w:w="1843" w:type="dxa"/>
                  <w:vAlign w:val="center"/>
                </w:tcPr>
                <w:p w14:paraId="359F87F3" w14:textId="77777777" w:rsidR="00F218F2" w:rsidRPr="00F218F2" w:rsidRDefault="00F218F2" w:rsidP="00D82D86">
                  <w:pPr>
                    <w:jc w:val="center"/>
                    <w:rPr>
                      <w:b/>
                      <w:sz w:val="16"/>
                      <w:szCs w:val="16"/>
                    </w:rPr>
                  </w:pPr>
                  <w:r w:rsidRPr="00F218F2">
                    <w:rPr>
                      <w:b/>
                      <w:sz w:val="16"/>
                      <w:szCs w:val="16"/>
                    </w:rPr>
                    <w:t>3.2 (2.8 - 3.7)</w:t>
                  </w:r>
                </w:p>
              </w:tc>
              <w:tc>
                <w:tcPr>
                  <w:tcW w:w="1843" w:type="dxa"/>
                  <w:vAlign w:val="center"/>
                </w:tcPr>
                <w:p w14:paraId="359F87F4" w14:textId="77777777" w:rsidR="00F218F2" w:rsidRPr="00F218F2" w:rsidRDefault="00F218F2" w:rsidP="00D82D86">
                  <w:pPr>
                    <w:jc w:val="center"/>
                    <w:rPr>
                      <w:sz w:val="16"/>
                      <w:szCs w:val="16"/>
                    </w:rPr>
                  </w:pPr>
                  <w:r w:rsidRPr="00F218F2">
                    <w:rPr>
                      <w:sz w:val="16"/>
                      <w:szCs w:val="16"/>
                    </w:rPr>
                    <w:t>0.47 (0.15 - 1.5)</w:t>
                  </w:r>
                </w:p>
              </w:tc>
              <w:tc>
                <w:tcPr>
                  <w:tcW w:w="1842" w:type="dxa"/>
                  <w:vAlign w:val="center"/>
                </w:tcPr>
                <w:p w14:paraId="359F87F5" w14:textId="77777777" w:rsidR="00F218F2" w:rsidRPr="00F218F2" w:rsidRDefault="00F218F2" w:rsidP="00D82D86">
                  <w:pPr>
                    <w:jc w:val="center"/>
                    <w:rPr>
                      <w:b/>
                      <w:sz w:val="16"/>
                      <w:szCs w:val="16"/>
                    </w:rPr>
                  </w:pPr>
                  <w:r w:rsidRPr="00F218F2">
                    <w:rPr>
                      <w:b/>
                      <w:sz w:val="16"/>
                      <w:szCs w:val="16"/>
                    </w:rPr>
                    <w:t>2.7 (2.4 - 3.1)</w:t>
                  </w:r>
                </w:p>
              </w:tc>
              <w:tc>
                <w:tcPr>
                  <w:tcW w:w="1710" w:type="dxa"/>
                  <w:vAlign w:val="center"/>
                </w:tcPr>
                <w:p w14:paraId="359F87F6" w14:textId="77777777" w:rsidR="00F218F2" w:rsidRPr="00F218F2" w:rsidRDefault="00F218F2" w:rsidP="00D82D86">
                  <w:pPr>
                    <w:jc w:val="center"/>
                    <w:rPr>
                      <w:sz w:val="16"/>
                      <w:szCs w:val="16"/>
                    </w:rPr>
                  </w:pPr>
                  <w:r w:rsidRPr="00F218F2">
                    <w:rPr>
                      <w:sz w:val="16"/>
                      <w:szCs w:val="16"/>
                    </w:rPr>
                    <w:t>1.7 (1.0 – 3.0)</w:t>
                  </w:r>
                </w:p>
              </w:tc>
            </w:tr>
            <w:tr w:rsidR="00F218F2" w:rsidRPr="00F218F2" w14:paraId="359F87FD" w14:textId="77777777" w:rsidTr="00D82D86">
              <w:tc>
                <w:tcPr>
                  <w:tcW w:w="2410" w:type="dxa"/>
                  <w:vAlign w:val="center"/>
                </w:tcPr>
                <w:p w14:paraId="359F87F8" w14:textId="77777777" w:rsidR="00F218F2" w:rsidRPr="00F218F2" w:rsidRDefault="00F218F2" w:rsidP="00D82D86">
                  <w:pPr>
                    <w:rPr>
                      <w:sz w:val="16"/>
                      <w:szCs w:val="16"/>
                      <w:lang w:val="en-US"/>
                    </w:rPr>
                  </w:pPr>
                  <w:r w:rsidRPr="00F218F2">
                    <w:rPr>
                      <w:sz w:val="16"/>
                      <w:szCs w:val="16"/>
                      <w:lang w:val="en-US"/>
                    </w:rPr>
                    <w:t>Interaction: directive study * intervention group</w:t>
                  </w:r>
                </w:p>
              </w:tc>
              <w:tc>
                <w:tcPr>
                  <w:tcW w:w="1843" w:type="dxa"/>
                  <w:vAlign w:val="center"/>
                </w:tcPr>
                <w:p w14:paraId="359F87F9" w14:textId="77777777" w:rsidR="00F218F2" w:rsidRPr="00F218F2" w:rsidRDefault="00F218F2" w:rsidP="00D82D86">
                  <w:pPr>
                    <w:jc w:val="center"/>
                    <w:rPr>
                      <w:b/>
                      <w:sz w:val="16"/>
                      <w:szCs w:val="16"/>
                    </w:rPr>
                  </w:pPr>
                  <w:r w:rsidRPr="00F218F2">
                    <w:rPr>
                      <w:b/>
                      <w:sz w:val="16"/>
                      <w:szCs w:val="16"/>
                    </w:rPr>
                    <w:t>0.55 (0.36 - 0.84)</w:t>
                  </w:r>
                </w:p>
              </w:tc>
              <w:tc>
                <w:tcPr>
                  <w:tcW w:w="1843" w:type="dxa"/>
                  <w:vAlign w:val="center"/>
                </w:tcPr>
                <w:p w14:paraId="359F87FA" w14:textId="77777777" w:rsidR="00F218F2" w:rsidRPr="00F218F2" w:rsidRDefault="00F218F2" w:rsidP="00D82D86">
                  <w:pPr>
                    <w:jc w:val="center"/>
                    <w:rPr>
                      <w:sz w:val="16"/>
                      <w:szCs w:val="16"/>
                    </w:rPr>
                  </w:pPr>
                  <w:r w:rsidRPr="00F218F2">
                    <w:rPr>
                      <w:sz w:val="16"/>
                      <w:szCs w:val="16"/>
                    </w:rPr>
                    <w:t>0.79 (0.59 - 1.1)</w:t>
                  </w:r>
                </w:p>
              </w:tc>
              <w:tc>
                <w:tcPr>
                  <w:tcW w:w="1842" w:type="dxa"/>
                  <w:vAlign w:val="center"/>
                </w:tcPr>
                <w:p w14:paraId="359F87FB" w14:textId="77777777" w:rsidR="00F218F2" w:rsidRPr="00F218F2" w:rsidRDefault="00F218F2" w:rsidP="00D82D86">
                  <w:pPr>
                    <w:jc w:val="center"/>
                    <w:rPr>
                      <w:b/>
                      <w:sz w:val="16"/>
                      <w:szCs w:val="16"/>
                    </w:rPr>
                  </w:pPr>
                  <w:r w:rsidRPr="00F218F2">
                    <w:rPr>
                      <w:b/>
                      <w:sz w:val="16"/>
                      <w:szCs w:val="16"/>
                    </w:rPr>
                    <w:t>0.63 (0.45 - 0.88)</w:t>
                  </w:r>
                </w:p>
              </w:tc>
              <w:tc>
                <w:tcPr>
                  <w:tcW w:w="1710" w:type="dxa"/>
                  <w:vAlign w:val="center"/>
                </w:tcPr>
                <w:p w14:paraId="359F87FC" w14:textId="77777777" w:rsidR="00F218F2" w:rsidRPr="00F218F2" w:rsidRDefault="00F218F2" w:rsidP="00D82D86">
                  <w:pPr>
                    <w:jc w:val="center"/>
                    <w:rPr>
                      <w:b/>
                      <w:sz w:val="16"/>
                      <w:szCs w:val="16"/>
                    </w:rPr>
                  </w:pPr>
                  <w:r w:rsidRPr="00F218F2">
                    <w:rPr>
                      <w:b/>
                      <w:sz w:val="16"/>
                      <w:szCs w:val="16"/>
                    </w:rPr>
                    <w:t>0.63 (0.45 - 0.89)</w:t>
                  </w:r>
                </w:p>
              </w:tc>
            </w:tr>
            <w:tr w:rsidR="00F218F2" w:rsidRPr="00F218F2" w14:paraId="359F8803" w14:textId="77777777" w:rsidTr="00D82D86">
              <w:tc>
                <w:tcPr>
                  <w:tcW w:w="2410" w:type="dxa"/>
                  <w:vAlign w:val="center"/>
                </w:tcPr>
                <w:p w14:paraId="359F87FE" w14:textId="77777777" w:rsidR="00F218F2" w:rsidRPr="00F218F2" w:rsidRDefault="00F218F2" w:rsidP="00D82D86">
                  <w:pPr>
                    <w:rPr>
                      <w:sz w:val="16"/>
                      <w:szCs w:val="16"/>
                      <w:lang w:val="en-US"/>
                    </w:rPr>
                  </w:pPr>
                  <w:r w:rsidRPr="00F218F2">
                    <w:rPr>
                      <w:sz w:val="16"/>
                      <w:szCs w:val="16"/>
                      <w:lang w:val="en-US"/>
                    </w:rPr>
                    <w:t>Interaction: directive study * pred. risk</w:t>
                  </w:r>
                  <w:r w:rsidRPr="00F218F2">
                    <w:rPr>
                      <w:rFonts w:cs="Arial"/>
                      <w:sz w:val="16"/>
                      <w:szCs w:val="16"/>
                      <w:vertAlign w:val="superscript"/>
                      <w:lang w:val="en-US"/>
                    </w:rPr>
                    <w:t>§</w:t>
                  </w:r>
                </w:p>
              </w:tc>
              <w:tc>
                <w:tcPr>
                  <w:tcW w:w="1843" w:type="dxa"/>
                  <w:vAlign w:val="center"/>
                </w:tcPr>
                <w:p w14:paraId="359F87FF" w14:textId="77777777" w:rsidR="00F218F2" w:rsidRPr="00F218F2" w:rsidRDefault="00F218F2" w:rsidP="00D82D86">
                  <w:pPr>
                    <w:jc w:val="center"/>
                    <w:rPr>
                      <w:sz w:val="16"/>
                      <w:szCs w:val="16"/>
                    </w:rPr>
                  </w:pPr>
                  <w:r w:rsidRPr="00F218F2">
                    <w:rPr>
                      <w:sz w:val="16"/>
                      <w:szCs w:val="16"/>
                    </w:rPr>
                    <w:t>1.2 (0.84 - 1.7)</w:t>
                  </w:r>
                </w:p>
              </w:tc>
              <w:tc>
                <w:tcPr>
                  <w:tcW w:w="1843" w:type="dxa"/>
                  <w:vAlign w:val="center"/>
                </w:tcPr>
                <w:p w14:paraId="359F8800" w14:textId="77777777" w:rsidR="00F218F2" w:rsidRPr="00F218F2" w:rsidRDefault="00F218F2" w:rsidP="00D82D86">
                  <w:pPr>
                    <w:jc w:val="center"/>
                    <w:rPr>
                      <w:b/>
                      <w:sz w:val="16"/>
                      <w:szCs w:val="16"/>
                    </w:rPr>
                  </w:pPr>
                  <w:r w:rsidRPr="00F218F2">
                    <w:rPr>
                      <w:b/>
                      <w:sz w:val="16"/>
                      <w:szCs w:val="16"/>
                    </w:rPr>
                    <w:t>0.51 (0.32 - 0.84)</w:t>
                  </w:r>
                </w:p>
              </w:tc>
              <w:tc>
                <w:tcPr>
                  <w:tcW w:w="1842" w:type="dxa"/>
                  <w:vAlign w:val="center"/>
                </w:tcPr>
                <w:p w14:paraId="359F8801" w14:textId="77777777" w:rsidR="00F218F2" w:rsidRPr="00F218F2" w:rsidRDefault="00F218F2" w:rsidP="00D82D86">
                  <w:pPr>
                    <w:jc w:val="center"/>
                    <w:rPr>
                      <w:sz w:val="16"/>
                      <w:szCs w:val="16"/>
                    </w:rPr>
                  </w:pPr>
                  <w:r w:rsidRPr="00F218F2">
                    <w:rPr>
                      <w:sz w:val="16"/>
                      <w:szCs w:val="16"/>
                    </w:rPr>
                    <w:t>0.96 (0.72 - 1.3)</w:t>
                  </w:r>
                </w:p>
              </w:tc>
              <w:tc>
                <w:tcPr>
                  <w:tcW w:w="1710" w:type="dxa"/>
                  <w:vAlign w:val="center"/>
                </w:tcPr>
                <w:p w14:paraId="359F8802" w14:textId="77777777" w:rsidR="00F218F2" w:rsidRPr="00F218F2" w:rsidRDefault="00F218F2" w:rsidP="00D82D86">
                  <w:pPr>
                    <w:jc w:val="center"/>
                    <w:rPr>
                      <w:sz w:val="16"/>
                      <w:szCs w:val="16"/>
                    </w:rPr>
                  </w:pPr>
                  <w:r w:rsidRPr="00F218F2">
                    <w:rPr>
                      <w:sz w:val="16"/>
                      <w:szCs w:val="16"/>
                    </w:rPr>
                    <w:t>0.99 (0.74 - 1.3)</w:t>
                  </w:r>
                </w:p>
              </w:tc>
            </w:tr>
            <w:tr w:rsidR="00F218F2" w:rsidRPr="00F218F2" w14:paraId="359F8809" w14:textId="77777777" w:rsidTr="00D82D86">
              <w:tc>
                <w:tcPr>
                  <w:tcW w:w="2410" w:type="dxa"/>
                  <w:vAlign w:val="center"/>
                </w:tcPr>
                <w:p w14:paraId="359F8804" w14:textId="77777777" w:rsidR="00F218F2" w:rsidRPr="00F218F2" w:rsidRDefault="00F218F2" w:rsidP="00D82D86">
                  <w:pPr>
                    <w:rPr>
                      <w:sz w:val="16"/>
                      <w:szCs w:val="16"/>
                      <w:lang w:val="en-US"/>
                    </w:rPr>
                  </w:pPr>
                  <w:r w:rsidRPr="00F218F2">
                    <w:rPr>
                      <w:sz w:val="16"/>
                      <w:szCs w:val="16"/>
                      <w:lang w:val="en-US"/>
                    </w:rPr>
                    <w:t>Interaction: intervention group * pred. risk</w:t>
                  </w:r>
                  <w:r w:rsidRPr="00F218F2">
                    <w:rPr>
                      <w:rFonts w:cs="Arial"/>
                      <w:sz w:val="16"/>
                      <w:szCs w:val="16"/>
                      <w:vertAlign w:val="superscript"/>
                      <w:lang w:val="en-US"/>
                    </w:rPr>
                    <w:t>§</w:t>
                  </w:r>
                </w:p>
              </w:tc>
              <w:tc>
                <w:tcPr>
                  <w:tcW w:w="1843" w:type="dxa"/>
                  <w:vAlign w:val="center"/>
                </w:tcPr>
                <w:p w14:paraId="359F8805" w14:textId="77777777" w:rsidR="00F218F2" w:rsidRPr="00F218F2" w:rsidRDefault="00F218F2" w:rsidP="00D82D86">
                  <w:pPr>
                    <w:jc w:val="center"/>
                    <w:rPr>
                      <w:sz w:val="16"/>
                      <w:szCs w:val="16"/>
                    </w:rPr>
                  </w:pPr>
                  <w:r w:rsidRPr="00F218F2">
                    <w:rPr>
                      <w:sz w:val="16"/>
                      <w:szCs w:val="16"/>
                    </w:rPr>
                    <w:t>1.1 (0.85 - 1.3)</w:t>
                  </w:r>
                </w:p>
              </w:tc>
              <w:tc>
                <w:tcPr>
                  <w:tcW w:w="1843" w:type="dxa"/>
                  <w:vAlign w:val="center"/>
                </w:tcPr>
                <w:p w14:paraId="359F8806" w14:textId="77777777" w:rsidR="00F218F2" w:rsidRPr="00F218F2" w:rsidRDefault="00F218F2" w:rsidP="00D82D86">
                  <w:pPr>
                    <w:jc w:val="center"/>
                    <w:rPr>
                      <w:sz w:val="16"/>
                      <w:szCs w:val="16"/>
                    </w:rPr>
                  </w:pPr>
                  <w:r w:rsidRPr="00F218F2">
                    <w:rPr>
                      <w:sz w:val="16"/>
                      <w:szCs w:val="16"/>
                    </w:rPr>
                    <w:t>1.1 (0.71 - 1.7)</w:t>
                  </w:r>
                </w:p>
              </w:tc>
              <w:tc>
                <w:tcPr>
                  <w:tcW w:w="1842" w:type="dxa"/>
                  <w:vAlign w:val="center"/>
                </w:tcPr>
                <w:p w14:paraId="359F8807" w14:textId="77777777" w:rsidR="00F218F2" w:rsidRPr="00F218F2" w:rsidRDefault="00F218F2" w:rsidP="00D82D86">
                  <w:pPr>
                    <w:jc w:val="center"/>
                    <w:rPr>
                      <w:sz w:val="16"/>
                      <w:szCs w:val="16"/>
                    </w:rPr>
                  </w:pPr>
                  <w:r w:rsidRPr="00F218F2">
                    <w:rPr>
                      <w:sz w:val="16"/>
                      <w:szCs w:val="16"/>
                    </w:rPr>
                    <w:t>0.98 (0.82 - 1.2)</w:t>
                  </w:r>
                </w:p>
              </w:tc>
              <w:tc>
                <w:tcPr>
                  <w:tcW w:w="1710" w:type="dxa"/>
                  <w:vAlign w:val="center"/>
                </w:tcPr>
                <w:p w14:paraId="359F8808" w14:textId="77777777" w:rsidR="00F218F2" w:rsidRPr="00F218F2" w:rsidRDefault="00F218F2" w:rsidP="00D82D86">
                  <w:pPr>
                    <w:jc w:val="center"/>
                    <w:rPr>
                      <w:sz w:val="16"/>
                      <w:szCs w:val="16"/>
                    </w:rPr>
                  </w:pPr>
                  <w:r w:rsidRPr="00F218F2">
                    <w:rPr>
                      <w:sz w:val="16"/>
                      <w:szCs w:val="16"/>
                    </w:rPr>
                    <w:t>0.99 (0.83 - 1.2)</w:t>
                  </w:r>
                </w:p>
              </w:tc>
            </w:tr>
            <w:tr w:rsidR="00F218F2" w:rsidRPr="00F218F2" w14:paraId="359F880F" w14:textId="77777777" w:rsidTr="00D82D86">
              <w:tc>
                <w:tcPr>
                  <w:tcW w:w="2410" w:type="dxa"/>
                  <w:vAlign w:val="center"/>
                </w:tcPr>
                <w:p w14:paraId="359F880A" w14:textId="77777777" w:rsidR="00F218F2" w:rsidRPr="00F218F2" w:rsidRDefault="00F218F2" w:rsidP="00D82D86">
                  <w:pPr>
                    <w:rPr>
                      <w:sz w:val="16"/>
                      <w:szCs w:val="16"/>
                      <w:lang w:val="en-US"/>
                    </w:rPr>
                  </w:pPr>
                  <w:r w:rsidRPr="00F218F2">
                    <w:rPr>
                      <w:sz w:val="16"/>
                      <w:szCs w:val="16"/>
                      <w:lang w:val="en-US"/>
                    </w:rPr>
                    <w:t>Interaction: directive study * intervention group * pred. risk</w:t>
                  </w:r>
                  <w:r w:rsidRPr="00F218F2">
                    <w:rPr>
                      <w:rFonts w:cs="Arial"/>
                      <w:sz w:val="16"/>
                      <w:szCs w:val="16"/>
                      <w:vertAlign w:val="superscript"/>
                      <w:lang w:val="en-US"/>
                    </w:rPr>
                    <w:t>§</w:t>
                  </w:r>
                </w:p>
              </w:tc>
              <w:tc>
                <w:tcPr>
                  <w:tcW w:w="1843" w:type="dxa"/>
                  <w:vAlign w:val="center"/>
                </w:tcPr>
                <w:p w14:paraId="359F880B" w14:textId="77777777" w:rsidR="00F218F2" w:rsidRPr="00F218F2" w:rsidRDefault="00F218F2" w:rsidP="00D82D86">
                  <w:pPr>
                    <w:jc w:val="center"/>
                    <w:rPr>
                      <w:b/>
                      <w:sz w:val="16"/>
                      <w:szCs w:val="16"/>
                    </w:rPr>
                  </w:pPr>
                  <w:r w:rsidRPr="00F218F2">
                    <w:rPr>
                      <w:b/>
                      <w:sz w:val="16"/>
                      <w:szCs w:val="16"/>
                    </w:rPr>
                    <w:t>0.42 (0.22 - 0.78)</w:t>
                  </w:r>
                </w:p>
              </w:tc>
              <w:tc>
                <w:tcPr>
                  <w:tcW w:w="1843" w:type="dxa"/>
                  <w:vAlign w:val="center"/>
                </w:tcPr>
                <w:p w14:paraId="359F880C" w14:textId="77777777" w:rsidR="00F218F2" w:rsidRPr="00F218F2" w:rsidRDefault="00F218F2" w:rsidP="00D82D86">
                  <w:pPr>
                    <w:jc w:val="center"/>
                    <w:rPr>
                      <w:sz w:val="16"/>
                      <w:szCs w:val="16"/>
                    </w:rPr>
                  </w:pPr>
                  <w:r w:rsidRPr="00F218F2">
                    <w:rPr>
                      <w:sz w:val="16"/>
                      <w:szCs w:val="16"/>
                    </w:rPr>
                    <w:t>0.99 (0.77 - 1.3)</w:t>
                  </w:r>
                </w:p>
              </w:tc>
              <w:tc>
                <w:tcPr>
                  <w:tcW w:w="1842" w:type="dxa"/>
                  <w:vAlign w:val="center"/>
                </w:tcPr>
                <w:p w14:paraId="359F880D" w14:textId="77777777" w:rsidR="00F218F2" w:rsidRPr="00F218F2" w:rsidRDefault="00F218F2" w:rsidP="00D82D86">
                  <w:pPr>
                    <w:jc w:val="center"/>
                    <w:rPr>
                      <w:b/>
                      <w:sz w:val="16"/>
                      <w:szCs w:val="16"/>
                    </w:rPr>
                  </w:pPr>
                  <w:r w:rsidRPr="00F218F2">
                    <w:rPr>
                      <w:b/>
                      <w:sz w:val="16"/>
                      <w:szCs w:val="16"/>
                    </w:rPr>
                    <w:t>0.58 (0.36 - 0.92)</w:t>
                  </w:r>
                </w:p>
              </w:tc>
              <w:tc>
                <w:tcPr>
                  <w:tcW w:w="1710" w:type="dxa"/>
                  <w:vAlign w:val="center"/>
                </w:tcPr>
                <w:p w14:paraId="359F880E" w14:textId="77777777" w:rsidR="00F218F2" w:rsidRPr="00F218F2" w:rsidRDefault="00F218F2" w:rsidP="00D82D86">
                  <w:pPr>
                    <w:jc w:val="center"/>
                    <w:rPr>
                      <w:b/>
                      <w:sz w:val="16"/>
                      <w:szCs w:val="16"/>
                    </w:rPr>
                  </w:pPr>
                  <w:r w:rsidRPr="00F218F2">
                    <w:rPr>
                      <w:b/>
                      <w:sz w:val="16"/>
                      <w:szCs w:val="16"/>
                    </w:rPr>
                    <w:t>0.54 (0.34 - 0.87)</w:t>
                  </w:r>
                </w:p>
              </w:tc>
            </w:tr>
            <w:tr w:rsidR="00F218F2" w:rsidRPr="00B71E75" w14:paraId="359F8811" w14:textId="77777777" w:rsidTr="00D82D86">
              <w:tc>
                <w:tcPr>
                  <w:tcW w:w="9648" w:type="dxa"/>
                  <w:gridSpan w:val="5"/>
                  <w:vAlign w:val="center"/>
                </w:tcPr>
                <w:p w14:paraId="359F8810" w14:textId="78C6B16C" w:rsidR="00F218F2" w:rsidRPr="00F218F2" w:rsidRDefault="00F218F2" w:rsidP="00D82D86">
                  <w:pPr>
                    <w:rPr>
                      <w:sz w:val="16"/>
                      <w:szCs w:val="16"/>
                      <w:lang w:val="en-US"/>
                    </w:rPr>
                  </w:pPr>
                  <w:r w:rsidRPr="00F218F2">
                    <w:rPr>
                      <w:sz w:val="16"/>
                      <w:szCs w:val="16"/>
                      <w:lang w:val="en-US"/>
                    </w:rPr>
                    <w:t xml:space="preserve">Numbers represent odds ratios with 95% confidence intervals </w:t>
                  </w:r>
                </w:p>
              </w:tc>
            </w:tr>
            <w:tr w:rsidR="00F218F2" w:rsidRPr="00B71E75" w14:paraId="359F8813" w14:textId="77777777" w:rsidTr="00D82D86">
              <w:tc>
                <w:tcPr>
                  <w:tcW w:w="9648" w:type="dxa"/>
                  <w:gridSpan w:val="5"/>
                  <w:vAlign w:val="center"/>
                </w:tcPr>
                <w:p w14:paraId="359F8812" w14:textId="00E39DA0" w:rsidR="00F218F2" w:rsidRPr="00F218F2" w:rsidRDefault="00F218F2" w:rsidP="00D82D86">
                  <w:pPr>
                    <w:rPr>
                      <w:rFonts w:eastAsia="Arial"/>
                      <w:sz w:val="16"/>
                      <w:szCs w:val="16"/>
                      <w:lang w:val="en-US"/>
                    </w:rPr>
                  </w:pPr>
                  <w:r w:rsidRPr="00F218F2">
                    <w:rPr>
                      <w:rFonts w:eastAsia="Arial"/>
                      <w:sz w:val="16"/>
                      <w:szCs w:val="16"/>
                      <w:lang w:val="en-US"/>
                    </w:rPr>
                    <w:t>Bold numbers are statistically significant odds ratios</w:t>
                  </w:r>
                </w:p>
              </w:tc>
            </w:tr>
            <w:tr w:rsidR="00F218F2" w:rsidRPr="00B71E75" w14:paraId="359F8815" w14:textId="77777777" w:rsidTr="00D82D86">
              <w:tc>
                <w:tcPr>
                  <w:tcW w:w="9648" w:type="dxa"/>
                  <w:gridSpan w:val="5"/>
                  <w:vAlign w:val="center"/>
                </w:tcPr>
                <w:p w14:paraId="359F8814" w14:textId="77777777" w:rsidR="00F218F2" w:rsidRPr="00F218F2" w:rsidRDefault="00F218F2" w:rsidP="00D82D86">
                  <w:pPr>
                    <w:rPr>
                      <w:sz w:val="16"/>
                      <w:szCs w:val="16"/>
                      <w:lang w:val="en-US"/>
                    </w:rPr>
                  </w:pPr>
                  <w:r w:rsidRPr="00F218F2">
                    <w:rPr>
                      <w:rFonts w:eastAsia="Arial"/>
                      <w:sz w:val="16"/>
                      <w:szCs w:val="16"/>
                      <w:lang w:val="en-US"/>
                    </w:rPr>
                    <w:t>*</w:t>
                  </w:r>
                  <w:r w:rsidRPr="00F218F2">
                    <w:rPr>
                      <w:sz w:val="16"/>
                      <w:szCs w:val="16"/>
                      <w:lang w:val="en-US"/>
                    </w:rPr>
                    <w:t xml:space="preserve"> Cases with missing variables were discarded</w:t>
                  </w:r>
                </w:p>
              </w:tc>
            </w:tr>
            <w:tr w:rsidR="00F218F2" w:rsidRPr="00B71E75" w14:paraId="359F8817" w14:textId="77777777" w:rsidTr="00D82D86">
              <w:tc>
                <w:tcPr>
                  <w:tcW w:w="9648" w:type="dxa"/>
                  <w:gridSpan w:val="5"/>
                  <w:vAlign w:val="center"/>
                </w:tcPr>
                <w:p w14:paraId="359F8816" w14:textId="77777777" w:rsidR="00F218F2" w:rsidRPr="00F218F2" w:rsidRDefault="00F218F2" w:rsidP="00D82D86">
                  <w:pPr>
                    <w:rPr>
                      <w:sz w:val="16"/>
                      <w:szCs w:val="16"/>
                      <w:lang w:val="en-US"/>
                    </w:rPr>
                  </w:pPr>
                  <w:r w:rsidRPr="00F218F2">
                    <w:rPr>
                      <w:rFonts w:cs="Arial"/>
                      <w:sz w:val="16"/>
                      <w:szCs w:val="16"/>
                      <w:vertAlign w:val="superscript"/>
                      <w:lang w:val="en-US"/>
                    </w:rPr>
                    <w:t>†</w:t>
                  </w:r>
                  <w:r w:rsidRPr="00F218F2">
                    <w:rPr>
                      <w:sz w:val="16"/>
                      <w:szCs w:val="16"/>
                      <w:lang w:val="en-US"/>
                    </w:rPr>
                    <w:t xml:space="preserve"> Adjusted for possible confounders: age (continuous, restricted cubic splines, 5 knots), gender, ASA class, current smoking, middle ear of abdominal surgery, history of PONV / motion sickness, use of inhalational anesthesia, procedure duration (continuous, restricted cubic splines, 5 knots)</w:t>
                  </w:r>
                </w:p>
              </w:tc>
            </w:tr>
            <w:tr w:rsidR="00F218F2" w:rsidRPr="00F218F2" w14:paraId="359F8819" w14:textId="77777777" w:rsidTr="00D82D86">
              <w:tc>
                <w:tcPr>
                  <w:tcW w:w="9648" w:type="dxa"/>
                  <w:gridSpan w:val="5"/>
                  <w:vAlign w:val="center"/>
                </w:tcPr>
                <w:p w14:paraId="359F8818" w14:textId="77777777" w:rsidR="00F218F2" w:rsidRPr="00F218F2" w:rsidRDefault="00F218F2" w:rsidP="00D82D86">
                  <w:pPr>
                    <w:rPr>
                      <w:sz w:val="16"/>
                      <w:szCs w:val="16"/>
                      <w:lang w:val="en-US"/>
                    </w:rPr>
                  </w:pPr>
                  <w:r w:rsidRPr="00F218F2">
                    <w:rPr>
                      <w:rFonts w:cs="Arial"/>
                      <w:sz w:val="16"/>
                      <w:szCs w:val="16"/>
                      <w:vertAlign w:val="superscript"/>
                      <w:lang w:val="en-US"/>
                    </w:rPr>
                    <w:t>‡</w:t>
                  </w:r>
                  <w:r w:rsidRPr="00F218F2">
                    <w:rPr>
                      <w:sz w:val="16"/>
                      <w:szCs w:val="16"/>
                      <w:lang w:val="en-US"/>
                    </w:rPr>
                    <w:t xml:space="preserve"> Using 10 imputation datasets</w:t>
                  </w:r>
                </w:p>
              </w:tc>
            </w:tr>
          </w:tbl>
          <w:p w14:paraId="359F881A" w14:textId="77777777" w:rsidR="00F218F2" w:rsidRPr="000C0EB5" w:rsidRDefault="00F218F2" w:rsidP="00D82D86">
            <w:pPr>
              <w:rPr>
                <w:sz w:val="16"/>
                <w:szCs w:val="16"/>
                <w:lang w:val="en-US"/>
              </w:rPr>
            </w:pPr>
          </w:p>
        </w:tc>
        <w:tc>
          <w:tcPr>
            <w:tcW w:w="6" w:type="dxa"/>
            <w:vAlign w:val="center"/>
          </w:tcPr>
          <w:p w14:paraId="359F881B" w14:textId="77777777" w:rsidR="00F218F2" w:rsidRPr="000C0EB5" w:rsidRDefault="00F218F2" w:rsidP="00D82D86">
            <w:pPr>
              <w:jc w:val="right"/>
              <w:rPr>
                <w:sz w:val="16"/>
                <w:szCs w:val="16"/>
                <w:lang w:val="en-US"/>
              </w:rPr>
            </w:pPr>
          </w:p>
        </w:tc>
        <w:tc>
          <w:tcPr>
            <w:tcW w:w="6" w:type="dxa"/>
            <w:vAlign w:val="center"/>
          </w:tcPr>
          <w:p w14:paraId="359F881C" w14:textId="77777777" w:rsidR="00F218F2" w:rsidRPr="000C0EB5" w:rsidRDefault="00F218F2" w:rsidP="00D82D86">
            <w:pPr>
              <w:jc w:val="right"/>
              <w:rPr>
                <w:sz w:val="16"/>
                <w:szCs w:val="16"/>
                <w:lang w:val="en-US"/>
              </w:rPr>
            </w:pPr>
          </w:p>
        </w:tc>
        <w:tc>
          <w:tcPr>
            <w:tcW w:w="6" w:type="dxa"/>
            <w:vAlign w:val="center"/>
          </w:tcPr>
          <w:p w14:paraId="359F881D" w14:textId="77777777" w:rsidR="00F218F2" w:rsidRPr="000C0EB5" w:rsidRDefault="00F218F2" w:rsidP="00D82D86">
            <w:pPr>
              <w:jc w:val="right"/>
              <w:rPr>
                <w:sz w:val="16"/>
                <w:szCs w:val="16"/>
                <w:lang w:val="en-US"/>
              </w:rPr>
            </w:pPr>
          </w:p>
        </w:tc>
        <w:tc>
          <w:tcPr>
            <w:tcW w:w="6" w:type="dxa"/>
            <w:vAlign w:val="center"/>
          </w:tcPr>
          <w:p w14:paraId="359F881E" w14:textId="77777777" w:rsidR="00F218F2" w:rsidRPr="000C0EB5" w:rsidRDefault="00F218F2" w:rsidP="00D82D86">
            <w:pPr>
              <w:jc w:val="right"/>
              <w:rPr>
                <w:sz w:val="16"/>
                <w:szCs w:val="16"/>
                <w:lang w:val="en-US"/>
              </w:rPr>
            </w:pPr>
          </w:p>
        </w:tc>
      </w:tr>
      <w:tr w:rsidR="00F218F2" w:rsidRPr="00B71E75" w14:paraId="359F8825" w14:textId="77777777" w:rsidTr="00D82D86">
        <w:trPr>
          <w:trHeight w:val="237"/>
        </w:trPr>
        <w:tc>
          <w:tcPr>
            <w:tcW w:w="9648" w:type="dxa"/>
            <w:vAlign w:val="center"/>
          </w:tcPr>
          <w:p w14:paraId="359F8820" w14:textId="77777777" w:rsidR="00F218F2" w:rsidRPr="00580B3C" w:rsidRDefault="00F218F2" w:rsidP="00D82D86">
            <w:pPr>
              <w:rPr>
                <w:b/>
                <w:sz w:val="16"/>
                <w:szCs w:val="16"/>
                <w:lang w:val="en-US"/>
              </w:rPr>
            </w:pPr>
            <w:r w:rsidRPr="00580B3C">
              <w:rPr>
                <w:rFonts w:cs="Arial"/>
                <w:sz w:val="16"/>
                <w:szCs w:val="16"/>
                <w:vertAlign w:val="superscript"/>
                <w:lang w:val="en-US"/>
              </w:rPr>
              <w:t>§</w:t>
            </w:r>
            <w:r w:rsidRPr="00580B3C">
              <w:rPr>
                <w:sz w:val="16"/>
                <w:szCs w:val="16"/>
                <w:lang w:val="en-US"/>
              </w:rPr>
              <w:t xml:space="preserve"> Odds ratios represent predicted risks of 100% (a probability of 1)</w:t>
            </w:r>
          </w:p>
        </w:tc>
        <w:tc>
          <w:tcPr>
            <w:tcW w:w="6" w:type="dxa"/>
            <w:vAlign w:val="center"/>
          </w:tcPr>
          <w:p w14:paraId="359F8821" w14:textId="77777777" w:rsidR="00F218F2" w:rsidRPr="00580B3C" w:rsidRDefault="00F218F2" w:rsidP="00D82D86">
            <w:pPr>
              <w:jc w:val="right"/>
              <w:rPr>
                <w:sz w:val="16"/>
                <w:szCs w:val="16"/>
                <w:lang w:val="en-US"/>
              </w:rPr>
            </w:pPr>
          </w:p>
        </w:tc>
        <w:tc>
          <w:tcPr>
            <w:tcW w:w="6" w:type="dxa"/>
            <w:vAlign w:val="center"/>
          </w:tcPr>
          <w:p w14:paraId="359F8822" w14:textId="77777777" w:rsidR="00F218F2" w:rsidRPr="00580B3C" w:rsidRDefault="00F218F2" w:rsidP="00D82D86">
            <w:pPr>
              <w:jc w:val="right"/>
              <w:rPr>
                <w:sz w:val="16"/>
                <w:szCs w:val="16"/>
                <w:lang w:val="en-US"/>
              </w:rPr>
            </w:pPr>
          </w:p>
        </w:tc>
        <w:tc>
          <w:tcPr>
            <w:tcW w:w="6" w:type="dxa"/>
            <w:vAlign w:val="center"/>
          </w:tcPr>
          <w:p w14:paraId="359F8823" w14:textId="77777777" w:rsidR="00F218F2" w:rsidRPr="00580B3C" w:rsidRDefault="00F218F2" w:rsidP="00D82D86">
            <w:pPr>
              <w:jc w:val="right"/>
              <w:rPr>
                <w:sz w:val="16"/>
                <w:szCs w:val="16"/>
                <w:lang w:val="en-US"/>
              </w:rPr>
            </w:pPr>
          </w:p>
        </w:tc>
        <w:tc>
          <w:tcPr>
            <w:tcW w:w="6" w:type="dxa"/>
            <w:vAlign w:val="center"/>
          </w:tcPr>
          <w:p w14:paraId="359F8824" w14:textId="77777777" w:rsidR="00F218F2" w:rsidRPr="00580B3C" w:rsidRDefault="00F218F2" w:rsidP="00D82D86">
            <w:pPr>
              <w:jc w:val="right"/>
              <w:rPr>
                <w:sz w:val="16"/>
                <w:szCs w:val="16"/>
                <w:lang w:val="en-US"/>
              </w:rPr>
            </w:pPr>
          </w:p>
        </w:tc>
      </w:tr>
      <w:bookmarkEnd w:id="2"/>
    </w:tbl>
    <w:p w14:paraId="359F8826" w14:textId="77777777" w:rsidR="00580B3C" w:rsidRDefault="00580B3C" w:rsidP="00F218F2">
      <w:pPr>
        <w:rPr>
          <w:lang w:val="en-US"/>
        </w:rPr>
      </w:pPr>
    </w:p>
    <w:p w14:paraId="359F8827" w14:textId="77777777" w:rsidR="00580B3C" w:rsidRDefault="00580B3C">
      <w:pPr>
        <w:suppressAutoHyphens w:val="0"/>
        <w:spacing w:line="240" w:lineRule="auto"/>
        <w:rPr>
          <w:lang w:val="en-US"/>
        </w:rPr>
      </w:pPr>
      <w:r>
        <w:rPr>
          <w:lang w:val="en-US"/>
        </w:rPr>
        <w:br w:type="page"/>
      </w:r>
    </w:p>
    <w:p w14:paraId="359F8828" w14:textId="77777777" w:rsidR="00580B3C" w:rsidRPr="004817FA" w:rsidRDefault="00580B3C" w:rsidP="00580B3C">
      <w:pPr>
        <w:pStyle w:val="Heading1"/>
      </w:pPr>
      <w:bookmarkStart w:id="3" w:name="_GoBack"/>
      <w:bookmarkEnd w:id="3"/>
      <w:r w:rsidRPr="004817FA">
        <w:lastRenderedPageBreak/>
        <w:t>References</w:t>
      </w:r>
    </w:p>
    <w:p w14:paraId="4F8E6862" w14:textId="1C4B0086" w:rsidR="00B71E75" w:rsidRPr="00B71E75" w:rsidRDefault="00580B3C" w:rsidP="00B71E75">
      <w:pPr>
        <w:widowControl w:val="0"/>
        <w:autoSpaceDE w:val="0"/>
        <w:autoSpaceDN w:val="0"/>
        <w:adjustRightInd w:val="0"/>
        <w:rPr>
          <w:rFonts w:cs="Arial"/>
          <w:noProof/>
        </w:rPr>
      </w:pPr>
      <w:r>
        <w:rPr>
          <w:lang w:val="en-US"/>
        </w:rPr>
        <w:fldChar w:fldCharType="begin" w:fldLock="1"/>
      </w:r>
      <w:r w:rsidRPr="004817FA">
        <w:instrText xml:space="preserve">ADDIN Mendeley Bibliography CSL_BIBLIOGRAPHY </w:instrText>
      </w:r>
      <w:r>
        <w:rPr>
          <w:lang w:val="en-US"/>
        </w:rPr>
        <w:fldChar w:fldCharType="separate"/>
      </w:r>
      <w:r w:rsidR="00B71E75" w:rsidRPr="00B71E75">
        <w:rPr>
          <w:rFonts w:cs="Arial"/>
          <w:noProof/>
        </w:rPr>
        <w:t>1. Kappen TH, Moons KGM, van Wolfswinkel L, Kalkman CJ, Vergouwe Y, van Klei WA. Impact of risk assessments on prophylactic antiemetic prescription and the incidence of postoperative nausea and vomiting: a cluster-randomized trial. Anesthesiology. 2014;120:343–54. doi:10.1097/ALN.0000000000000009.</w:t>
      </w:r>
    </w:p>
    <w:p w14:paraId="2547697F" w14:textId="77777777" w:rsidR="00B71E75" w:rsidRPr="00B71E75" w:rsidRDefault="00B71E75" w:rsidP="00B71E75">
      <w:pPr>
        <w:widowControl w:val="0"/>
        <w:autoSpaceDE w:val="0"/>
        <w:autoSpaceDN w:val="0"/>
        <w:adjustRightInd w:val="0"/>
        <w:rPr>
          <w:rFonts w:cs="Arial"/>
          <w:noProof/>
        </w:rPr>
      </w:pPr>
      <w:r w:rsidRPr="00B71E75">
        <w:rPr>
          <w:rFonts w:cs="Arial"/>
          <w:noProof/>
        </w:rPr>
        <w:t>2. Kappen TH, Vergouwe Y, van Wolfswinkel L, Kalkman CJJ, Moons KGMGM, van Klei WAA. Impact of adding therapeutic recommendations to risk assessments from a prediction model for postoperative nausea and vomiting. Br J Anaesth. 2015;114:252–60. doi:10.1093/bja/aeu321.</w:t>
      </w:r>
    </w:p>
    <w:p w14:paraId="3FA6EFAC" w14:textId="77777777" w:rsidR="00B71E75" w:rsidRPr="00B71E75" w:rsidRDefault="00B71E75" w:rsidP="00B71E75">
      <w:pPr>
        <w:widowControl w:val="0"/>
        <w:autoSpaceDE w:val="0"/>
        <w:autoSpaceDN w:val="0"/>
        <w:adjustRightInd w:val="0"/>
        <w:rPr>
          <w:rFonts w:cs="Arial"/>
          <w:noProof/>
        </w:rPr>
      </w:pPr>
      <w:r w:rsidRPr="00B71E75">
        <w:rPr>
          <w:rFonts w:cs="Arial"/>
          <w:noProof/>
        </w:rPr>
        <w:t>3. Visser K, Hassink E a, Bonsel GJ, Moen J, Kalkman CJ. Randomized controlled trial of total intravenous anesthesia with propofol versus inhalation anesthesia with isoflurane-nitrous oxide: postoperative nausea with vomiting and economic analysis. Anesthesiology. 2001;95:616–26.</w:t>
      </w:r>
    </w:p>
    <w:p w14:paraId="02457EB7" w14:textId="77777777" w:rsidR="00B71E75" w:rsidRPr="00B71E75" w:rsidRDefault="00B71E75" w:rsidP="00B71E75">
      <w:pPr>
        <w:widowControl w:val="0"/>
        <w:autoSpaceDE w:val="0"/>
        <w:autoSpaceDN w:val="0"/>
        <w:adjustRightInd w:val="0"/>
        <w:rPr>
          <w:rFonts w:cs="Arial"/>
          <w:noProof/>
        </w:rPr>
      </w:pPr>
      <w:r w:rsidRPr="00B71E75">
        <w:rPr>
          <w:rFonts w:cs="Arial"/>
          <w:noProof/>
        </w:rPr>
        <w:t>4. van den Bosch JE. Prediction of postoperative nausea and vomiting. [PhD Thesis]. 2006.</w:t>
      </w:r>
    </w:p>
    <w:p w14:paraId="3F1AF52B" w14:textId="77777777" w:rsidR="00B71E75" w:rsidRPr="00B71E75" w:rsidRDefault="00B71E75" w:rsidP="00B71E75">
      <w:pPr>
        <w:widowControl w:val="0"/>
        <w:autoSpaceDE w:val="0"/>
        <w:autoSpaceDN w:val="0"/>
        <w:adjustRightInd w:val="0"/>
        <w:rPr>
          <w:rFonts w:cs="Arial"/>
          <w:noProof/>
        </w:rPr>
      </w:pPr>
      <w:r w:rsidRPr="00B71E75">
        <w:rPr>
          <w:rFonts w:cs="Arial"/>
          <w:noProof/>
        </w:rPr>
        <w:t>5. Kappen TH, Vergouwe Y, van Klei WA, van Wolfswinkel L, Kalkman CJ, Moons KGM. Adaptation of clinical prediction models for application in local settings. Med Decis Making. 2012;32:E1-10. doi:10.1177/0272989X12439755.</w:t>
      </w:r>
    </w:p>
    <w:p w14:paraId="083C3F6E" w14:textId="77777777" w:rsidR="00B71E75" w:rsidRPr="00B71E75" w:rsidRDefault="00B71E75" w:rsidP="00B71E75">
      <w:pPr>
        <w:widowControl w:val="0"/>
        <w:autoSpaceDE w:val="0"/>
        <w:autoSpaceDN w:val="0"/>
        <w:adjustRightInd w:val="0"/>
        <w:rPr>
          <w:rFonts w:cs="Arial"/>
          <w:noProof/>
        </w:rPr>
      </w:pPr>
      <w:r w:rsidRPr="00B71E75">
        <w:rPr>
          <w:rFonts w:cs="Arial"/>
          <w:noProof/>
        </w:rPr>
        <w:t>6. van den Bosch JE, Kalkman CJ, Vergouwe Y, Van Klei W a, Bonsel GJ, Grobbee DE, et al. Assessing the applicability of scoring systems for predicting postoperative nausea and vomiting. Anaesthesia. 2005;60:323–31. doi:10.1111/j.1365-2044.2005.04121.x.</w:t>
      </w:r>
    </w:p>
    <w:p w14:paraId="0A5A0A0C" w14:textId="77777777" w:rsidR="00B71E75" w:rsidRPr="00B71E75" w:rsidRDefault="00B71E75" w:rsidP="00B71E75">
      <w:pPr>
        <w:widowControl w:val="0"/>
        <w:autoSpaceDE w:val="0"/>
        <w:autoSpaceDN w:val="0"/>
        <w:adjustRightInd w:val="0"/>
        <w:rPr>
          <w:rFonts w:cs="Arial"/>
          <w:noProof/>
        </w:rPr>
      </w:pPr>
      <w:r w:rsidRPr="00B71E75">
        <w:rPr>
          <w:rFonts w:cs="Arial"/>
          <w:noProof/>
        </w:rPr>
        <w:t>7. Groenwold RHH, Klungel OH, Grobbee DE, Hoes AW. Selection of confounding variables should not be based on observed associations with exposure. Eur J Epidemiol. 2011;26:589–93. doi:10.1007/s10654-011-9606-1.</w:t>
      </w:r>
    </w:p>
    <w:p w14:paraId="3B4032D8" w14:textId="77777777" w:rsidR="00B71E75" w:rsidRPr="00B71E75" w:rsidRDefault="00B71E75" w:rsidP="00B71E75">
      <w:pPr>
        <w:widowControl w:val="0"/>
        <w:autoSpaceDE w:val="0"/>
        <w:autoSpaceDN w:val="0"/>
        <w:adjustRightInd w:val="0"/>
        <w:rPr>
          <w:rFonts w:cs="Arial"/>
          <w:noProof/>
        </w:rPr>
      </w:pPr>
      <w:r w:rsidRPr="00B71E75">
        <w:rPr>
          <w:rFonts w:cs="Arial"/>
          <w:noProof/>
        </w:rPr>
        <w:t>8. Harrell FE, Lee KL, Mark DB. Multivariable prognostic models: issues in developing models, evaluating assumptions and adequacy, and measuring and reducing errors. Stat Med. 1996;15:361–87. doi:10.1002/(SICI)1097-0258(19960229)15:4&lt;361::AID-SIM168&gt;3.0.CO;2-4.</w:t>
      </w:r>
    </w:p>
    <w:p w14:paraId="28EB630F" w14:textId="77777777" w:rsidR="00B71E75" w:rsidRPr="00B71E75" w:rsidRDefault="00B71E75" w:rsidP="00B71E75">
      <w:pPr>
        <w:widowControl w:val="0"/>
        <w:autoSpaceDE w:val="0"/>
        <w:autoSpaceDN w:val="0"/>
        <w:adjustRightInd w:val="0"/>
        <w:rPr>
          <w:rFonts w:cs="Arial"/>
          <w:noProof/>
        </w:rPr>
      </w:pPr>
      <w:r w:rsidRPr="00B71E75">
        <w:rPr>
          <w:rFonts w:cs="Arial"/>
          <w:noProof/>
        </w:rPr>
        <w:lastRenderedPageBreak/>
        <w:t>9. Little RJA. Regression with missing x’s: A review. J Am Stat Assoc. 1992;87:1227–37. doi:10.2307/2290664.</w:t>
      </w:r>
    </w:p>
    <w:p w14:paraId="69440113" w14:textId="77777777" w:rsidR="00B71E75" w:rsidRPr="00B71E75" w:rsidRDefault="00B71E75" w:rsidP="00B71E75">
      <w:pPr>
        <w:widowControl w:val="0"/>
        <w:autoSpaceDE w:val="0"/>
        <w:autoSpaceDN w:val="0"/>
        <w:adjustRightInd w:val="0"/>
        <w:rPr>
          <w:rFonts w:cs="Arial"/>
          <w:noProof/>
        </w:rPr>
      </w:pPr>
      <w:r w:rsidRPr="00B71E75">
        <w:rPr>
          <w:rFonts w:cs="Arial"/>
          <w:noProof/>
        </w:rPr>
        <w:t>10. van Buuren S, Boshuizen HC, Knook DL. Multiple imputation of missing blood pressure covariates in survival analysis. Stat Med. 1999;18:681–94.</w:t>
      </w:r>
    </w:p>
    <w:p w14:paraId="70EA32CE" w14:textId="77777777" w:rsidR="00B71E75" w:rsidRPr="00B71E75" w:rsidRDefault="00B71E75" w:rsidP="00B71E75">
      <w:pPr>
        <w:widowControl w:val="0"/>
        <w:autoSpaceDE w:val="0"/>
        <w:autoSpaceDN w:val="0"/>
        <w:adjustRightInd w:val="0"/>
        <w:rPr>
          <w:rFonts w:cs="Arial"/>
          <w:noProof/>
        </w:rPr>
      </w:pPr>
      <w:r w:rsidRPr="00B71E75">
        <w:rPr>
          <w:rFonts w:cs="Arial"/>
          <w:noProof/>
        </w:rPr>
        <w:t>11. Donders ART, van der Heijden GJMG, Stijnen T, Moons KGM. Review: a gentle introduction to imputation of missing values. J Clin Epidemiol. 2006;59:1087–91. doi:10.1016/j.jclinepi.2006.01.014.</w:t>
      </w:r>
    </w:p>
    <w:p w14:paraId="359F8834" w14:textId="77777777" w:rsidR="009B0D00" w:rsidRPr="0028677C" w:rsidRDefault="00580B3C" w:rsidP="00580B3C">
      <w:pPr>
        <w:widowControl w:val="0"/>
        <w:autoSpaceDE w:val="0"/>
        <w:autoSpaceDN w:val="0"/>
        <w:adjustRightInd w:val="0"/>
        <w:ind w:left="640" w:hanging="640"/>
        <w:rPr>
          <w:lang w:val="en-US"/>
        </w:rPr>
      </w:pPr>
      <w:r>
        <w:rPr>
          <w:lang w:val="en-US"/>
        </w:rPr>
        <w:fldChar w:fldCharType="end"/>
      </w:r>
    </w:p>
    <w:sectPr w:rsidR="009B0D00" w:rsidRPr="0028677C" w:rsidSect="00F8666B">
      <w:pgSz w:w="11906" w:h="16838"/>
      <w:pgMar w:top="1418" w:right="1418" w:bottom="1418" w:left="1418" w:header="709" w:footer="709" w:gutter="0"/>
      <w:cols w:space="708"/>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88885" w14:textId="77777777" w:rsidR="00B02D7C" w:rsidRDefault="00B02D7C" w:rsidP="00EB37B3">
      <w:pPr>
        <w:spacing w:line="240" w:lineRule="auto"/>
      </w:pPr>
      <w:r>
        <w:separator/>
      </w:r>
    </w:p>
  </w:endnote>
  <w:endnote w:type="continuationSeparator" w:id="0">
    <w:p w14:paraId="328B792A" w14:textId="77777777" w:rsidR="00B02D7C" w:rsidRDefault="00B02D7C" w:rsidP="00EB37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0" w:usb2="00000016" w:usb3="00000000" w:csb0="0004001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03428" w14:textId="77777777" w:rsidR="00B02D7C" w:rsidRDefault="00B02D7C" w:rsidP="00EB37B3">
      <w:pPr>
        <w:spacing w:line="240" w:lineRule="auto"/>
      </w:pPr>
      <w:r>
        <w:separator/>
      </w:r>
    </w:p>
  </w:footnote>
  <w:footnote w:type="continuationSeparator" w:id="0">
    <w:p w14:paraId="6E252B91" w14:textId="77777777" w:rsidR="00B02D7C" w:rsidRDefault="00B02D7C" w:rsidP="00EB37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9A03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E2B"/>
    <w:rsid w:val="000000CA"/>
    <w:rsid w:val="000023AA"/>
    <w:rsid w:val="0000329D"/>
    <w:rsid w:val="00013FC7"/>
    <w:rsid w:val="0002539A"/>
    <w:rsid w:val="00025562"/>
    <w:rsid w:val="00025826"/>
    <w:rsid w:val="00035CF4"/>
    <w:rsid w:val="00040D63"/>
    <w:rsid w:val="000418A3"/>
    <w:rsid w:val="0004408C"/>
    <w:rsid w:val="0005299A"/>
    <w:rsid w:val="0006088A"/>
    <w:rsid w:val="00063998"/>
    <w:rsid w:val="000659C0"/>
    <w:rsid w:val="00070E05"/>
    <w:rsid w:val="00075045"/>
    <w:rsid w:val="000858CD"/>
    <w:rsid w:val="00092EE3"/>
    <w:rsid w:val="000963D5"/>
    <w:rsid w:val="0009713E"/>
    <w:rsid w:val="000979EC"/>
    <w:rsid w:val="000A2B3A"/>
    <w:rsid w:val="000A35E5"/>
    <w:rsid w:val="000A3CA8"/>
    <w:rsid w:val="000A47BA"/>
    <w:rsid w:val="000A5CCF"/>
    <w:rsid w:val="000A71C0"/>
    <w:rsid w:val="000A7458"/>
    <w:rsid w:val="000B7785"/>
    <w:rsid w:val="000C0EB5"/>
    <w:rsid w:val="000C14C1"/>
    <w:rsid w:val="000C7E37"/>
    <w:rsid w:val="000D78D2"/>
    <w:rsid w:val="000E20EA"/>
    <w:rsid w:val="000E3F21"/>
    <w:rsid w:val="000E4B3F"/>
    <w:rsid w:val="000F14B0"/>
    <w:rsid w:val="0011773A"/>
    <w:rsid w:val="00133677"/>
    <w:rsid w:val="00134F5C"/>
    <w:rsid w:val="0014078D"/>
    <w:rsid w:val="00141256"/>
    <w:rsid w:val="00143978"/>
    <w:rsid w:val="00144B1A"/>
    <w:rsid w:val="001544F3"/>
    <w:rsid w:val="00154679"/>
    <w:rsid w:val="001575CB"/>
    <w:rsid w:val="00170664"/>
    <w:rsid w:val="00173348"/>
    <w:rsid w:val="00173366"/>
    <w:rsid w:val="001745F2"/>
    <w:rsid w:val="00175E46"/>
    <w:rsid w:val="00176711"/>
    <w:rsid w:val="0018333E"/>
    <w:rsid w:val="001939E8"/>
    <w:rsid w:val="001949AB"/>
    <w:rsid w:val="001958DD"/>
    <w:rsid w:val="0019710A"/>
    <w:rsid w:val="001A1A95"/>
    <w:rsid w:val="001A51ED"/>
    <w:rsid w:val="001A7F69"/>
    <w:rsid w:val="001B2BF8"/>
    <w:rsid w:val="001D0AE2"/>
    <w:rsid w:val="001D0E35"/>
    <w:rsid w:val="001D4082"/>
    <w:rsid w:val="001F18A7"/>
    <w:rsid w:val="001F5693"/>
    <w:rsid w:val="00200FD1"/>
    <w:rsid w:val="002010E1"/>
    <w:rsid w:val="0020124C"/>
    <w:rsid w:val="00202180"/>
    <w:rsid w:val="00204652"/>
    <w:rsid w:val="00206C54"/>
    <w:rsid w:val="00215CC5"/>
    <w:rsid w:val="00221DED"/>
    <w:rsid w:val="00221E28"/>
    <w:rsid w:val="00223B96"/>
    <w:rsid w:val="00230892"/>
    <w:rsid w:val="0024090A"/>
    <w:rsid w:val="00243924"/>
    <w:rsid w:val="00243F1C"/>
    <w:rsid w:val="0024783A"/>
    <w:rsid w:val="002520C8"/>
    <w:rsid w:val="0025239B"/>
    <w:rsid w:val="00252EFD"/>
    <w:rsid w:val="0025552D"/>
    <w:rsid w:val="002636A0"/>
    <w:rsid w:val="00265101"/>
    <w:rsid w:val="0027074E"/>
    <w:rsid w:val="00277505"/>
    <w:rsid w:val="00280BF9"/>
    <w:rsid w:val="00282780"/>
    <w:rsid w:val="0028677C"/>
    <w:rsid w:val="00294651"/>
    <w:rsid w:val="002B090D"/>
    <w:rsid w:val="002B1360"/>
    <w:rsid w:val="002B26BE"/>
    <w:rsid w:val="002B3203"/>
    <w:rsid w:val="002B7C38"/>
    <w:rsid w:val="002C0DF0"/>
    <w:rsid w:val="002C29F6"/>
    <w:rsid w:val="002C3984"/>
    <w:rsid w:val="002C6862"/>
    <w:rsid w:val="002E4E16"/>
    <w:rsid w:val="002F0FD2"/>
    <w:rsid w:val="002F42D5"/>
    <w:rsid w:val="002F4BB2"/>
    <w:rsid w:val="002F4CBB"/>
    <w:rsid w:val="00305C5F"/>
    <w:rsid w:val="0030643E"/>
    <w:rsid w:val="00312CBD"/>
    <w:rsid w:val="00317734"/>
    <w:rsid w:val="00320293"/>
    <w:rsid w:val="003274E7"/>
    <w:rsid w:val="00333102"/>
    <w:rsid w:val="00335B53"/>
    <w:rsid w:val="003453B8"/>
    <w:rsid w:val="0034574B"/>
    <w:rsid w:val="003461FB"/>
    <w:rsid w:val="0034754A"/>
    <w:rsid w:val="003503FF"/>
    <w:rsid w:val="00350535"/>
    <w:rsid w:val="00352251"/>
    <w:rsid w:val="0035628A"/>
    <w:rsid w:val="00362F80"/>
    <w:rsid w:val="00365BB4"/>
    <w:rsid w:val="00367F7A"/>
    <w:rsid w:val="00370E73"/>
    <w:rsid w:val="0037347A"/>
    <w:rsid w:val="003734E6"/>
    <w:rsid w:val="00374A84"/>
    <w:rsid w:val="003816CA"/>
    <w:rsid w:val="003819B4"/>
    <w:rsid w:val="0039795E"/>
    <w:rsid w:val="003A1317"/>
    <w:rsid w:val="003A1C14"/>
    <w:rsid w:val="003A2975"/>
    <w:rsid w:val="003B4949"/>
    <w:rsid w:val="003B531C"/>
    <w:rsid w:val="003C13FF"/>
    <w:rsid w:val="003C1736"/>
    <w:rsid w:val="003C1739"/>
    <w:rsid w:val="003C461D"/>
    <w:rsid w:val="003D733C"/>
    <w:rsid w:val="003E7DC1"/>
    <w:rsid w:val="003F0E9C"/>
    <w:rsid w:val="003F3EC2"/>
    <w:rsid w:val="003F3F1A"/>
    <w:rsid w:val="00403039"/>
    <w:rsid w:val="00405FDF"/>
    <w:rsid w:val="00406DF5"/>
    <w:rsid w:val="00411BDF"/>
    <w:rsid w:val="004158CD"/>
    <w:rsid w:val="00415F1C"/>
    <w:rsid w:val="00416594"/>
    <w:rsid w:val="00427ADB"/>
    <w:rsid w:val="00440DBE"/>
    <w:rsid w:val="004438D0"/>
    <w:rsid w:val="00455C60"/>
    <w:rsid w:val="00462373"/>
    <w:rsid w:val="00462410"/>
    <w:rsid w:val="004727CD"/>
    <w:rsid w:val="0047638C"/>
    <w:rsid w:val="00476A24"/>
    <w:rsid w:val="004817FA"/>
    <w:rsid w:val="0048185A"/>
    <w:rsid w:val="00481DC4"/>
    <w:rsid w:val="00482BAF"/>
    <w:rsid w:val="00495ED3"/>
    <w:rsid w:val="004A11BE"/>
    <w:rsid w:val="004A2F73"/>
    <w:rsid w:val="004A664C"/>
    <w:rsid w:val="004A780B"/>
    <w:rsid w:val="004B21DB"/>
    <w:rsid w:val="004B3204"/>
    <w:rsid w:val="004B4E2B"/>
    <w:rsid w:val="004B6AA1"/>
    <w:rsid w:val="004D53E8"/>
    <w:rsid w:val="004D7280"/>
    <w:rsid w:val="004E239C"/>
    <w:rsid w:val="004E6975"/>
    <w:rsid w:val="004F570F"/>
    <w:rsid w:val="00501787"/>
    <w:rsid w:val="005039B5"/>
    <w:rsid w:val="00504633"/>
    <w:rsid w:val="00505094"/>
    <w:rsid w:val="00511BDD"/>
    <w:rsid w:val="005147BC"/>
    <w:rsid w:val="005150C9"/>
    <w:rsid w:val="005174A4"/>
    <w:rsid w:val="00520103"/>
    <w:rsid w:val="005211DE"/>
    <w:rsid w:val="0052170A"/>
    <w:rsid w:val="005219DA"/>
    <w:rsid w:val="00521B3E"/>
    <w:rsid w:val="00521C51"/>
    <w:rsid w:val="005247DF"/>
    <w:rsid w:val="00534F16"/>
    <w:rsid w:val="00541051"/>
    <w:rsid w:val="00544C13"/>
    <w:rsid w:val="005546FF"/>
    <w:rsid w:val="005633A1"/>
    <w:rsid w:val="00565BCF"/>
    <w:rsid w:val="00566320"/>
    <w:rsid w:val="00571546"/>
    <w:rsid w:val="00571600"/>
    <w:rsid w:val="005745B2"/>
    <w:rsid w:val="00574A07"/>
    <w:rsid w:val="00580B3C"/>
    <w:rsid w:val="00581F16"/>
    <w:rsid w:val="00590DDA"/>
    <w:rsid w:val="005A05ED"/>
    <w:rsid w:val="005A1DF3"/>
    <w:rsid w:val="005A4244"/>
    <w:rsid w:val="005A7101"/>
    <w:rsid w:val="005A7F60"/>
    <w:rsid w:val="005B5203"/>
    <w:rsid w:val="005B5636"/>
    <w:rsid w:val="005B7015"/>
    <w:rsid w:val="005C040F"/>
    <w:rsid w:val="005C5538"/>
    <w:rsid w:val="005C70C6"/>
    <w:rsid w:val="005E1BD1"/>
    <w:rsid w:val="005E30CD"/>
    <w:rsid w:val="005E5AB4"/>
    <w:rsid w:val="0060055E"/>
    <w:rsid w:val="00601B02"/>
    <w:rsid w:val="006027F2"/>
    <w:rsid w:val="006031DE"/>
    <w:rsid w:val="006101ED"/>
    <w:rsid w:val="00612E79"/>
    <w:rsid w:val="006229AC"/>
    <w:rsid w:val="00626094"/>
    <w:rsid w:val="0063071E"/>
    <w:rsid w:val="00643ABF"/>
    <w:rsid w:val="00646063"/>
    <w:rsid w:val="006460A5"/>
    <w:rsid w:val="0064723A"/>
    <w:rsid w:val="00651EB5"/>
    <w:rsid w:val="00652607"/>
    <w:rsid w:val="00653953"/>
    <w:rsid w:val="00657300"/>
    <w:rsid w:val="0066183F"/>
    <w:rsid w:val="0066443E"/>
    <w:rsid w:val="00672CF8"/>
    <w:rsid w:val="006732F4"/>
    <w:rsid w:val="0068365B"/>
    <w:rsid w:val="0068459F"/>
    <w:rsid w:val="006850C0"/>
    <w:rsid w:val="00691175"/>
    <w:rsid w:val="00691FCE"/>
    <w:rsid w:val="00696791"/>
    <w:rsid w:val="00696837"/>
    <w:rsid w:val="006A4D66"/>
    <w:rsid w:val="006A6A3C"/>
    <w:rsid w:val="006B015F"/>
    <w:rsid w:val="006B1D00"/>
    <w:rsid w:val="006B30AF"/>
    <w:rsid w:val="006B6A31"/>
    <w:rsid w:val="006C355D"/>
    <w:rsid w:val="006C498F"/>
    <w:rsid w:val="006C7859"/>
    <w:rsid w:val="006D3504"/>
    <w:rsid w:val="006D3985"/>
    <w:rsid w:val="006D7489"/>
    <w:rsid w:val="006E2322"/>
    <w:rsid w:val="00704F1C"/>
    <w:rsid w:val="00705B68"/>
    <w:rsid w:val="0071627B"/>
    <w:rsid w:val="0071750F"/>
    <w:rsid w:val="007209B7"/>
    <w:rsid w:val="00726D2D"/>
    <w:rsid w:val="00734DDA"/>
    <w:rsid w:val="0073535A"/>
    <w:rsid w:val="0073744E"/>
    <w:rsid w:val="00744A81"/>
    <w:rsid w:val="007477A9"/>
    <w:rsid w:val="0075304C"/>
    <w:rsid w:val="00761021"/>
    <w:rsid w:val="00763F47"/>
    <w:rsid w:val="00764698"/>
    <w:rsid w:val="0077609D"/>
    <w:rsid w:val="007771FC"/>
    <w:rsid w:val="00780564"/>
    <w:rsid w:val="007848FE"/>
    <w:rsid w:val="00791A72"/>
    <w:rsid w:val="00796079"/>
    <w:rsid w:val="00797F9C"/>
    <w:rsid w:val="007B0EA8"/>
    <w:rsid w:val="007B2CDD"/>
    <w:rsid w:val="007B473D"/>
    <w:rsid w:val="007B4882"/>
    <w:rsid w:val="007B6201"/>
    <w:rsid w:val="007B657E"/>
    <w:rsid w:val="007C1A05"/>
    <w:rsid w:val="007C384E"/>
    <w:rsid w:val="007D0125"/>
    <w:rsid w:val="007D0B4E"/>
    <w:rsid w:val="007D4D84"/>
    <w:rsid w:val="007D6F6D"/>
    <w:rsid w:val="007E157C"/>
    <w:rsid w:val="007E33D9"/>
    <w:rsid w:val="007F5326"/>
    <w:rsid w:val="007F5EFA"/>
    <w:rsid w:val="007F6C60"/>
    <w:rsid w:val="007F7EB3"/>
    <w:rsid w:val="00802998"/>
    <w:rsid w:val="00811294"/>
    <w:rsid w:val="008168F6"/>
    <w:rsid w:val="00822EC4"/>
    <w:rsid w:val="008258E2"/>
    <w:rsid w:val="008261CF"/>
    <w:rsid w:val="008309FC"/>
    <w:rsid w:val="00834135"/>
    <w:rsid w:val="00840B9A"/>
    <w:rsid w:val="0084236C"/>
    <w:rsid w:val="00842EC3"/>
    <w:rsid w:val="0084384E"/>
    <w:rsid w:val="00850868"/>
    <w:rsid w:val="00850AD5"/>
    <w:rsid w:val="00851EF2"/>
    <w:rsid w:val="0085532E"/>
    <w:rsid w:val="00865742"/>
    <w:rsid w:val="0086652B"/>
    <w:rsid w:val="0086739D"/>
    <w:rsid w:val="00871141"/>
    <w:rsid w:val="00871191"/>
    <w:rsid w:val="008769AF"/>
    <w:rsid w:val="00877700"/>
    <w:rsid w:val="00893C8C"/>
    <w:rsid w:val="008957CB"/>
    <w:rsid w:val="008A29CE"/>
    <w:rsid w:val="008A3898"/>
    <w:rsid w:val="008A68AF"/>
    <w:rsid w:val="008B05CF"/>
    <w:rsid w:val="008B0772"/>
    <w:rsid w:val="008B17AD"/>
    <w:rsid w:val="008B19A9"/>
    <w:rsid w:val="008C17E3"/>
    <w:rsid w:val="008C2848"/>
    <w:rsid w:val="008D2F54"/>
    <w:rsid w:val="008D4789"/>
    <w:rsid w:val="008E041F"/>
    <w:rsid w:val="008E467E"/>
    <w:rsid w:val="008E4A2C"/>
    <w:rsid w:val="008F44B6"/>
    <w:rsid w:val="008F6DCC"/>
    <w:rsid w:val="008F7F16"/>
    <w:rsid w:val="009013D4"/>
    <w:rsid w:val="009024F6"/>
    <w:rsid w:val="0091375B"/>
    <w:rsid w:val="00917150"/>
    <w:rsid w:val="00920891"/>
    <w:rsid w:val="00922BDC"/>
    <w:rsid w:val="00922C67"/>
    <w:rsid w:val="00923F4E"/>
    <w:rsid w:val="00927C0E"/>
    <w:rsid w:val="0093598D"/>
    <w:rsid w:val="00936292"/>
    <w:rsid w:val="00943DF5"/>
    <w:rsid w:val="0094504B"/>
    <w:rsid w:val="00945073"/>
    <w:rsid w:val="00946ED0"/>
    <w:rsid w:val="00953A16"/>
    <w:rsid w:val="00953B23"/>
    <w:rsid w:val="00956B14"/>
    <w:rsid w:val="009616B3"/>
    <w:rsid w:val="00967E5E"/>
    <w:rsid w:val="00974D20"/>
    <w:rsid w:val="009765C6"/>
    <w:rsid w:val="00980573"/>
    <w:rsid w:val="00981DA1"/>
    <w:rsid w:val="00986663"/>
    <w:rsid w:val="009939E9"/>
    <w:rsid w:val="00995644"/>
    <w:rsid w:val="00996457"/>
    <w:rsid w:val="009B0D00"/>
    <w:rsid w:val="009B1CC3"/>
    <w:rsid w:val="009B4657"/>
    <w:rsid w:val="009B7486"/>
    <w:rsid w:val="009C1213"/>
    <w:rsid w:val="009C28C4"/>
    <w:rsid w:val="009D08F5"/>
    <w:rsid w:val="009D4D5A"/>
    <w:rsid w:val="009D609B"/>
    <w:rsid w:val="009D6116"/>
    <w:rsid w:val="009D6617"/>
    <w:rsid w:val="009E4A5A"/>
    <w:rsid w:val="009E5A8D"/>
    <w:rsid w:val="00A02E5D"/>
    <w:rsid w:val="00A04CED"/>
    <w:rsid w:val="00A07E7E"/>
    <w:rsid w:val="00A20E6A"/>
    <w:rsid w:val="00A26EFE"/>
    <w:rsid w:val="00A30ED7"/>
    <w:rsid w:val="00A31837"/>
    <w:rsid w:val="00A52F05"/>
    <w:rsid w:val="00A5401A"/>
    <w:rsid w:val="00A562C5"/>
    <w:rsid w:val="00A62A20"/>
    <w:rsid w:val="00A6408A"/>
    <w:rsid w:val="00A64736"/>
    <w:rsid w:val="00A66382"/>
    <w:rsid w:val="00A83869"/>
    <w:rsid w:val="00A87FA4"/>
    <w:rsid w:val="00A92FDA"/>
    <w:rsid w:val="00A941BC"/>
    <w:rsid w:val="00A97F46"/>
    <w:rsid w:val="00AA04DE"/>
    <w:rsid w:val="00AA1130"/>
    <w:rsid w:val="00AA17AF"/>
    <w:rsid w:val="00AA63CF"/>
    <w:rsid w:val="00AB4D4D"/>
    <w:rsid w:val="00AD0932"/>
    <w:rsid w:val="00AD3120"/>
    <w:rsid w:val="00AD3431"/>
    <w:rsid w:val="00AD6EF2"/>
    <w:rsid w:val="00AD76D9"/>
    <w:rsid w:val="00AF34DE"/>
    <w:rsid w:val="00AF45AA"/>
    <w:rsid w:val="00AF569B"/>
    <w:rsid w:val="00B013F5"/>
    <w:rsid w:val="00B02D7C"/>
    <w:rsid w:val="00B03BF6"/>
    <w:rsid w:val="00B105E1"/>
    <w:rsid w:val="00B119DC"/>
    <w:rsid w:val="00B11C82"/>
    <w:rsid w:val="00B21EF4"/>
    <w:rsid w:val="00B31A0B"/>
    <w:rsid w:val="00B3280B"/>
    <w:rsid w:val="00B3291D"/>
    <w:rsid w:val="00B34CAB"/>
    <w:rsid w:val="00B402D3"/>
    <w:rsid w:val="00B42D80"/>
    <w:rsid w:val="00B43A9A"/>
    <w:rsid w:val="00B454C5"/>
    <w:rsid w:val="00B45C06"/>
    <w:rsid w:val="00B52D53"/>
    <w:rsid w:val="00B533EB"/>
    <w:rsid w:val="00B6016A"/>
    <w:rsid w:val="00B6319C"/>
    <w:rsid w:val="00B7116F"/>
    <w:rsid w:val="00B71E75"/>
    <w:rsid w:val="00B738E1"/>
    <w:rsid w:val="00B82D51"/>
    <w:rsid w:val="00B8408D"/>
    <w:rsid w:val="00B86DD0"/>
    <w:rsid w:val="00B92F60"/>
    <w:rsid w:val="00B94FD7"/>
    <w:rsid w:val="00B9519C"/>
    <w:rsid w:val="00BB2EA9"/>
    <w:rsid w:val="00BC111E"/>
    <w:rsid w:val="00BC4C42"/>
    <w:rsid w:val="00BC4E28"/>
    <w:rsid w:val="00BC53DC"/>
    <w:rsid w:val="00BC6A97"/>
    <w:rsid w:val="00BC6C61"/>
    <w:rsid w:val="00BC7562"/>
    <w:rsid w:val="00BD4316"/>
    <w:rsid w:val="00BD4B16"/>
    <w:rsid w:val="00BD77EE"/>
    <w:rsid w:val="00BE1216"/>
    <w:rsid w:val="00BE35ED"/>
    <w:rsid w:val="00BE5806"/>
    <w:rsid w:val="00BE735A"/>
    <w:rsid w:val="00BE7EE3"/>
    <w:rsid w:val="00BF5CDB"/>
    <w:rsid w:val="00BF69A5"/>
    <w:rsid w:val="00C05862"/>
    <w:rsid w:val="00C14BB5"/>
    <w:rsid w:val="00C164D9"/>
    <w:rsid w:val="00C16D82"/>
    <w:rsid w:val="00C17266"/>
    <w:rsid w:val="00C20D79"/>
    <w:rsid w:val="00C22152"/>
    <w:rsid w:val="00C23520"/>
    <w:rsid w:val="00C24E90"/>
    <w:rsid w:val="00C26054"/>
    <w:rsid w:val="00C27B21"/>
    <w:rsid w:val="00C312C2"/>
    <w:rsid w:val="00C32027"/>
    <w:rsid w:val="00C46D1E"/>
    <w:rsid w:val="00C4779E"/>
    <w:rsid w:val="00C56F62"/>
    <w:rsid w:val="00C73D80"/>
    <w:rsid w:val="00C84E88"/>
    <w:rsid w:val="00C97EBA"/>
    <w:rsid w:val="00CA3016"/>
    <w:rsid w:val="00CA4D9C"/>
    <w:rsid w:val="00CD1C9F"/>
    <w:rsid w:val="00CD4B3E"/>
    <w:rsid w:val="00CD52FE"/>
    <w:rsid w:val="00CE176B"/>
    <w:rsid w:val="00D042CE"/>
    <w:rsid w:val="00D07CB0"/>
    <w:rsid w:val="00D1086C"/>
    <w:rsid w:val="00D17FA0"/>
    <w:rsid w:val="00D35C95"/>
    <w:rsid w:val="00D36109"/>
    <w:rsid w:val="00D37CA3"/>
    <w:rsid w:val="00D41768"/>
    <w:rsid w:val="00D44E7F"/>
    <w:rsid w:val="00D522EC"/>
    <w:rsid w:val="00D5584C"/>
    <w:rsid w:val="00D55F4F"/>
    <w:rsid w:val="00D67626"/>
    <w:rsid w:val="00D71119"/>
    <w:rsid w:val="00D7227C"/>
    <w:rsid w:val="00D82B2A"/>
    <w:rsid w:val="00D87537"/>
    <w:rsid w:val="00D9485E"/>
    <w:rsid w:val="00D949F2"/>
    <w:rsid w:val="00DA13C2"/>
    <w:rsid w:val="00DA1F99"/>
    <w:rsid w:val="00DB4475"/>
    <w:rsid w:val="00DC2DC3"/>
    <w:rsid w:val="00DC721D"/>
    <w:rsid w:val="00DD4BE9"/>
    <w:rsid w:val="00DD7315"/>
    <w:rsid w:val="00DE0A8E"/>
    <w:rsid w:val="00DE2B49"/>
    <w:rsid w:val="00DE4DF4"/>
    <w:rsid w:val="00DE4E4B"/>
    <w:rsid w:val="00DF16FB"/>
    <w:rsid w:val="00DF549B"/>
    <w:rsid w:val="00DF6F5D"/>
    <w:rsid w:val="00DF724E"/>
    <w:rsid w:val="00E03BFC"/>
    <w:rsid w:val="00E07A8C"/>
    <w:rsid w:val="00E1269B"/>
    <w:rsid w:val="00E2621F"/>
    <w:rsid w:val="00E27EDB"/>
    <w:rsid w:val="00E43502"/>
    <w:rsid w:val="00E43647"/>
    <w:rsid w:val="00E43A19"/>
    <w:rsid w:val="00E61C95"/>
    <w:rsid w:val="00E62EDD"/>
    <w:rsid w:val="00E73AB8"/>
    <w:rsid w:val="00E75BF4"/>
    <w:rsid w:val="00E852B1"/>
    <w:rsid w:val="00E965E4"/>
    <w:rsid w:val="00EA3204"/>
    <w:rsid w:val="00EA4E7D"/>
    <w:rsid w:val="00EB37B3"/>
    <w:rsid w:val="00EC7431"/>
    <w:rsid w:val="00ED1371"/>
    <w:rsid w:val="00EE6F96"/>
    <w:rsid w:val="00EE6FA7"/>
    <w:rsid w:val="00EE70AB"/>
    <w:rsid w:val="00F06A00"/>
    <w:rsid w:val="00F11BDA"/>
    <w:rsid w:val="00F157F5"/>
    <w:rsid w:val="00F218F2"/>
    <w:rsid w:val="00F22801"/>
    <w:rsid w:val="00F23BAB"/>
    <w:rsid w:val="00F27968"/>
    <w:rsid w:val="00F312D4"/>
    <w:rsid w:val="00F32C4C"/>
    <w:rsid w:val="00F335AD"/>
    <w:rsid w:val="00F336FB"/>
    <w:rsid w:val="00F3413F"/>
    <w:rsid w:val="00F41805"/>
    <w:rsid w:val="00F4417B"/>
    <w:rsid w:val="00F47F6E"/>
    <w:rsid w:val="00F52998"/>
    <w:rsid w:val="00F53C58"/>
    <w:rsid w:val="00F55BCA"/>
    <w:rsid w:val="00F61925"/>
    <w:rsid w:val="00F65241"/>
    <w:rsid w:val="00F6663C"/>
    <w:rsid w:val="00F70CDC"/>
    <w:rsid w:val="00F73594"/>
    <w:rsid w:val="00F749FD"/>
    <w:rsid w:val="00F84E4C"/>
    <w:rsid w:val="00F8666B"/>
    <w:rsid w:val="00F9225E"/>
    <w:rsid w:val="00F92B94"/>
    <w:rsid w:val="00F93F2B"/>
    <w:rsid w:val="00F9435B"/>
    <w:rsid w:val="00F94E9D"/>
    <w:rsid w:val="00FA09C0"/>
    <w:rsid w:val="00FA22E1"/>
    <w:rsid w:val="00FA244D"/>
    <w:rsid w:val="00FA3B8E"/>
    <w:rsid w:val="00FA6872"/>
    <w:rsid w:val="00FB3922"/>
    <w:rsid w:val="00FB39C0"/>
    <w:rsid w:val="00FB4560"/>
    <w:rsid w:val="00FB7EFD"/>
    <w:rsid w:val="00FC1D8B"/>
    <w:rsid w:val="00FC20BE"/>
    <w:rsid w:val="00FC4A3E"/>
    <w:rsid w:val="00FC7434"/>
    <w:rsid w:val="00FD5216"/>
    <w:rsid w:val="00FE759B"/>
    <w:rsid w:val="00FF2052"/>
    <w:rsid w:val="00FF3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59F8656"/>
  <w15:docId w15:val="{92D7D6CD-ED65-4653-9E8E-6DF261E9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CF8"/>
    <w:pPr>
      <w:suppressAutoHyphens/>
      <w:spacing w:line="480" w:lineRule="auto"/>
    </w:pPr>
    <w:rPr>
      <w:rFonts w:ascii="Arial" w:eastAsia="SimSun" w:hAnsi="Arial" w:cs="Mangal"/>
      <w:kern w:val="1"/>
      <w:sz w:val="22"/>
      <w:szCs w:val="24"/>
      <w:lang w:val="nl-NL" w:eastAsia="hi-IN" w:bidi="hi-IN"/>
    </w:rPr>
  </w:style>
  <w:style w:type="paragraph" w:styleId="Heading1">
    <w:name w:val="heading 1"/>
    <w:basedOn w:val="Normal"/>
    <w:next w:val="BodyText"/>
    <w:qFormat/>
    <w:pPr>
      <w:keepNext/>
      <w:keepLines/>
      <w:spacing w:before="480"/>
      <w:outlineLvl w:val="0"/>
    </w:pPr>
    <w:rPr>
      <w:b/>
      <w:bCs/>
      <w:color w:val="000000"/>
      <w:sz w:val="28"/>
      <w:szCs w:val="28"/>
    </w:rPr>
  </w:style>
  <w:style w:type="paragraph" w:styleId="Heading2">
    <w:name w:val="heading 2"/>
    <w:basedOn w:val="Normal"/>
    <w:next w:val="Normal"/>
    <w:link w:val="Heading2Char"/>
    <w:uiPriority w:val="9"/>
    <w:qFormat/>
    <w:rsid w:val="00672CF8"/>
    <w:pPr>
      <w:keepNext/>
      <w:spacing w:before="240" w:after="60"/>
      <w:outlineLvl w:val="1"/>
    </w:pPr>
    <w:rPr>
      <w:rFonts w:ascii="Cambria" w:eastAsia="Times New Roman" w:hAnsi="Cambria"/>
      <w:b/>
      <w:bCs/>
      <w:i/>
      <w:iCs/>
      <w:sz w:val="28"/>
      <w:szCs w:val="25"/>
      <w:lang w:val="x-none"/>
    </w:rPr>
  </w:style>
  <w:style w:type="paragraph" w:styleId="Heading3">
    <w:name w:val="heading 3"/>
    <w:basedOn w:val="Normal"/>
    <w:next w:val="Normal"/>
    <w:link w:val="Heading3Char"/>
    <w:uiPriority w:val="9"/>
    <w:qFormat/>
    <w:rsid w:val="00BE7EE3"/>
    <w:pPr>
      <w:keepNext/>
      <w:spacing w:before="240" w:after="60"/>
      <w:outlineLvl w:val="2"/>
    </w:pPr>
    <w:rPr>
      <w:rFonts w:ascii="Cambria" w:eastAsia="Times New Roman" w:hAnsi="Cambria"/>
      <w:b/>
      <w:bCs/>
      <w:sz w:val="26"/>
      <w:szCs w:val="23"/>
      <w:lang w:val="x-none"/>
    </w:rPr>
  </w:style>
  <w:style w:type="paragraph" w:styleId="Heading4">
    <w:name w:val="heading 4"/>
    <w:basedOn w:val="Normal"/>
    <w:next w:val="Normal"/>
    <w:link w:val="Heading4Char"/>
    <w:qFormat/>
    <w:rsid w:val="00C05862"/>
    <w:pPr>
      <w:keepNext/>
      <w:spacing w:before="240" w:after="60"/>
      <w:outlineLvl w:val="3"/>
    </w:pPr>
    <w:rPr>
      <w:rFonts w:eastAsia="Times New Roman"/>
      <w:b/>
      <w:bCs/>
      <w:kern w:val="28"/>
      <w:sz w:val="24"/>
      <w:szCs w:val="25"/>
      <w:lang w:val="x-none"/>
    </w:rPr>
  </w:style>
  <w:style w:type="paragraph" w:styleId="Heading6">
    <w:name w:val="heading 6"/>
    <w:basedOn w:val="Normal"/>
    <w:next w:val="Normal"/>
    <w:link w:val="Heading6Char"/>
    <w:uiPriority w:val="9"/>
    <w:qFormat/>
    <w:rsid w:val="0039795E"/>
    <w:pPr>
      <w:spacing w:before="240" w:after="60"/>
      <w:outlineLvl w:val="5"/>
    </w:pPr>
    <w:rPr>
      <w:rFonts w:eastAsia="Times New Roman"/>
      <w:bCs/>
      <w:i/>
      <w:kern w:val="22"/>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3">
    <w:name w:val="Default Paragraph Font3"/>
  </w:style>
  <w:style w:type="character" w:customStyle="1" w:styleId="Kop1Char">
    <w:name w:val="Kop 1 Char"/>
    <w:rPr>
      <w:rFonts w:ascii="Cambria" w:hAnsi="Cambria"/>
      <w:b/>
      <w:bCs/>
      <w:color w:val="365F91"/>
      <w:sz w:val="28"/>
      <w:szCs w:val="28"/>
    </w:rPr>
  </w:style>
  <w:style w:type="character" w:customStyle="1" w:styleId="BallontekstChar">
    <w:name w:val="Ballontekst Char"/>
    <w:rPr>
      <w:rFonts w:ascii="Tahoma" w:hAnsi="Tahoma" w:cs="Tahoma"/>
      <w:sz w:val="16"/>
      <w:szCs w:val="16"/>
    </w:rPr>
  </w:style>
  <w:style w:type="character" w:customStyle="1" w:styleId="Nummeringssymbolen">
    <w:name w:val="Nummeringssymbolen"/>
  </w:style>
  <w:style w:type="character" w:styleId="Strong">
    <w:name w:val="Strong"/>
    <w:qFormat/>
    <w:rPr>
      <w:b/>
      <w:bCs/>
    </w:rPr>
  </w:style>
  <w:style w:type="paragraph" w:customStyle="1" w:styleId="Kop">
    <w:name w:val="Kop"/>
    <w:basedOn w:val="Normal"/>
    <w:next w:val="BodyText"/>
    <w:pPr>
      <w:keepNext/>
      <w:spacing w:before="240" w:after="120"/>
    </w:pPr>
    <w:rPr>
      <w:rFonts w:eastAsia="Microsoft YaHei"/>
      <w:sz w:val="28"/>
      <w:szCs w:val="28"/>
    </w:rPr>
  </w:style>
  <w:style w:type="paragraph" w:styleId="BodyText">
    <w:name w:val="Body Text"/>
    <w:basedOn w:val="Normal"/>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sz w:val="24"/>
    </w:rPr>
  </w:style>
  <w:style w:type="paragraph" w:customStyle="1" w:styleId="Index">
    <w:name w:val="Index"/>
    <w:basedOn w:val="Normal"/>
    <w:pPr>
      <w:suppressLineNumbers/>
    </w:pPr>
  </w:style>
  <w:style w:type="paragraph" w:customStyle="1" w:styleId="BalloonText3">
    <w:name w:val="Balloon Text3"/>
    <w:basedOn w:val="Normal"/>
    <w:pPr>
      <w:spacing w:line="100" w:lineRule="atLeast"/>
    </w:pPr>
    <w:rPr>
      <w:rFonts w:ascii="Tahoma" w:hAnsi="Tahoma" w:cs="Tahoma"/>
      <w:sz w:val="16"/>
      <w:szCs w:val="16"/>
    </w:rPr>
  </w:style>
  <w:style w:type="paragraph" w:customStyle="1" w:styleId="Caption1">
    <w:name w:val="Caption1"/>
    <w:basedOn w:val="Normal"/>
    <w:pPr>
      <w:spacing w:line="100" w:lineRule="atLeast"/>
    </w:pPr>
    <w:rPr>
      <w:b/>
      <w:bCs/>
      <w:color w:val="4F81BD"/>
      <w:sz w:val="18"/>
      <w:szCs w:val="18"/>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styleId="BalloonText">
    <w:name w:val="Balloon Text"/>
    <w:basedOn w:val="Normal"/>
    <w:link w:val="BalloonTextChar"/>
    <w:uiPriority w:val="99"/>
    <w:semiHidden/>
    <w:unhideWhenUsed/>
    <w:rsid w:val="004B4E2B"/>
    <w:pPr>
      <w:spacing w:line="240" w:lineRule="auto"/>
    </w:pPr>
    <w:rPr>
      <w:rFonts w:ascii="Tahoma" w:hAnsi="Tahoma"/>
      <w:sz w:val="16"/>
      <w:szCs w:val="14"/>
      <w:lang w:val="x-none"/>
    </w:rPr>
  </w:style>
  <w:style w:type="character" w:customStyle="1" w:styleId="BalloonTextChar">
    <w:name w:val="Balloon Text Char"/>
    <w:link w:val="BalloonText"/>
    <w:uiPriority w:val="99"/>
    <w:semiHidden/>
    <w:rsid w:val="004B4E2B"/>
    <w:rPr>
      <w:rFonts w:ascii="Tahoma" w:eastAsia="SimSun" w:hAnsi="Tahoma" w:cs="Mangal"/>
      <w:kern w:val="1"/>
      <w:sz w:val="16"/>
      <w:szCs w:val="14"/>
      <w:lang w:eastAsia="hi-IN" w:bidi="hi-IN"/>
    </w:rPr>
  </w:style>
  <w:style w:type="character" w:styleId="CommentReference">
    <w:name w:val="annotation reference"/>
    <w:uiPriority w:val="99"/>
    <w:semiHidden/>
    <w:unhideWhenUsed/>
    <w:rsid w:val="004B4E2B"/>
    <w:rPr>
      <w:sz w:val="16"/>
      <w:szCs w:val="16"/>
    </w:rPr>
  </w:style>
  <w:style w:type="paragraph" w:styleId="CommentText">
    <w:name w:val="annotation text"/>
    <w:basedOn w:val="Normal"/>
    <w:link w:val="CommentTextChar"/>
    <w:uiPriority w:val="99"/>
    <w:semiHidden/>
    <w:unhideWhenUsed/>
    <w:rsid w:val="004B4E2B"/>
    <w:rPr>
      <w:sz w:val="20"/>
      <w:szCs w:val="18"/>
      <w:lang w:val="x-none"/>
    </w:rPr>
  </w:style>
  <w:style w:type="character" w:customStyle="1" w:styleId="CommentTextChar">
    <w:name w:val="Comment Text Char"/>
    <w:link w:val="CommentText"/>
    <w:uiPriority w:val="99"/>
    <w:semiHidden/>
    <w:rsid w:val="004B4E2B"/>
    <w:rPr>
      <w:rFonts w:ascii="Arial" w:eastAsia="SimSun" w:hAnsi="Arial" w:cs="Mangal"/>
      <w:kern w:val="1"/>
      <w:szCs w:val="18"/>
      <w:lang w:eastAsia="hi-IN" w:bidi="hi-IN"/>
    </w:rPr>
  </w:style>
  <w:style w:type="paragraph" w:styleId="CommentSubject">
    <w:name w:val="annotation subject"/>
    <w:basedOn w:val="CommentText"/>
    <w:next w:val="CommentText"/>
    <w:link w:val="CommentSubjectChar"/>
    <w:uiPriority w:val="99"/>
    <w:semiHidden/>
    <w:unhideWhenUsed/>
    <w:rsid w:val="004B4E2B"/>
    <w:rPr>
      <w:b/>
      <w:bCs/>
    </w:rPr>
  </w:style>
  <w:style w:type="character" w:customStyle="1" w:styleId="CommentSubjectChar">
    <w:name w:val="Comment Subject Char"/>
    <w:link w:val="CommentSubject"/>
    <w:uiPriority w:val="99"/>
    <w:semiHidden/>
    <w:rsid w:val="004B4E2B"/>
    <w:rPr>
      <w:rFonts w:ascii="Arial" w:eastAsia="SimSun" w:hAnsi="Arial" w:cs="Mangal"/>
      <w:b/>
      <w:bCs/>
      <w:kern w:val="1"/>
      <w:szCs w:val="18"/>
      <w:lang w:eastAsia="hi-IN" w:bidi="hi-IN"/>
    </w:rPr>
  </w:style>
  <w:style w:type="character" w:customStyle="1" w:styleId="Heading3Char">
    <w:name w:val="Heading 3 Char"/>
    <w:link w:val="Heading3"/>
    <w:uiPriority w:val="9"/>
    <w:rsid w:val="00672CF8"/>
    <w:rPr>
      <w:rFonts w:ascii="Cambria" w:eastAsia="Times New Roman" w:hAnsi="Cambria" w:cs="Mangal"/>
      <w:b/>
      <w:bCs/>
      <w:kern w:val="1"/>
      <w:sz w:val="26"/>
      <w:szCs w:val="23"/>
      <w:lang w:eastAsia="hi-IN" w:bidi="hi-IN"/>
    </w:rPr>
  </w:style>
  <w:style w:type="character" w:customStyle="1" w:styleId="Heading2Char">
    <w:name w:val="Heading 2 Char"/>
    <w:link w:val="Heading2"/>
    <w:uiPriority w:val="9"/>
    <w:rsid w:val="00672CF8"/>
    <w:rPr>
      <w:rFonts w:ascii="Cambria" w:eastAsia="Times New Roman" w:hAnsi="Cambria" w:cs="Mangal"/>
      <w:b/>
      <w:bCs/>
      <w:i/>
      <w:iCs/>
      <w:kern w:val="1"/>
      <w:sz w:val="28"/>
      <w:szCs w:val="25"/>
      <w:lang w:eastAsia="hi-IN" w:bidi="hi-IN"/>
    </w:rPr>
  </w:style>
  <w:style w:type="character" w:customStyle="1" w:styleId="Heading4Char">
    <w:name w:val="Heading 4 Char"/>
    <w:link w:val="Heading4"/>
    <w:rsid w:val="00C05862"/>
    <w:rPr>
      <w:rFonts w:ascii="Arial" w:hAnsi="Arial" w:cs="Mangal"/>
      <w:b/>
      <w:bCs/>
      <w:kern w:val="28"/>
      <w:sz w:val="24"/>
      <w:szCs w:val="25"/>
      <w:lang w:eastAsia="hi-IN" w:bidi="hi-IN"/>
    </w:rPr>
  </w:style>
  <w:style w:type="character" w:customStyle="1" w:styleId="Heading6Char">
    <w:name w:val="Heading 6 Char"/>
    <w:link w:val="Heading6"/>
    <w:uiPriority w:val="9"/>
    <w:rsid w:val="0039795E"/>
    <w:rPr>
      <w:rFonts w:ascii="Arial" w:hAnsi="Arial" w:cs="Mangal"/>
      <w:bCs/>
      <w:i/>
      <w:kern w:val="22"/>
      <w:sz w:val="22"/>
      <w:lang w:eastAsia="hi-IN" w:bidi="hi-IN"/>
    </w:rPr>
  </w:style>
  <w:style w:type="paragraph" w:styleId="Title">
    <w:name w:val="Title"/>
    <w:basedOn w:val="Normal"/>
    <w:link w:val="TitleChar"/>
    <w:uiPriority w:val="99"/>
    <w:qFormat/>
    <w:rsid w:val="007209B7"/>
    <w:pPr>
      <w:suppressAutoHyphens w:val="0"/>
      <w:spacing w:before="240" w:after="60"/>
      <w:jc w:val="center"/>
      <w:outlineLvl w:val="0"/>
    </w:pPr>
    <w:rPr>
      <w:rFonts w:eastAsia="Times New Roman" w:cs="Times New Roman"/>
      <w:b/>
      <w:bCs/>
      <w:kern w:val="28"/>
      <w:sz w:val="32"/>
      <w:szCs w:val="32"/>
      <w:lang w:val="en-US" w:eastAsia="en-US" w:bidi="ar-SA"/>
    </w:rPr>
  </w:style>
  <w:style w:type="character" w:customStyle="1" w:styleId="TitleChar">
    <w:name w:val="Title Char"/>
    <w:link w:val="Title"/>
    <w:uiPriority w:val="99"/>
    <w:rsid w:val="007209B7"/>
    <w:rPr>
      <w:rFonts w:ascii="Arial" w:hAnsi="Arial" w:cs="Arial"/>
      <w:b/>
      <w:bCs/>
      <w:kern w:val="28"/>
      <w:sz w:val="32"/>
      <w:szCs w:val="32"/>
      <w:lang w:val="en-US" w:eastAsia="en-US"/>
    </w:rPr>
  </w:style>
  <w:style w:type="character" w:styleId="Hyperlink">
    <w:name w:val="Hyperlink"/>
    <w:rsid w:val="007209B7"/>
    <w:rPr>
      <w:color w:val="0000FF"/>
      <w:u w:val="single"/>
    </w:rPr>
  </w:style>
  <w:style w:type="table" w:styleId="TableGrid">
    <w:name w:val="Table Grid"/>
    <w:basedOn w:val="TableNormal"/>
    <w:uiPriority w:val="59"/>
    <w:rsid w:val="007B0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1">
    <w:name w:val="Default Paragraph Font1"/>
    <w:rsid w:val="00E75BF4"/>
  </w:style>
  <w:style w:type="paragraph" w:customStyle="1" w:styleId="BalloonText1">
    <w:name w:val="Balloon Text1"/>
    <w:basedOn w:val="Normal"/>
    <w:rsid w:val="00E75BF4"/>
    <w:pPr>
      <w:spacing w:line="100" w:lineRule="atLeast"/>
    </w:pPr>
    <w:rPr>
      <w:rFonts w:ascii="Tahoma" w:hAnsi="Tahoma" w:cs="Tahoma"/>
      <w:sz w:val="16"/>
      <w:szCs w:val="16"/>
    </w:rPr>
  </w:style>
  <w:style w:type="paragraph" w:customStyle="1" w:styleId="Revisie">
    <w:name w:val="Revisie"/>
    <w:hidden/>
    <w:uiPriority w:val="99"/>
    <w:semiHidden/>
    <w:rsid w:val="00E75BF4"/>
    <w:rPr>
      <w:rFonts w:ascii="Arial" w:eastAsia="SimSun" w:hAnsi="Arial" w:cs="Mangal"/>
      <w:kern w:val="1"/>
      <w:sz w:val="22"/>
      <w:szCs w:val="24"/>
      <w:lang w:val="nl-NL" w:eastAsia="hi-IN" w:bidi="hi-IN"/>
    </w:rPr>
  </w:style>
  <w:style w:type="character" w:customStyle="1" w:styleId="DefaultParagraphFont2">
    <w:name w:val="Default Paragraph Font2"/>
    <w:rsid w:val="00282780"/>
  </w:style>
  <w:style w:type="paragraph" w:customStyle="1" w:styleId="BalloonText2">
    <w:name w:val="Balloon Text2"/>
    <w:basedOn w:val="Normal"/>
    <w:rsid w:val="00282780"/>
    <w:pPr>
      <w:spacing w:line="100" w:lineRule="atLeast"/>
    </w:pPr>
    <w:rPr>
      <w:rFonts w:ascii="Tahoma" w:hAnsi="Tahoma" w:cs="Tahoma"/>
      <w:sz w:val="16"/>
      <w:szCs w:val="16"/>
    </w:rPr>
  </w:style>
  <w:style w:type="paragraph" w:customStyle="1" w:styleId="Revisie1">
    <w:name w:val="Revisie1"/>
    <w:hidden/>
    <w:uiPriority w:val="99"/>
    <w:semiHidden/>
    <w:rsid w:val="00282780"/>
    <w:rPr>
      <w:rFonts w:ascii="Arial" w:eastAsia="SimSun" w:hAnsi="Arial" w:cs="Mangal"/>
      <w:kern w:val="1"/>
      <w:sz w:val="22"/>
      <w:szCs w:val="24"/>
      <w:lang w:val="nl-NL" w:eastAsia="hi-IN" w:bidi="hi-IN"/>
    </w:rPr>
  </w:style>
  <w:style w:type="paragraph" w:styleId="FootnoteText">
    <w:name w:val="footnote text"/>
    <w:basedOn w:val="Normal"/>
    <w:link w:val="FootnoteTextChar"/>
    <w:uiPriority w:val="99"/>
    <w:semiHidden/>
    <w:unhideWhenUsed/>
    <w:rsid w:val="00EB37B3"/>
    <w:rPr>
      <w:sz w:val="20"/>
      <w:szCs w:val="18"/>
      <w:lang w:val="x-none"/>
    </w:rPr>
  </w:style>
  <w:style w:type="character" w:customStyle="1" w:styleId="FootnoteTextChar">
    <w:name w:val="Footnote Text Char"/>
    <w:link w:val="FootnoteText"/>
    <w:uiPriority w:val="99"/>
    <w:semiHidden/>
    <w:rsid w:val="00EB37B3"/>
    <w:rPr>
      <w:rFonts w:ascii="Arial" w:eastAsia="SimSun" w:hAnsi="Arial" w:cs="Mangal"/>
      <w:kern w:val="1"/>
      <w:szCs w:val="18"/>
      <w:lang w:eastAsia="hi-IN" w:bidi="hi-IN"/>
    </w:rPr>
  </w:style>
  <w:style w:type="character" w:styleId="FootnoteReference">
    <w:name w:val="footnote reference"/>
    <w:uiPriority w:val="99"/>
    <w:semiHidden/>
    <w:unhideWhenUsed/>
    <w:rsid w:val="00EB37B3"/>
    <w:rPr>
      <w:vertAlign w:val="superscript"/>
    </w:rPr>
  </w:style>
  <w:style w:type="paragraph" w:styleId="NormalWeb">
    <w:name w:val="Normal (Web)"/>
    <w:basedOn w:val="Normal"/>
    <w:uiPriority w:val="99"/>
    <w:unhideWhenUsed/>
    <w:rsid w:val="00476A24"/>
    <w:pPr>
      <w:suppressAutoHyphens w:val="0"/>
      <w:spacing w:before="100" w:beforeAutospacing="1" w:after="100" w:afterAutospacing="1" w:line="240" w:lineRule="auto"/>
    </w:pPr>
    <w:rPr>
      <w:rFonts w:ascii="Times New Roman" w:eastAsia="Times New Roman" w:hAnsi="Times New Roman" w:cs="Times New Roman"/>
      <w:kern w:val="0"/>
      <w:sz w:val="24"/>
      <w:lang w:eastAsia="nl-NL" w:bidi="ar-SA"/>
    </w:rPr>
  </w:style>
  <w:style w:type="paragraph" w:customStyle="1" w:styleId="Normal-Indent">
    <w:name w:val="Normal - Indent"/>
    <w:basedOn w:val="Normal"/>
    <w:qFormat/>
    <w:rsid w:val="00BF5CDB"/>
    <w:pPr>
      <w:ind w:firstLine="706"/>
    </w:pPr>
    <w:rPr>
      <w:rFonts w:eastAsia="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4815">
      <w:bodyDiv w:val="1"/>
      <w:marLeft w:val="0"/>
      <w:marRight w:val="0"/>
      <w:marTop w:val="0"/>
      <w:marBottom w:val="0"/>
      <w:divBdr>
        <w:top w:val="none" w:sz="0" w:space="0" w:color="auto"/>
        <w:left w:val="none" w:sz="0" w:space="0" w:color="auto"/>
        <w:bottom w:val="none" w:sz="0" w:space="0" w:color="auto"/>
        <w:right w:val="none" w:sz="0" w:space="0" w:color="auto"/>
      </w:divBdr>
    </w:div>
    <w:div w:id="30805134">
      <w:bodyDiv w:val="1"/>
      <w:marLeft w:val="0"/>
      <w:marRight w:val="0"/>
      <w:marTop w:val="0"/>
      <w:marBottom w:val="0"/>
      <w:divBdr>
        <w:top w:val="none" w:sz="0" w:space="0" w:color="auto"/>
        <w:left w:val="none" w:sz="0" w:space="0" w:color="auto"/>
        <w:bottom w:val="none" w:sz="0" w:space="0" w:color="auto"/>
        <w:right w:val="none" w:sz="0" w:space="0" w:color="auto"/>
      </w:divBdr>
    </w:div>
    <w:div w:id="33700900">
      <w:bodyDiv w:val="1"/>
      <w:marLeft w:val="0"/>
      <w:marRight w:val="0"/>
      <w:marTop w:val="0"/>
      <w:marBottom w:val="0"/>
      <w:divBdr>
        <w:top w:val="none" w:sz="0" w:space="0" w:color="auto"/>
        <w:left w:val="none" w:sz="0" w:space="0" w:color="auto"/>
        <w:bottom w:val="none" w:sz="0" w:space="0" w:color="auto"/>
        <w:right w:val="none" w:sz="0" w:space="0" w:color="auto"/>
      </w:divBdr>
    </w:div>
    <w:div w:id="33821249">
      <w:bodyDiv w:val="1"/>
      <w:marLeft w:val="0"/>
      <w:marRight w:val="0"/>
      <w:marTop w:val="0"/>
      <w:marBottom w:val="0"/>
      <w:divBdr>
        <w:top w:val="none" w:sz="0" w:space="0" w:color="auto"/>
        <w:left w:val="none" w:sz="0" w:space="0" w:color="auto"/>
        <w:bottom w:val="none" w:sz="0" w:space="0" w:color="auto"/>
        <w:right w:val="none" w:sz="0" w:space="0" w:color="auto"/>
      </w:divBdr>
    </w:div>
    <w:div w:id="38601566">
      <w:bodyDiv w:val="1"/>
      <w:marLeft w:val="0"/>
      <w:marRight w:val="0"/>
      <w:marTop w:val="0"/>
      <w:marBottom w:val="0"/>
      <w:divBdr>
        <w:top w:val="none" w:sz="0" w:space="0" w:color="auto"/>
        <w:left w:val="none" w:sz="0" w:space="0" w:color="auto"/>
        <w:bottom w:val="none" w:sz="0" w:space="0" w:color="auto"/>
        <w:right w:val="none" w:sz="0" w:space="0" w:color="auto"/>
      </w:divBdr>
    </w:div>
    <w:div w:id="42599640">
      <w:bodyDiv w:val="1"/>
      <w:marLeft w:val="0"/>
      <w:marRight w:val="0"/>
      <w:marTop w:val="0"/>
      <w:marBottom w:val="0"/>
      <w:divBdr>
        <w:top w:val="none" w:sz="0" w:space="0" w:color="auto"/>
        <w:left w:val="none" w:sz="0" w:space="0" w:color="auto"/>
        <w:bottom w:val="none" w:sz="0" w:space="0" w:color="auto"/>
        <w:right w:val="none" w:sz="0" w:space="0" w:color="auto"/>
      </w:divBdr>
    </w:div>
    <w:div w:id="50420700">
      <w:bodyDiv w:val="1"/>
      <w:marLeft w:val="0"/>
      <w:marRight w:val="0"/>
      <w:marTop w:val="0"/>
      <w:marBottom w:val="0"/>
      <w:divBdr>
        <w:top w:val="none" w:sz="0" w:space="0" w:color="auto"/>
        <w:left w:val="none" w:sz="0" w:space="0" w:color="auto"/>
        <w:bottom w:val="none" w:sz="0" w:space="0" w:color="auto"/>
        <w:right w:val="none" w:sz="0" w:space="0" w:color="auto"/>
      </w:divBdr>
    </w:div>
    <w:div w:id="51655874">
      <w:bodyDiv w:val="1"/>
      <w:marLeft w:val="0"/>
      <w:marRight w:val="0"/>
      <w:marTop w:val="0"/>
      <w:marBottom w:val="0"/>
      <w:divBdr>
        <w:top w:val="none" w:sz="0" w:space="0" w:color="auto"/>
        <w:left w:val="none" w:sz="0" w:space="0" w:color="auto"/>
        <w:bottom w:val="none" w:sz="0" w:space="0" w:color="auto"/>
        <w:right w:val="none" w:sz="0" w:space="0" w:color="auto"/>
      </w:divBdr>
    </w:div>
    <w:div w:id="99374130">
      <w:bodyDiv w:val="1"/>
      <w:marLeft w:val="0"/>
      <w:marRight w:val="0"/>
      <w:marTop w:val="0"/>
      <w:marBottom w:val="0"/>
      <w:divBdr>
        <w:top w:val="none" w:sz="0" w:space="0" w:color="auto"/>
        <w:left w:val="none" w:sz="0" w:space="0" w:color="auto"/>
        <w:bottom w:val="none" w:sz="0" w:space="0" w:color="auto"/>
        <w:right w:val="none" w:sz="0" w:space="0" w:color="auto"/>
      </w:divBdr>
    </w:div>
    <w:div w:id="115292541">
      <w:bodyDiv w:val="1"/>
      <w:marLeft w:val="0"/>
      <w:marRight w:val="0"/>
      <w:marTop w:val="0"/>
      <w:marBottom w:val="0"/>
      <w:divBdr>
        <w:top w:val="none" w:sz="0" w:space="0" w:color="auto"/>
        <w:left w:val="none" w:sz="0" w:space="0" w:color="auto"/>
        <w:bottom w:val="none" w:sz="0" w:space="0" w:color="auto"/>
        <w:right w:val="none" w:sz="0" w:space="0" w:color="auto"/>
      </w:divBdr>
    </w:div>
    <w:div w:id="134421736">
      <w:bodyDiv w:val="1"/>
      <w:marLeft w:val="0"/>
      <w:marRight w:val="0"/>
      <w:marTop w:val="0"/>
      <w:marBottom w:val="0"/>
      <w:divBdr>
        <w:top w:val="none" w:sz="0" w:space="0" w:color="auto"/>
        <w:left w:val="none" w:sz="0" w:space="0" w:color="auto"/>
        <w:bottom w:val="none" w:sz="0" w:space="0" w:color="auto"/>
        <w:right w:val="none" w:sz="0" w:space="0" w:color="auto"/>
      </w:divBdr>
    </w:div>
    <w:div w:id="175074174">
      <w:bodyDiv w:val="1"/>
      <w:marLeft w:val="0"/>
      <w:marRight w:val="0"/>
      <w:marTop w:val="0"/>
      <w:marBottom w:val="0"/>
      <w:divBdr>
        <w:top w:val="none" w:sz="0" w:space="0" w:color="auto"/>
        <w:left w:val="none" w:sz="0" w:space="0" w:color="auto"/>
        <w:bottom w:val="none" w:sz="0" w:space="0" w:color="auto"/>
        <w:right w:val="none" w:sz="0" w:space="0" w:color="auto"/>
      </w:divBdr>
    </w:div>
    <w:div w:id="178668559">
      <w:bodyDiv w:val="1"/>
      <w:marLeft w:val="0"/>
      <w:marRight w:val="0"/>
      <w:marTop w:val="0"/>
      <w:marBottom w:val="0"/>
      <w:divBdr>
        <w:top w:val="none" w:sz="0" w:space="0" w:color="auto"/>
        <w:left w:val="none" w:sz="0" w:space="0" w:color="auto"/>
        <w:bottom w:val="none" w:sz="0" w:space="0" w:color="auto"/>
        <w:right w:val="none" w:sz="0" w:space="0" w:color="auto"/>
      </w:divBdr>
    </w:div>
    <w:div w:id="188832828">
      <w:bodyDiv w:val="1"/>
      <w:marLeft w:val="0"/>
      <w:marRight w:val="0"/>
      <w:marTop w:val="0"/>
      <w:marBottom w:val="0"/>
      <w:divBdr>
        <w:top w:val="none" w:sz="0" w:space="0" w:color="auto"/>
        <w:left w:val="none" w:sz="0" w:space="0" w:color="auto"/>
        <w:bottom w:val="none" w:sz="0" w:space="0" w:color="auto"/>
        <w:right w:val="none" w:sz="0" w:space="0" w:color="auto"/>
      </w:divBdr>
    </w:div>
    <w:div w:id="205408081">
      <w:bodyDiv w:val="1"/>
      <w:marLeft w:val="0"/>
      <w:marRight w:val="0"/>
      <w:marTop w:val="0"/>
      <w:marBottom w:val="0"/>
      <w:divBdr>
        <w:top w:val="none" w:sz="0" w:space="0" w:color="auto"/>
        <w:left w:val="none" w:sz="0" w:space="0" w:color="auto"/>
        <w:bottom w:val="none" w:sz="0" w:space="0" w:color="auto"/>
        <w:right w:val="none" w:sz="0" w:space="0" w:color="auto"/>
      </w:divBdr>
    </w:div>
    <w:div w:id="208882215">
      <w:bodyDiv w:val="1"/>
      <w:marLeft w:val="0"/>
      <w:marRight w:val="0"/>
      <w:marTop w:val="0"/>
      <w:marBottom w:val="0"/>
      <w:divBdr>
        <w:top w:val="none" w:sz="0" w:space="0" w:color="auto"/>
        <w:left w:val="none" w:sz="0" w:space="0" w:color="auto"/>
        <w:bottom w:val="none" w:sz="0" w:space="0" w:color="auto"/>
        <w:right w:val="none" w:sz="0" w:space="0" w:color="auto"/>
      </w:divBdr>
    </w:div>
    <w:div w:id="238831925">
      <w:bodyDiv w:val="1"/>
      <w:marLeft w:val="0"/>
      <w:marRight w:val="0"/>
      <w:marTop w:val="0"/>
      <w:marBottom w:val="0"/>
      <w:divBdr>
        <w:top w:val="none" w:sz="0" w:space="0" w:color="auto"/>
        <w:left w:val="none" w:sz="0" w:space="0" w:color="auto"/>
        <w:bottom w:val="none" w:sz="0" w:space="0" w:color="auto"/>
        <w:right w:val="none" w:sz="0" w:space="0" w:color="auto"/>
      </w:divBdr>
    </w:div>
    <w:div w:id="262081388">
      <w:bodyDiv w:val="1"/>
      <w:marLeft w:val="0"/>
      <w:marRight w:val="0"/>
      <w:marTop w:val="0"/>
      <w:marBottom w:val="0"/>
      <w:divBdr>
        <w:top w:val="none" w:sz="0" w:space="0" w:color="auto"/>
        <w:left w:val="none" w:sz="0" w:space="0" w:color="auto"/>
        <w:bottom w:val="none" w:sz="0" w:space="0" w:color="auto"/>
        <w:right w:val="none" w:sz="0" w:space="0" w:color="auto"/>
      </w:divBdr>
    </w:div>
    <w:div w:id="266737257">
      <w:bodyDiv w:val="1"/>
      <w:marLeft w:val="0"/>
      <w:marRight w:val="0"/>
      <w:marTop w:val="0"/>
      <w:marBottom w:val="0"/>
      <w:divBdr>
        <w:top w:val="none" w:sz="0" w:space="0" w:color="auto"/>
        <w:left w:val="none" w:sz="0" w:space="0" w:color="auto"/>
        <w:bottom w:val="none" w:sz="0" w:space="0" w:color="auto"/>
        <w:right w:val="none" w:sz="0" w:space="0" w:color="auto"/>
      </w:divBdr>
    </w:div>
    <w:div w:id="273514463">
      <w:bodyDiv w:val="1"/>
      <w:marLeft w:val="0"/>
      <w:marRight w:val="0"/>
      <w:marTop w:val="0"/>
      <w:marBottom w:val="0"/>
      <w:divBdr>
        <w:top w:val="none" w:sz="0" w:space="0" w:color="auto"/>
        <w:left w:val="none" w:sz="0" w:space="0" w:color="auto"/>
        <w:bottom w:val="none" w:sz="0" w:space="0" w:color="auto"/>
        <w:right w:val="none" w:sz="0" w:space="0" w:color="auto"/>
      </w:divBdr>
    </w:div>
    <w:div w:id="284429754">
      <w:bodyDiv w:val="1"/>
      <w:marLeft w:val="0"/>
      <w:marRight w:val="0"/>
      <w:marTop w:val="0"/>
      <w:marBottom w:val="0"/>
      <w:divBdr>
        <w:top w:val="none" w:sz="0" w:space="0" w:color="auto"/>
        <w:left w:val="none" w:sz="0" w:space="0" w:color="auto"/>
        <w:bottom w:val="none" w:sz="0" w:space="0" w:color="auto"/>
        <w:right w:val="none" w:sz="0" w:space="0" w:color="auto"/>
      </w:divBdr>
    </w:div>
    <w:div w:id="284584034">
      <w:bodyDiv w:val="1"/>
      <w:marLeft w:val="0"/>
      <w:marRight w:val="0"/>
      <w:marTop w:val="0"/>
      <w:marBottom w:val="0"/>
      <w:divBdr>
        <w:top w:val="none" w:sz="0" w:space="0" w:color="auto"/>
        <w:left w:val="none" w:sz="0" w:space="0" w:color="auto"/>
        <w:bottom w:val="none" w:sz="0" w:space="0" w:color="auto"/>
        <w:right w:val="none" w:sz="0" w:space="0" w:color="auto"/>
      </w:divBdr>
    </w:div>
    <w:div w:id="288242981">
      <w:bodyDiv w:val="1"/>
      <w:marLeft w:val="0"/>
      <w:marRight w:val="0"/>
      <w:marTop w:val="0"/>
      <w:marBottom w:val="0"/>
      <w:divBdr>
        <w:top w:val="none" w:sz="0" w:space="0" w:color="auto"/>
        <w:left w:val="none" w:sz="0" w:space="0" w:color="auto"/>
        <w:bottom w:val="none" w:sz="0" w:space="0" w:color="auto"/>
        <w:right w:val="none" w:sz="0" w:space="0" w:color="auto"/>
      </w:divBdr>
    </w:div>
    <w:div w:id="288317346">
      <w:bodyDiv w:val="1"/>
      <w:marLeft w:val="0"/>
      <w:marRight w:val="0"/>
      <w:marTop w:val="0"/>
      <w:marBottom w:val="0"/>
      <w:divBdr>
        <w:top w:val="none" w:sz="0" w:space="0" w:color="auto"/>
        <w:left w:val="none" w:sz="0" w:space="0" w:color="auto"/>
        <w:bottom w:val="none" w:sz="0" w:space="0" w:color="auto"/>
        <w:right w:val="none" w:sz="0" w:space="0" w:color="auto"/>
      </w:divBdr>
    </w:div>
    <w:div w:id="293297940">
      <w:bodyDiv w:val="1"/>
      <w:marLeft w:val="0"/>
      <w:marRight w:val="0"/>
      <w:marTop w:val="0"/>
      <w:marBottom w:val="0"/>
      <w:divBdr>
        <w:top w:val="none" w:sz="0" w:space="0" w:color="auto"/>
        <w:left w:val="none" w:sz="0" w:space="0" w:color="auto"/>
        <w:bottom w:val="none" w:sz="0" w:space="0" w:color="auto"/>
        <w:right w:val="none" w:sz="0" w:space="0" w:color="auto"/>
      </w:divBdr>
    </w:div>
    <w:div w:id="303395321">
      <w:bodyDiv w:val="1"/>
      <w:marLeft w:val="0"/>
      <w:marRight w:val="0"/>
      <w:marTop w:val="0"/>
      <w:marBottom w:val="0"/>
      <w:divBdr>
        <w:top w:val="none" w:sz="0" w:space="0" w:color="auto"/>
        <w:left w:val="none" w:sz="0" w:space="0" w:color="auto"/>
        <w:bottom w:val="none" w:sz="0" w:space="0" w:color="auto"/>
        <w:right w:val="none" w:sz="0" w:space="0" w:color="auto"/>
      </w:divBdr>
    </w:div>
    <w:div w:id="308947414">
      <w:bodyDiv w:val="1"/>
      <w:marLeft w:val="0"/>
      <w:marRight w:val="0"/>
      <w:marTop w:val="0"/>
      <w:marBottom w:val="0"/>
      <w:divBdr>
        <w:top w:val="none" w:sz="0" w:space="0" w:color="auto"/>
        <w:left w:val="none" w:sz="0" w:space="0" w:color="auto"/>
        <w:bottom w:val="none" w:sz="0" w:space="0" w:color="auto"/>
        <w:right w:val="none" w:sz="0" w:space="0" w:color="auto"/>
      </w:divBdr>
    </w:div>
    <w:div w:id="326329975">
      <w:bodyDiv w:val="1"/>
      <w:marLeft w:val="0"/>
      <w:marRight w:val="0"/>
      <w:marTop w:val="0"/>
      <w:marBottom w:val="0"/>
      <w:divBdr>
        <w:top w:val="none" w:sz="0" w:space="0" w:color="auto"/>
        <w:left w:val="none" w:sz="0" w:space="0" w:color="auto"/>
        <w:bottom w:val="none" w:sz="0" w:space="0" w:color="auto"/>
        <w:right w:val="none" w:sz="0" w:space="0" w:color="auto"/>
      </w:divBdr>
    </w:div>
    <w:div w:id="333150400">
      <w:bodyDiv w:val="1"/>
      <w:marLeft w:val="0"/>
      <w:marRight w:val="0"/>
      <w:marTop w:val="0"/>
      <w:marBottom w:val="0"/>
      <w:divBdr>
        <w:top w:val="none" w:sz="0" w:space="0" w:color="auto"/>
        <w:left w:val="none" w:sz="0" w:space="0" w:color="auto"/>
        <w:bottom w:val="none" w:sz="0" w:space="0" w:color="auto"/>
        <w:right w:val="none" w:sz="0" w:space="0" w:color="auto"/>
      </w:divBdr>
    </w:div>
    <w:div w:id="336229607">
      <w:bodyDiv w:val="1"/>
      <w:marLeft w:val="0"/>
      <w:marRight w:val="0"/>
      <w:marTop w:val="0"/>
      <w:marBottom w:val="0"/>
      <w:divBdr>
        <w:top w:val="none" w:sz="0" w:space="0" w:color="auto"/>
        <w:left w:val="none" w:sz="0" w:space="0" w:color="auto"/>
        <w:bottom w:val="none" w:sz="0" w:space="0" w:color="auto"/>
        <w:right w:val="none" w:sz="0" w:space="0" w:color="auto"/>
      </w:divBdr>
    </w:div>
    <w:div w:id="338852517">
      <w:bodyDiv w:val="1"/>
      <w:marLeft w:val="0"/>
      <w:marRight w:val="0"/>
      <w:marTop w:val="0"/>
      <w:marBottom w:val="0"/>
      <w:divBdr>
        <w:top w:val="none" w:sz="0" w:space="0" w:color="auto"/>
        <w:left w:val="none" w:sz="0" w:space="0" w:color="auto"/>
        <w:bottom w:val="none" w:sz="0" w:space="0" w:color="auto"/>
        <w:right w:val="none" w:sz="0" w:space="0" w:color="auto"/>
      </w:divBdr>
    </w:div>
    <w:div w:id="395860970">
      <w:bodyDiv w:val="1"/>
      <w:marLeft w:val="0"/>
      <w:marRight w:val="0"/>
      <w:marTop w:val="0"/>
      <w:marBottom w:val="0"/>
      <w:divBdr>
        <w:top w:val="none" w:sz="0" w:space="0" w:color="auto"/>
        <w:left w:val="none" w:sz="0" w:space="0" w:color="auto"/>
        <w:bottom w:val="none" w:sz="0" w:space="0" w:color="auto"/>
        <w:right w:val="none" w:sz="0" w:space="0" w:color="auto"/>
      </w:divBdr>
    </w:div>
    <w:div w:id="409884893">
      <w:bodyDiv w:val="1"/>
      <w:marLeft w:val="0"/>
      <w:marRight w:val="0"/>
      <w:marTop w:val="0"/>
      <w:marBottom w:val="0"/>
      <w:divBdr>
        <w:top w:val="none" w:sz="0" w:space="0" w:color="auto"/>
        <w:left w:val="none" w:sz="0" w:space="0" w:color="auto"/>
        <w:bottom w:val="none" w:sz="0" w:space="0" w:color="auto"/>
        <w:right w:val="none" w:sz="0" w:space="0" w:color="auto"/>
      </w:divBdr>
    </w:div>
    <w:div w:id="412119785">
      <w:bodyDiv w:val="1"/>
      <w:marLeft w:val="0"/>
      <w:marRight w:val="0"/>
      <w:marTop w:val="0"/>
      <w:marBottom w:val="0"/>
      <w:divBdr>
        <w:top w:val="none" w:sz="0" w:space="0" w:color="auto"/>
        <w:left w:val="none" w:sz="0" w:space="0" w:color="auto"/>
        <w:bottom w:val="none" w:sz="0" w:space="0" w:color="auto"/>
        <w:right w:val="none" w:sz="0" w:space="0" w:color="auto"/>
      </w:divBdr>
    </w:div>
    <w:div w:id="422141869">
      <w:bodyDiv w:val="1"/>
      <w:marLeft w:val="0"/>
      <w:marRight w:val="0"/>
      <w:marTop w:val="0"/>
      <w:marBottom w:val="0"/>
      <w:divBdr>
        <w:top w:val="none" w:sz="0" w:space="0" w:color="auto"/>
        <w:left w:val="none" w:sz="0" w:space="0" w:color="auto"/>
        <w:bottom w:val="none" w:sz="0" w:space="0" w:color="auto"/>
        <w:right w:val="none" w:sz="0" w:space="0" w:color="auto"/>
      </w:divBdr>
    </w:div>
    <w:div w:id="435371799">
      <w:bodyDiv w:val="1"/>
      <w:marLeft w:val="0"/>
      <w:marRight w:val="0"/>
      <w:marTop w:val="0"/>
      <w:marBottom w:val="0"/>
      <w:divBdr>
        <w:top w:val="none" w:sz="0" w:space="0" w:color="auto"/>
        <w:left w:val="none" w:sz="0" w:space="0" w:color="auto"/>
        <w:bottom w:val="none" w:sz="0" w:space="0" w:color="auto"/>
        <w:right w:val="none" w:sz="0" w:space="0" w:color="auto"/>
      </w:divBdr>
    </w:div>
    <w:div w:id="467166227">
      <w:bodyDiv w:val="1"/>
      <w:marLeft w:val="0"/>
      <w:marRight w:val="0"/>
      <w:marTop w:val="0"/>
      <w:marBottom w:val="0"/>
      <w:divBdr>
        <w:top w:val="none" w:sz="0" w:space="0" w:color="auto"/>
        <w:left w:val="none" w:sz="0" w:space="0" w:color="auto"/>
        <w:bottom w:val="none" w:sz="0" w:space="0" w:color="auto"/>
        <w:right w:val="none" w:sz="0" w:space="0" w:color="auto"/>
      </w:divBdr>
    </w:div>
    <w:div w:id="506676218">
      <w:bodyDiv w:val="1"/>
      <w:marLeft w:val="0"/>
      <w:marRight w:val="0"/>
      <w:marTop w:val="0"/>
      <w:marBottom w:val="0"/>
      <w:divBdr>
        <w:top w:val="none" w:sz="0" w:space="0" w:color="auto"/>
        <w:left w:val="none" w:sz="0" w:space="0" w:color="auto"/>
        <w:bottom w:val="none" w:sz="0" w:space="0" w:color="auto"/>
        <w:right w:val="none" w:sz="0" w:space="0" w:color="auto"/>
      </w:divBdr>
    </w:div>
    <w:div w:id="507867502">
      <w:bodyDiv w:val="1"/>
      <w:marLeft w:val="0"/>
      <w:marRight w:val="0"/>
      <w:marTop w:val="0"/>
      <w:marBottom w:val="0"/>
      <w:divBdr>
        <w:top w:val="none" w:sz="0" w:space="0" w:color="auto"/>
        <w:left w:val="none" w:sz="0" w:space="0" w:color="auto"/>
        <w:bottom w:val="none" w:sz="0" w:space="0" w:color="auto"/>
        <w:right w:val="none" w:sz="0" w:space="0" w:color="auto"/>
      </w:divBdr>
    </w:div>
    <w:div w:id="510919646">
      <w:bodyDiv w:val="1"/>
      <w:marLeft w:val="0"/>
      <w:marRight w:val="0"/>
      <w:marTop w:val="0"/>
      <w:marBottom w:val="0"/>
      <w:divBdr>
        <w:top w:val="none" w:sz="0" w:space="0" w:color="auto"/>
        <w:left w:val="none" w:sz="0" w:space="0" w:color="auto"/>
        <w:bottom w:val="none" w:sz="0" w:space="0" w:color="auto"/>
        <w:right w:val="none" w:sz="0" w:space="0" w:color="auto"/>
      </w:divBdr>
    </w:div>
    <w:div w:id="515577285">
      <w:bodyDiv w:val="1"/>
      <w:marLeft w:val="0"/>
      <w:marRight w:val="0"/>
      <w:marTop w:val="0"/>
      <w:marBottom w:val="0"/>
      <w:divBdr>
        <w:top w:val="none" w:sz="0" w:space="0" w:color="auto"/>
        <w:left w:val="none" w:sz="0" w:space="0" w:color="auto"/>
        <w:bottom w:val="none" w:sz="0" w:space="0" w:color="auto"/>
        <w:right w:val="none" w:sz="0" w:space="0" w:color="auto"/>
      </w:divBdr>
    </w:div>
    <w:div w:id="516231980">
      <w:bodyDiv w:val="1"/>
      <w:marLeft w:val="0"/>
      <w:marRight w:val="0"/>
      <w:marTop w:val="0"/>
      <w:marBottom w:val="0"/>
      <w:divBdr>
        <w:top w:val="none" w:sz="0" w:space="0" w:color="auto"/>
        <w:left w:val="none" w:sz="0" w:space="0" w:color="auto"/>
        <w:bottom w:val="none" w:sz="0" w:space="0" w:color="auto"/>
        <w:right w:val="none" w:sz="0" w:space="0" w:color="auto"/>
      </w:divBdr>
    </w:div>
    <w:div w:id="521473718">
      <w:bodyDiv w:val="1"/>
      <w:marLeft w:val="0"/>
      <w:marRight w:val="0"/>
      <w:marTop w:val="0"/>
      <w:marBottom w:val="0"/>
      <w:divBdr>
        <w:top w:val="none" w:sz="0" w:space="0" w:color="auto"/>
        <w:left w:val="none" w:sz="0" w:space="0" w:color="auto"/>
        <w:bottom w:val="none" w:sz="0" w:space="0" w:color="auto"/>
        <w:right w:val="none" w:sz="0" w:space="0" w:color="auto"/>
      </w:divBdr>
    </w:div>
    <w:div w:id="526672849">
      <w:bodyDiv w:val="1"/>
      <w:marLeft w:val="0"/>
      <w:marRight w:val="0"/>
      <w:marTop w:val="0"/>
      <w:marBottom w:val="0"/>
      <w:divBdr>
        <w:top w:val="none" w:sz="0" w:space="0" w:color="auto"/>
        <w:left w:val="none" w:sz="0" w:space="0" w:color="auto"/>
        <w:bottom w:val="none" w:sz="0" w:space="0" w:color="auto"/>
        <w:right w:val="none" w:sz="0" w:space="0" w:color="auto"/>
      </w:divBdr>
    </w:div>
    <w:div w:id="526988558">
      <w:bodyDiv w:val="1"/>
      <w:marLeft w:val="0"/>
      <w:marRight w:val="0"/>
      <w:marTop w:val="0"/>
      <w:marBottom w:val="0"/>
      <w:divBdr>
        <w:top w:val="none" w:sz="0" w:space="0" w:color="auto"/>
        <w:left w:val="none" w:sz="0" w:space="0" w:color="auto"/>
        <w:bottom w:val="none" w:sz="0" w:space="0" w:color="auto"/>
        <w:right w:val="none" w:sz="0" w:space="0" w:color="auto"/>
      </w:divBdr>
    </w:div>
    <w:div w:id="532381312">
      <w:bodyDiv w:val="1"/>
      <w:marLeft w:val="0"/>
      <w:marRight w:val="0"/>
      <w:marTop w:val="0"/>
      <w:marBottom w:val="0"/>
      <w:divBdr>
        <w:top w:val="none" w:sz="0" w:space="0" w:color="auto"/>
        <w:left w:val="none" w:sz="0" w:space="0" w:color="auto"/>
        <w:bottom w:val="none" w:sz="0" w:space="0" w:color="auto"/>
        <w:right w:val="none" w:sz="0" w:space="0" w:color="auto"/>
      </w:divBdr>
    </w:div>
    <w:div w:id="534315554">
      <w:bodyDiv w:val="1"/>
      <w:marLeft w:val="0"/>
      <w:marRight w:val="0"/>
      <w:marTop w:val="0"/>
      <w:marBottom w:val="0"/>
      <w:divBdr>
        <w:top w:val="none" w:sz="0" w:space="0" w:color="auto"/>
        <w:left w:val="none" w:sz="0" w:space="0" w:color="auto"/>
        <w:bottom w:val="none" w:sz="0" w:space="0" w:color="auto"/>
        <w:right w:val="none" w:sz="0" w:space="0" w:color="auto"/>
      </w:divBdr>
    </w:div>
    <w:div w:id="535773944">
      <w:bodyDiv w:val="1"/>
      <w:marLeft w:val="0"/>
      <w:marRight w:val="0"/>
      <w:marTop w:val="0"/>
      <w:marBottom w:val="0"/>
      <w:divBdr>
        <w:top w:val="none" w:sz="0" w:space="0" w:color="auto"/>
        <w:left w:val="none" w:sz="0" w:space="0" w:color="auto"/>
        <w:bottom w:val="none" w:sz="0" w:space="0" w:color="auto"/>
        <w:right w:val="none" w:sz="0" w:space="0" w:color="auto"/>
      </w:divBdr>
    </w:div>
    <w:div w:id="596326264">
      <w:bodyDiv w:val="1"/>
      <w:marLeft w:val="0"/>
      <w:marRight w:val="0"/>
      <w:marTop w:val="0"/>
      <w:marBottom w:val="0"/>
      <w:divBdr>
        <w:top w:val="none" w:sz="0" w:space="0" w:color="auto"/>
        <w:left w:val="none" w:sz="0" w:space="0" w:color="auto"/>
        <w:bottom w:val="none" w:sz="0" w:space="0" w:color="auto"/>
        <w:right w:val="none" w:sz="0" w:space="0" w:color="auto"/>
      </w:divBdr>
    </w:div>
    <w:div w:id="623928354">
      <w:bodyDiv w:val="1"/>
      <w:marLeft w:val="0"/>
      <w:marRight w:val="0"/>
      <w:marTop w:val="0"/>
      <w:marBottom w:val="0"/>
      <w:divBdr>
        <w:top w:val="none" w:sz="0" w:space="0" w:color="auto"/>
        <w:left w:val="none" w:sz="0" w:space="0" w:color="auto"/>
        <w:bottom w:val="none" w:sz="0" w:space="0" w:color="auto"/>
        <w:right w:val="none" w:sz="0" w:space="0" w:color="auto"/>
      </w:divBdr>
    </w:div>
    <w:div w:id="631668419">
      <w:bodyDiv w:val="1"/>
      <w:marLeft w:val="0"/>
      <w:marRight w:val="0"/>
      <w:marTop w:val="0"/>
      <w:marBottom w:val="0"/>
      <w:divBdr>
        <w:top w:val="none" w:sz="0" w:space="0" w:color="auto"/>
        <w:left w:val="none" w:sz="0" w:space="0" w:color="auto"/>
        <w:bottom w:val="none" w:sz="0" w:space="0" w:color="auto"/>
        <w:right w:val="none" w:sz="0" w:space="0" w:color="auto"/>
      </w:divBdr>
    </w:div>
    <w:div w:id="647245111">
      <w:bodyDiv w:val="1"/>
      <w:marLeft w:val="0"/>
      <w:marRight w:val="0"/>
      <w:marTop w:val="0"/>
      <w:marBottom w:val="0"/>
      <w:divBdr>
        <w:top w:val="none" w:sz="0" w:space="0" w:color="auto"/>
        <w:left w:val="none" w:sz="0" w:space="0" w:color="auto"/>
        <w:bottom w:val="none" w:sz="0" w:space="0" w:color="auto"/>
        <w:right w:val="none" w:sz="0" w:space="0" w:color="auto"/>
      </w:divBdr>
    </w:div>
    <w:div w:id="666786863">
      <w:bodyDiv w:val="1"/>
      <w:marLeft w:val="0"/>
      <w:marRight w:val="0"/>
      <w:marTop w:val="0"/>
      <w:marBottom w:val="0"/>
      <w:divBdr>
        <w:top w:val="none" w:sz="0" w:space="0" w:color="auto"/>
        <w:left w:val="none" w:sz="0" w:space="0" w:color="auto"/>
        <w:bottom w:val="none" w:sz="0" w:space="0" w:color="auto"/>
        <w:right w:val="none" w:sz="0" w:space="0" w:color="auto"/>
      </w:divBdr>
    </w:div>
    <w:div w:id="672530748">
      <w:bodyDiv w:val="1"/>
      <w:marLeft w:val="0"/>
      <w:marRight w:val="0"/>
      <w:marTop w:val="0"/>
      <w:marBottom w:val="0"/>
      <w:divBdr>
        <w:top w:val="none" w:sz="0" w:space="0" w:color="auto"/>
        <w:left w:val="none" w:sz="0" w:space="0" w:color="auto"/>
        <w:bottom w:val="none" w:sz="0" w:space="0" w:color="auto"/>
        <w:right w:val="none" w:sz="0" w:space="0" w:color="auto"/>
      </w:divBdr>
    </w:div>
    <w:div w:id="676661592">
      <w:bodyDiv w:val="1"/>
      <w:marLeft w:val="0"/>
      <w:marRight w:val="0"/>
      <w:marTop w:val="0"/>
      <w:marBottom w:val="0"/>
      <w:divBdr>
        <w:top w:val="none" w:sz="0" w:space="0" w:color="auto"/>
        <w:left w:val="none" w:sz="0" w:space="0" w:color="auto"/>
        <w:bottom w:val="none" w:sz="0" w:space="0" w:color="auto"/>
        <w:right w:val="none" w:sz="0" w:space="0" w:color="auto"/>
      </w:divBdr>
    </w:div>
    <w:div w:id="684795550">
      <w:bodyDiv w:val="1"/>
      <w:marLeft w:val="0"/>
      <w:marRight w:val="0"/>
      <w:marTop w:val="0"/>
      <w:marBottom w:val="0"/>
      <w:divBdr>
        <w:top w:val="none" w:sz="0" w:space="0" w:color="auto"/>
        <w:left w:val="none" w:sz="0" w:space="0" w:color="auto"/>
        <w:bottom w:val="none" w:sz="0" w:space="0" w:color="auto"/>
        <w:right w:val="none" w:sz="0" w:space="0" w:color="auto"/>
      </w:divBdr>
    </w:div>
    <w:div w:id="702630294">
      <w:bodyDiv w:val="1"/>
      <w:marLeft w:val="0"/>
      <w:marRight w:val="0"/>
      <w:marTop w:val="0"/>
      <w:marBottom w:val="0"/>
      <w:divBdr>
        <w:top w:val="none" w:sz="0" w:space="0" w:color="auto"/>
        <w:left w:val="none" w:sz="0" w:space="0" w:color="auto"/>
        <w:bottom w:val="none" w:sz="0" w:space="0" w:color="auto"/>
        <w:right w:val="none" w:sz="0" w:space="0" w:color="auto"/>
      </w:divBdr>
    </w:div>
    <w:div w:id="771823786">
      <w:bodyDiv w:val="1"/>
      <w:marLeft w:val="0"/>
      <w:marRight w:val="0"/>
      <w:marTop w:val="0"/>
      <w:marBottom w:val="0"/>
      <w:divBdr>
        <w:top w:val="none" w:sz="0" w:space="0" w:color="auto"/>
        <w:left w:val="none" w:sz="0" w:space="0" w:color="auto"/>
        <w:bottom w:val="none" w:sz="0" w:space="0" w:color="auto"/>
        <w:right w:val="none" w:sz="0" w:space="0" w:color="auto"/>
      </w:divBdr>
    </w:div>
    <w:div w:id="786587378">
      <w:bodyDiv w:val="1"/>
      <w:marLeft w:val="0"/>
      <w:marRight w:val="0"/>
      <w:marTop w:val="0"/>
      <w:marBottom w:val="0"/>
      <w:divBdr>
        <w:top w:val="none" w:sz="0" w:space="0" w:color="auto"/>
        <w:left w:val="none" w:sz="0" w:space="0" w:color="auto"/>
        <w:bottom w:val="none" w:sz="0" w:space="0" w:color="auto"/>
        <w:right w:val="none" w:sz="0" w:space="0" w:color="auto"/>
      </w:divBdr>
    </w:div>
    <w:div w:id="796604330">
      <w:bodyDiv w:val="1"/>
      <w:marLeft w:val="0"/>
      <w:marRight w:val="0"/>
      <w:marTop w:val="0"/>
      <w:marBottom w:val="0"/>
      <w:divBdr>
        <w:top w:val="none" w:sz="0" w:space="0" w:color="auto"/>
        <w:left w:val="none" w:sz="0" w:space="0" w:color="auto"/>
        <w:bottom w:val="none" w:sz="0" w:space="0" w:color="auto"/>
        <w:right w:val="none" w:sz="0" w:space="0" w:color="auto"/>
      </w:divBdr>
    </w:div>
    <w:div w:id="799954807">
      <w:bodyDiv w:val="1"/>
      <w:marLeft w:val="0"/>
      <w:marRight w:val="0"/>
      <w:marTop w:val="0"/>
      <w:marBottom w:val="0"/>
      <w:divBdr>
        <w:top w:val="none" w:sz="0" w:space="0" w:color="auto"/>
        <w:left w:val="none" w:sz="0" w:space="0" w:color="auto"/>
        <w:bottom w:val="none" w:sz="0" w:space="0" w:color="auto"/>
        <w:right w:val="none" w:sz="0" w:space="0" w:color="auto"/>
      </w:divBdr>
    </w:div>
    <w:div w:id="816530079">
      <w:bodyDiv w:val="1"/>
      <w:marLeft w:val="0"/>
      <w:marRight w:val="0"/>
      <w:marTop w:val="0"/>
      <w:marBottom w:val="0"/>
      <w:divBdr>
        <w:top w:val="none" w:sz="0" w:space="0" w:color="auto"/>
        <w:left w:val="none" w:sz="0" w:space="0" w:color="auto"/>
        <w:bottom w:val="none" w:sz="0" w:space="0" w:color="auto"/>
        <w:right w:val="none" w:sz="0" w:space="0" w:color="auto"/>
      </w:divBdr>
    </w:div>
    <w:div w:id="819224448">
      <w:bodyDiv w:val="1"/>
      <w:marLeft w:val="0"/>
      <w:marRight w:val="0"/>
      <w:marTop w:val="0"/>
      <w:marBottom w:val="0"/>
      <w:divBdr>
        <w:top w:val="none" w:sz="0" w:space="0" w:color="auto"/>
        <w:left w:val="none" w:sz="0" w:space="0" w:color="auto"/>
        <w:bottom w:val="none" w:sz="0" w:space="0" w:color="auto"/>
        <w:right w:val="none" w:sz="0" w:space="0" w:color="auto"/>
      </w:divBdr>
    </w:div>
    <w:div w:id="836462987">
      <w:bodyDiv w:val="1"/>
      <w:marLeft w:val="0"/>
      <w:marRight w:val="0"/>
      <w:marTop w:val="0"/>
      <w:marBottom w:val="0"/>
      <w:divBdr>
        <w:top w:val="none" w:sz="0" w:space="0" w:color="auto"/>
        <w:left w:val="none" w:sz="0" w:space="0" w:color="auto"/>
        <w:bottom w:val="none" w:sz="0" w:space="0" w:color="auto"/>
        <w:right w:val="none" w:sz="0" w:space="0" w:color="auto"/>
      </w:divBdr>
    </w:div>
    <w:div w:id="859315737">
      <w:bodyDiv w:val="1"/>
      <w:marLeft w:val="0"/>
      <w:marRight w:val="0"/>
      <w:marTop w:val="0"/>
      <w:marBottom w:val="0"/>
      <w:divBdr>
        <w:top w:val="none" w:sz="0" w:space="0" w:color="auto"/>
        <w:left w:val="none" w:sz="0" w:space="0" w:color="auto"/>
        <w:bottom w:val="none" w:sz="0" w:space="0" w:color="auto"/>
        <w:right w:val="none" w:sz="0" w:space="0" w:color="auto"/>
      </w:divBdr>
    </w:div>
    <w:div w:id="887304972">
      <w:bodyDiv w:val="1"/>
      <w:marLeft w:val="0"/>
      <w:marRight w:val="0"/>
      <w:marTop w:val="0"/>
      <w:marBottom w:val="0"/>
      <w:divBdr>
        <w:top w:val="none" w:sz="0" w:space="0" w:color="auto"/>
        <w:left w:val="none" w:sz="0" w:space="0" w:color="auto"/>
        <w:bottom w:val="none" w:sz="0" w:space="0" w:color="auto"/>
        <w:right w:val="none" w:sz="0" w:space="0" w:color="auto"/>
      </w:divBdr>
    </w:div>
    <w:div w:id="903222839">
      <w:bodyDiv w:val="1"/>
      <w:marLeft w:val="0"/>
      <w:marRight w:val="0"/>
      <w:marTop w:val="0"/>
      <w:marBottom w:val="0"/>
      <w:divBdr>
        <w:top w:val="none" w:sz="0" w:space="0" w:color="auto"/>
        <w:left w:val="none" w:sz="0" w:space="0" w:color="auto"/>
        <w:bottom w:val="none" w:sz="0" w:space="0" w:color="auto"/>
        <w:right w:val="none" w:sz="0" w:space="0" w:color="auto"/>
      </w:divBdr>
    </w:div>
    <w:div w:id="911545118">
      <w:bodyDiv w:val="1"/>
      <w:marLeft w:val="0"/>
      <w:marRight w:val="0"/>
      <w:marTop w:val="0"/>
      <w:marBottom w:val="0"/>
      <w:divBdr>
        <w:top w:val="none" w:sz="0" w:space="0" w:color="auto"/>
        <w:left w:val="none" w:sz="0" w:space="0" w:color="auto"/>
        <w:bottom w:val="none" w:sz="0" w:space="0" w:color="auto"/>
        <w:right w:val="none" w:sz="0" w:space="0" w:color="auto"/>
      </w:divBdr>
      <w:divsChild>
        <w:div w:id="1548686827">
          <w:marLeft w:val="0"/>
          <w:marRight w:val="0"/>
          <w:marTop w:val="0"/>
          <w:marBottom w:val="0"/>
          <w:divBdr>
            <w:top w:val="none" w:sz="0" w:space="0" w:color="auto"/>
            <w:left w:val="none" w:sz="0" w:space="0" w:color="auto"/>
            <w:bottom w:val="none" w:sz="0" w:space="0" w:color="auto"/>
            <w:right w:val="none" w:sz="0" w:space="0" w:color="auto"/>
          </w:divBdr>
          <w:divsChild>
            <w:div w:id="771784371">
              <w:marLeft w:val="0"/>
              <w:marRight w:val="0"/>
              <w:marTop w:val="0"/>
              <w:marBottom w:val="0"/>
              <w:divBdr>
                <w:top w:val="none" w:sz="0" w:space="0" w:color="auto"/>
                <w:left w:val="none" w:sz="0" w:space="0" w:color="auto"/>
                <w:bottom w:val="none" w:sz="0" w:space="0" w:color="auto"/>
                <w:right w:val="none" w:sz="0" w:space="0" w:color="auto"/>
              </w:divBdr>
              <w:divsChild>
                <w:div w:id="849830473">
                  <w:marLeft w:val="0"/>
                  <w:marRight w:val="0"/>
                  <w:marTop w:val="0"/>
                  <w:marBottom w:val="0"/>
                  <w:divBdr>
                    <w:top w:val="none" w:sz="0" w:space="0" w:color="auto"/>
                    <w:left w:val="none" w:sz="0" w:space="0" w:color="auto"/>
                    <w:bottom w:val="none" w:sz="0" w:space="0" w:color="auto"/>
                    <w:right w:val="none" w:sz="0" w:space="0" w:color="auto"/>
                  </w:divBdr>
                  <w:divsChild>
                    <w:div w:id="344210026">
                      <w:marLeft w:val="0"/>
                      <w:marRight w:val="0"/>
                      <w:marTop w:val="0"/>
                      <w:marBottom w:val="0"/>
                      <w:divBdr>
                        <w:top w:val="none" w:sz="0" w:space="0" w:color="auto"/>
                        <w:left w:val="none" w:sz="0" w:space="0" w:color="auto"/>
                        <w:bottom w:val="none" w:sz="0" w:space="0" w:color="auto"/>
                        <w:right w:val="none" w:sz="0" w:space="0" w:color="auto"/>
                      </w:divBdr>
                      <w:divsChild>
                        <w:div w:id="529338477">
                          <w:marLeft w:val="0"/>
                          <w:marRight w:val="0"/>
                          <w:marTop w:val="0"/>
                          <w:marBottom w:val="0"/>
                          <w:divBdr>
                            <w:top w:val="none" w:sz="0" w:space="0" w:color="auto"/>
                            <w:left w:val="none" w:sz="0" w:space="0" w:color="auto"/>
                            <w:bottom w:val="none" w:sz="0" w:space="0" w:color="auto"/>
                            <w:right w:val="none" w:sz="0" w:space="0" w:color="auto"/>
                          </w:divBdr>
                          <w:divsChild>
                            <w:div w:id="1387417463">
                              <w:marLeft w:val="0"/>
                              <w:marRight w:val="0"/>
                              <w:marTop w:val="0"/>
                              <w:marBottom w:val="0"/>
                              <w:divBdr>
                                <w:top w:val="none" w:sz="0" w:space="0" w:color="auto"/>
                                <w:left w:val="none" w:sz="0" w:space="0" w:color="auto"/>
                                <w:bottom w:val="none" w:sz="0" w:space="0" w:color="auto"/>
                                <w:right w:val="none" w:sz="0" w:space="0" w:color="auto"/>
                              </w:divBdr>
                              <w:divsChild>
                                <w:div w:id="1522161061">
                                  <w:marLeft w:val="0"/>
                                  <w:marRight w:val="0"/>
                                  <w:marTop w:val="0"/>
                                  <w:marBottom w:val="0"/>
                                  <w:divBdr>
                                    <w:top w:val="none" w:sz="0" w:space="0" w:color="auto"/>
                                    <w:left w:val="none" w:sz="0" w:space="0" w:color="auto"/>
                                    <w:bottom w:val="none" w:sz="0" w:space="0" w:color="auto"/>
                                    <w:right w:val="none" w:sz="0" w:space="0" w:color="auto"/>
                                  </w:divBdr>
                                  <w:divsChild>
                                    <w:div w:id="213854192">
                                      <w:marLeft w:val="0"/>
                                      <w:marRight w:val="0"/>
                                      <w:marTop w:val="0"/>
                                      <w:marBottom w:val="0"/>
                                      <w:divBdr>
                                        <w:top w:val="none" w:sz="0" w:space="0" w:color="auto"/>
                                        <w:left w:val="none" w:sz="0" w:space="0" w:color="auto"/>
                                        <w:bottom w:val="none" w:sz="0" w:space="0" w:color="auto"/>
                                        <w:right w:val="none" w:sz="0" w:space="0" w:color="auto"/>
                                      </w:divBdr>
                                      <w:divsChild>
                                        <w:div w:id="1667319802">
                                          <w:marLeft w:val="0"/>
                                          <w:marRight w:val="0"/>
                                          <w:marTop w:val="0"/>
                                          <w:marBottom w:val="0"/>
                                          <w:divBdr>
                                            <w:top w:val="none" w:sz="0" w:space="0" w:color="auto"/>
                                            <w:left w:val="none" w:sz="0" w:space="0" w:color="auto"/>
                                            <w:bottom w:val="none" w:sz="0" w:space="0" w:color="auto"/>
                                            <w:right w:val="none" w:sz="0" w:space="0" w:color="auto"/>
                                          </w:divBdr>
                                          <w:divsChild>
                                            <w:div w:id="742944964">
                                              <w:marLeft w:val="0"/>
                                              <w:marRight w:val="0"/>
                                              <w:marTop w:val="0"/>
                                              <w:marBottom w:val="0"/>
                                              <w:divBdr>
                                                <w:top w:val="none" w:sz="0" w:space="0" w:color="auto"/>
                                                <w:left w:val="none" w:sz="0" w:space="0" w:color="auto"/>
                                                <w:bottom w:val="none" w:sz="0" w:space="0" w:color="auto"/>
                                                <w:right w:val="none" w:sz="0" w:space="0" w:color="auto"/>
                                              </w:divBdr>
                                              <w:divsChild>
                                                <w:div w:id="1017586553">
                                                  <w:marLeft w:val="0"/>
                                                  <w:marRight w:val="0"/>
                                                  <w:marTop w:val="0"/>
                                                  <w:marBottom w:val="0"/>
                                                  <w:divBdr>
                                                    <w:top w:val="none" w:sz="0" w:space="0" w:color="auto"/>
                                                    <w:left w:val="none" w:sz="0" w:space="0" w:color="auto"/>
                                                    <w:bottom w:val="none" w:sz="0" w:space="0" w:color="auto"/>
                                                    <w:right w:val="none" w:sz="0" w:space="0" w:color="auto"/>
                                                  </w:divBdr>
                                                  <w:divsChild>
                                                    <w:div w:id="1895433794">
                                                      <w:marLeft w:val="0"/>
                                                      <w:marRight w:val="0"/>
                                                      <w:marTop w:val="0"/>
                                                      <w:marBottom w:val="0"/>
                                                      <w:divBdr>
                                                        <w:top w:val="none" w:sz="0" w:space="0" w:color="auto"/>
                                                        <w:left w:val="none" w:sz="0" w:space="0" w:color="auto"/>
                                                        <w:bottom w:val="none" w:sz="0" w:space="0" w:color="auto"/>
                                                        <w:right w:val="none" w:sz="0" w:space="0" w:color="auto"/>
                                                      </w:divBdr>
                                                      <w:divsChild>
                                                        <w:div w:id="14446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9413652">
      <w:bodyDiv w:val="1"/>
      <w:marLeft w:val="0"/>
      <w:marRight w:val="0"/>
      <w:marTop w:val="0"/>
      <w:marBottom w:val="0"/>
      <w:divBdr>
        <w:top w:val="none" w:sz="0" w:space="0" w:color="auto"/>
        <w:left w:val="none" w:sz="0" w:space="0" w:color="auto"/>
        <w:bottom w:val="none" w:sz="0" w:space="0" w:color="auto"/>
        <w:right w:val="none" w:sz="0" w:space="0" w:color="auto"/>
      </w:divBdr>
    </w:div>
    <w:div w:id="928000225">
      <w:bodyDiv w:val="1"/>
      <w:marLeft w:val="0"/>
      <w:marRight w:val="0"/>
      <w:marTop w:val="0"/>
      <w:marBottom w:val="0"/>
      <w:divBdr>
        <w:top w:val="none" w:sz="0" w:space="0" w:color="auto"/>
        <w:left w:val="none" w:sz="0" w:space="0" w:color="auto"/>
        <w:bottom w:val="none" w:sz="0" w:space="0" w:color="auto"/>
        <w:right w:val="none" w:sz="0" w:space="0" w:color="auto"/>
      </w:divBdr>
    </w:div>
    <w:div w:id="936711490">
      <w:bodyDiv w:val="1"/>
      <w:marLeft w:val="0"/>
      <w:marRight w:val="0"/>
      <w:marTop w:val="0"/>
      <w:marBottom w:val="0"/>
      <w:divBdr>
        <w:top w:val="none" w:sz="0" w:space="0" w:color="auto"/>
        <w:left w:val="none" w:sz="0" w:space="0" w:color="auto"/>
        <w:bottom w:val="none" w:sz="0" w:space="0" w:color="auto"/>
        <w:right w:val="none" w:sz="0" w:space="0" w:color="auto"/>
      </w:divBdr>
    </w:div>
    <w:div w:id="947001972">
      <w:bodyDiv w:val="1"/>
      <w:marLeft w:val="0"/>
      <w:marRight w:val="0"/>
      <w:marTop w:val="0"/>
      <w:marBottom w:val="0"/>
      <w:divBdr>
        <w:top w:val="none" w:sz="0" w:space="0" w:color="auto"/>
        <w:left w:val="none" w:sz="0" w:space="0" w:color="auto"/>
        <w:bottom w:val="none" w:sz="0" w:space="0" w:color="auto"/>
        <w:right w:val="none" w:sz="0" w:space="0" w:color="auto"/>
      </w:divBdr>
    </w:div>
    <w:div w:id="950090887">
      <w:bodyDiv w:val="1"/>
      <w:marLeft w:val="0"/>
      <w:marRight w:val="0"/>
      <w:marTop w:val="0"/>
      <w:marBottom w:val="0"/>
      <w:divBdr>
        <w:top w:val="none" w:sz="0" w:space="0" w:color="auto"/>
        <w:left w:val="none" w:sz="0" w:space="0" w:color="auto"/>
        <w:bottom w:val="none" w:sz="0" w:space="0" w:color="auto"/>
        <w:right w:val="none" w:sz="0" w:space="0" w:color="auto"/>
      </w:divBdr>
    </w:div>
    <w:div w:id="980187760">
      <w:bodyDiv w:val="1"/>
      <w:marLeft w:val="0"/>
      <w:marRight w:val="0"/>
      <w:marTop w:val="0"/>
      <w:marBottom w:val="0"/>
      <w:divBdr>
        <w:top w:val="none" w:sz="0" w:space="0" w:color="auto"/>
        <w:left w:val="none" w:sz="0" w:space="0" w:color="auto"/>
        <w:bottom w:val="none" w:sz="0" w:space="0" w:color="auto"/>
        <w:right w:val="none" w:sz="0" w:space="0" w:color="auto"/>
      </w:divBdr>
    </w:div>
    <w:div w:id="988942919">
      <w:bodyDiv w:val="1"/>
      <w:marLeft w:val="0"/>
      <w:marRight w:val="0"/>
      <w:marTop w:val="0"/>
      <w:marBottom w:val="0"/>
      <w:divBdr>
        <w:top w:val="none" w:sz="0" w:space="0" w:color="auto"/>
        <w:left w:val="none" w:sz="0" w:space="0" w:color="auto"/>
        <w:bottom w:val="none" w:sz="0" w:space="0" w:color="auto"/>
        <w:right w:val="none" w:sz="0" w:space="0" w:color="auto"/>
      </w:divBdr>
    </w:div>
    <w:div w:id="1032002029">
      <w:bodyDiv w:val="1"/>
      <w:marLeft w:val="0"/>
      <w:marRight w:val="0"/>
      <w:marTop w:val="0"/>
      <w:marBottom w:val="0"/>
      <w:divBdr>
        <w:top w:val="none" w:sz="0" w:space="0" w:color="auto"/>
        <w:left w:val="none" w:sz="0" w:space="0" w:color="auto"/>
        <w:bottom w:val="none" w:sz="0" w:space="0" w:color="auto"/>
        <w:right w:val="none" w:sz="0" w:space="0" w:color="auto"/>
      </w:divBdr>
    </w:div>
    <w:div w:id="1047338323">
      <w:bodyDiv w:val="1"/>
      <w:marLeft w:val="0"/>
      <w:marRight w:val="0"/>
      <w:marTop w:val="0"/>
      <w:marBottom w:val="0"/>
      <w:divBdr>
        <w:top w:val="none" w:sz="0" w:space="0" w:color="auto"/>
        <w:left w:val="none" w:sz="0" w:space="0" w:color="auto"/>
        <w:bottom w:val="none" w:sz="0" w:space="0" w:color="auto"/>
        <w:right w:val="none" w:sz="0" w:space="0" w:color="auto"/>
      </w:divBdr>
    </w:div>
    <w:div w:id="1094979418">
      <w:bodyDiv w:val="1"/>
      <w:marLeft w:val="0"/>
      <w:marRight w:val="0"/>
      <w:marTop w:val="0"/>
      <w:marBottom w:val="0"/>
      <w:divBdr>
        <w:top w:val="none" w:sz="0" w:space="0" w:color="auto"/>
        <w:left w:val="none" w:sz="0" w:space="0" w:color="auto"/>
        <w:bottom w:val="none" w:sz="0" w:space="0" w:color="auto"/>
        <w:right w:val="none" w:sz="0" w:space="0" w:color="auto"/>
      </w:divBdr>
    </w:div>
    <w:div w:id="1098983607">
      <w:bodyDiv w:val="1"/>
      <w:marLeft w:val="0"/>
      <w:marRight w:val="0"/>
      <w:marTop w:val="0"/>
      <w:marBottom w:val="0"/>
      <w:divBdr>
        <w:top w:val="none" w:sz="0" w:space="0" w:color="auto"/>
        <w:left w:val="none" w:sz="0" w:space="0" w:color="auto"/>
        <w:bottom w:val="none" w:sz="0" w:space="0" w:color="auto"/>
        <w:right w:val="none" w:sz="0" w:space="0" w:color="auto"/>
      </w:divBdr>
    </w:div>
    <w:div w:id="1113014179">
      <w:bodyDiv w:val="1"/>
      <w:marLeft w:val="0"/>
      <w:marRight w:val="0"/>
      <w:marTop w:val="0"/>
      <w:marBottom w:val="0"/>
      <w:divBdr>
        <w:top w:val="none" w:sz="0" w:space="0" w:color="auto"/>
        <w:left w:val="none" w:sz="0" w:space="0" w:color="auto"/>
        <w:bottom w:val="none" w:sz="0" w:space="0" w:color="auto"/>
        <w:right w:val="none" w:sz="0" w:space="0" w:color="auto"/>
      </w:divBdr>
    </w:div>
    <w:div w:id="1120295454">
      <w:bodyDiv w:val="1"/>
      <w:marLeft w:val="0"/>
      <w:marRight w:val="0"/>
      <w:marTop w:val="0"/>
      <w:marBottom w:val="0"/>
      <w:divBdr>
        <w:top w:val="none" w:sz="0" w:space="0" w:color="auto"/>
        <w:left w:val="none" w:sz="0" w:space="0" w:color="auto"/>
        <w:bottom w:val="none" w:sz="0" w:space="0" w:color="auto"/>
        <w:right w:val="none" w:sz="0" w:space="0" w:color="auto"/>
      </w:divBdr>
    </w:div>
    <w:div w:id="1124466855">
      <w:bodyDiv w:val="1"/>
      <w:marLeft w:val="0"/>
      <w:marRight w:val="0"/>
      <w:marTop w:val="0"/>
      <w:marBottom w:val="0"/>
      <w:divBdr>
        <w:top w:val="none" w:sz="0" w:space="0" w:color="auto"/>
        <w:left w:val="none" w:sz="0" w:space="0" w:color="auto"/>
        <w:bottom w:val="none" w:sz="0" w:space="0" w:color="auto"/>
        <w:right w:val="none" w:sz="0" w:space="0" w:color="auto"/>
      </w:divBdr>
    </w:div>
    <w:div w:id="1134634967">
      <w:bodyDiv w:val="1"/>
      <w:marLeft w:val="0"/>
      <w:marRight w:val="0"/>
      <w:marTop w:val="0"/>
      <w:marBottom w:val="0"/>
      <w:divBdr>
        <w:top w:val="none" w:sz="0" w:space="0" w:color="auto"/>
        <w:left w:val="none" w:sz="0" w:space="0" w:color="auto"/>
        <w:bottom w:val="none" w:sz="0" w:space="0" w:color="auto"/>
        <w:right w:val="none" w:sz="0" w:space="0" w:color="auto"/>
      </w:divBdr>
    </w:div>
    <w:div w:id="1143111102">
      <w:bodyDiv w:val="1"/>
      <w:marLeft w:val="0"/>
      <w:marRight w:val="0"/>
      <w:marTop w:val="0"/>
      <w:marBottom w:val="0"/>
      <w:divBdr>
        <w:top w:val="none" w:sz="0" w:space="0" w:color="auto"/>
        <w:left w:val="none" w:sz="0" w:space="0" w:color="auto"/>
        <w:bottom w:val="none" w:sz="0" w:space="0" w:color="auto"/>
        <w:right w:val="none" w:sz="0" w:space="0" w:color="auto"/>
      </w:divBdr>
    </w:div>
    <w:div w:id="1148327533">
      <w:bodyDiv w:val="1"/>
      <w:marLeft w:val="0"/>
      <w:marRight w:val="0"/>
      <w:marTop w:val="0"/>
      <w:marBottom w:val="0"/>
      <w:divBdr>
        <w:top w:val="none" w:sz="0" w:space="0" w:color="auto"/>
        <w:left w:val="none" w:sz="0" w:space="0" w:color="auto"/>
        <w:bottom w:val="none" w:sz="0" w:space="0" w:color="auto"/>
        <w:right w:val="none" w:sz="0" w:space="0" w:color="auto"/>
      </w:divBdr>
    </w:div>
    <w:div w:id="1154493139">
      <w:bodyDiv w:val="1"/>
      <w:marLeft w:val="0"/>
      <w:marRight w:val="0"/>
      <w:marTop w:val="0"/>
      <w:marBottom w:val="0"/>
      <w:divBdr>
        <w:top w:val="none" w:sz="0" w:space="0" w:color="auto"/>
        <w:left w:val="none" w:sz="0" w:space="0" w:color="auto"/>
        <w:bottom w:val="none" w:sz="0" w:space="0" w:color="auto"/>
        <w:right w:val="none" w:sz="0" w:space="0" w:color="auto"/>
      </w:divBdr>
    </w:div>
    <w:div w:id="1167281361">
      <w:bodyDiv w:val="1"/>
      <w:marLeft w:val="0"/>
      <w:marRight w:val="0"/>
      <w:marTop w:val="0"/>
      <w:marBottom w:val="0"/>
      <w:divBdr>
        <w:top w:val="none" w:sz="0" w:space="0" w:color="auto"/>
        <w:left w:val="none" w:sz="0" w:space="0" w:color="auto"/>
        <w:bottom w:val="none" w:sz="0" w:space="0" w:color="auto"/>
        <w:right w:val="none" w:sz="0" w:space="0" w:color="auto"/>
      </w:divBdr>
    </w:div>
    <w:div w:id="1173715233">
      <w:bodyDiv w:val="1"/>
      <w:marLeft w:val="0"/>
      <w:marRight w:val="0"/>
      <w:marTop w:val="0"/>
      <w:marBottom w:val="0"/>
      <w:divBdr>
        <w:top w:val="none" w:sz="0" w:space="0" w:color="auto"/>
        <w:left w:val="none" w:sz="0" w:space="0" w:color="auto"/>
        <w:bottom w:val="none" w:sz="0" w:space="0" w:color="auto"/>
        <w:right w:val="none" w:sz="0" w:space="0" w:color="auto"/>
      </w:divBdr>
    </w:div>
    <w:div w:id="1193885143">
      <w:bodyDiv w:val="1"/>
      <w:marLeft w:val="0"/>
      <w:marRight w:val="0"/>
      <w:marTop w:val="0"/>
      <w:marBottom w:val="0"/>
      <w:divBdr>
        <w:top w:val="none" w:sz="0" w:space="0" w:color="auto"/>
        <w:left w:val="none" w:sz="0" w:space="0" w:color="auto"/>
        <w:bottom w:val="none" w:sz="0" w:space="0" w:color="auto"/>
        <w:right w:val="none" w:sz="0" w:space="0" w:color="auto"/>
      </w:divBdr>
    </w:div>
    <w:div w:id="1195196554">
      <w:bodyDiv w:val="1"/>
      <w:marLeft w:val="0"/>
      <w:marRight w:val="0"/>
      <w:marTop w:val="0"/>
      <w:marBottom w:val="0"/>
      <w:divBdr>
        <w:top w:val="none" w:sz="0" w:space="0" w:color="auto"/>
        <w:left w:val="none" w:sz="0" w:space="0" w:color="auto"/>
        <w:bottom w:val="none" w:sz="0" w:space="0" w:color="auto"/>
        <w:right w:val="none" w:sz="0" w:space="0" w:color="auto"/>
      </w:divBdr>
    </w:div>
    <w:div w:id="1198198758">
      <w:bodyDiv w:val="1"/>
      <w:marLeft w:val="0"/>
      <w:marRight w:val="0"/>
      <w:marTop w:val="0"/>
      <w:marBottom w:val="0"/>
      <w:divBdr>
        <w:top w:val="none" w:sz="0" w:space="0" w:color="auto"/>
        <w:left w:val="none" w:sz="0" w:space="0" w:color="auto"/>
        <w:bottom w:val="none" w:sz="0" w:space="0" w:color="auto"/>
        <w:right w:val="none" w:sz="0" w:space="0" w:color="auto"/>
      </w:divBdr>
    </w:div>
    <w:div w:id="1200969021">
      <w:bodyDiv w:val="1"/>
      <w:marLeft w:val="0"/>
      <w:marRight w:val="0"/>
      <w:marTop w:val="0"/>
      <w:marBottom w:val="0"/>
      <w:divBdr>
        <w:top w:val="none" w:sz="0" w:space="0" w:color="auto"/>
        <w:left w:val="none" w:sz="0" w:space="0" w:color="auto"/>
        <w:bottom w:val="none" w:sz="0" w:space="0" w:color="auto"/>
        <w:right w:val="none" w:sz="0" w:space="0" w:color="auto"/>
      </w:divBdr>
    </w:div>
    <w:div w:id="1218123902">
      <w:bodyDiv w:val="1"/>
      <w:marLeft w:val="0"/>
      <w:marRight w:val="0"/>
      <w:marTop w:val="0"/>
      <w:marBottom w:val="0"/>
      <w:divBdr>
        <w:top w:val="none" w:sz="0" w:space="0" w:color="auto"/>
        <w:left w:val="none" w:sz="0" w:space="0" w:color="auto"/>
        <w:bottom w:val="none" w:sz="0" w:space="0" w:color="auto"/>
        <w:right w:val="none" w:sz="0" w:space="0" w:color="auto"/>
      </w:divBdr>
    </w:div>
    <w:div w:id="1237857770">
      <w:bodyDiv w:val="1"/>
      <w:marLeft w:val="0"/>
      <w:marRight w:val="0"/>
      <w:marTop w:val="0"/>
      <w:marBottom w:val="0"/>
      <w:divBdr>
        <w:top w:val="none" w:sz="0" w:space="0" w:color="auto"/>
        <w:left w:val="none" w:sz="0" w:space="0" w:color="auto"/>
        <w:bottom w:val="none" w:sz="0" w:space="0" w:color="auto"/>
        <w:right w:val="none" w:sz="0" w:space="0" w:color="auto"/>
      </w:divBdr>
    </w:div>
    <w:div w:id="1244224299">
      <w:bodyDiv w:val="1"/>
      <w:marLeft w:val="0"/>
      <w:marRight w:val="0"/>
      <w:marTop w:val="0"/>
      <w:marBottom w:val="0"/>
      <w:divBdr>
        <w:top w:val="none" w:sz="0" w:space="0" w:color="auto"/>
        <w:left w:val="none" w:sz="0" w:space="0" w:color="auto"/>
        <w:bottom w:val="none" w:sz="0" w:space="0" w:color="auto"/>
        <w:right w:val="none" w:sz="0" w:space="0" w:color="auto"/>
      </w:divBdr>
    </w:div>
    <w:div w:id="1245725296">
      <w:bodyDiv w:val="1"/>
      <w:marLeft w:val="0"/>
      <w:marRight w:val="0"/>
      <w:marTop w:val="0"/>
      <w:marBottom w:val="0"/>
      <w:divBdr>
        <w:top w:val="none" w:sz="0" w:space="0" w:color="auto"/>
        <w:left w:val="none" w:sz="0" w:space="0" w:color="auto"/>
        <w:bottom w:val="none" w:sz="0" w:space="0" w:color="auto"/>
        <w:right w:val="none" w:sz="0" w:space="0" w:color="auto"/>
      </w:divBdr>
    </w:div>
    <w:div w:id="1248340789">
      <w:bodyDiv w:val="1"/>
      <w:marLeft w:val="0"/>
      <w:marRight w:val="0"/>
      <w:marTop w:val="0"/>
      <w:marBottom w:val="0"/>
      <w:divBdr>
        <w:top w:val="none" w:sz="0" w:space="0" w:color="auto"/>
        <w:left w:val="none" w:sz="0" w:space="0" w:color="auto"/>
        <w:bottom w:val="none" w:sz="0" w:space="0" w:color="auto"/>
        <w:right w:val="none" w:sz="0" w:space="0" w:color="auto"/>
      </w:divBdr>
    </w:div>
    <w:div w:id="1265772262">
      <w:bodyDiv w:val="1"/>
      <w:marLeft w:val="0"/>
      <w:marRight w:val="0"/>
      <w:marTop w:val="0"/>
      <w:marBottom w:val="0"/>
      <w:divBdr>
        <w:top w:val="none" w:sz="0" w:space="0" w:color="auto"/>
        <w:left w:val="none" w:sz="0" w:space="0" w:color="auto"/>
        <w:bottom w:val="none" w:sz="0" w:space="0" w:color="auto"/>
        <w:right w:val="none" w:sz="0" w:space="0" w:color="auto"/>
      </w:divBdr>
    </w:div>
    <w:div w:id="1269699750">
      <w:bodyDiv w:val="1"/>
      <w:marLeft w:val="0"/>
      <w:marRight w:val="0"/>
      <w:marTop w:val="0"/>
      <w:marBottom w:val="0"/>
      <w:divBdr>
        <w:top w:val="none" w:sz="0" w:space="0" w:color="auto"/>
        <w:left w:val="none" w:sz="0" w:space="0" w:color="auto"/>
        <w:bottom w:val="none" w:sz="0" w:space="0" w:color="auto"/>
        <w:right w:val="none" w:sz="0" w:space="0" w:color="auto"/>
      </w:divBdr>
    </w:div>
    <w:div w:id="1274439717">
      <w:bodyDiv w:val="1"/>
      <w:marLeft w:val="0"/>
      <w:marRight w:val="0"/>
      <w:marTop w:val="0"/>
      <w:marBottom w:val="0"/>
      <w:divBdr>
        <w:top w:val="none" w:sz="0" w:space="0" w:color="auto"/>
        <w:left w:val="none" w:sz="0" w:space="0" w:color="auto"/>
        <w:bottom w:val="none" w:sz="0" w:space="0" w:color="auto"/>
        <w:right w:val="none" w:sz="0" w:space="0" w:color="auto"/>
      </w:divBdr>
    </w:div>
    <w:div w:id="1288246095">
      <w:bodyDiv w:val="1"/>
      <w:marLeft w:val="0"/>
      <w:marRight w:val="0"/>
      <w:marTop w:val="0"/>
      <w:marBottom w:val="0"/>
      <w:divBdr>
        <w:top w:val="none" w:sz="0" w:space="0" w:color="auto"/>
        <w:left w:val="none" w:sz="0" w:space="0" w:color="auto"/>
        <w:bottom w:val="none" w:sz="0" w:space="0" w:color="auto"/>
        <w:right w:val="none" w:sz="0" w:space="0" w:color="auto"/>
      </w:divBdr>
    </w:div>
    <w:div w:id="1306276278">
      <w:bodyDiv w:val="1"/>
      <w:marLeft w:val="0"/>
      <w:marRight w:val="0"/>
      <w:marTop w:val="0"/>
      <w:marBottom w:val="0"/>
      <w:divBdr>
        <w:top w:val="none" w:sz="0" w:space="0" w:color="auto"/>
        <w:left w:val="none" w:sz="0" w:space="0" w:color="auto"/>
        <w:bottom w:val="none" w:sz="0" w:space="0" w:color="auto"/>
        <w:right w:val="none" w:sz="0" w:space="0" w:color="auto"/>
      </w:divBdr>
    </w:div>
    <w:div w:id="1309630045">
      <w:bodyDiv w:val="1"/>
      <w:marLeft w:val="0"/>
      <w:marRight w:val="0"/>
      <w:marTop w:val="0"/>
      <w:marBottom w:val="0"/>
      <w:divBdr>
        <w:top w:val="none" w:sz="0" w:space="0" w:color="auto"/>
        <w:left w:val="none" w:sz="0" w:space="0" w:color="auto"/>
        <w:bottom w:val="none" w:sz="0" w:space="0" w:color="auto"/>
        <w:right w:val="none" w:sz="0" w:space="0" w:color="auto"/>
      </w:divBdr>
    </w:div>
    <w:div w:id="1311253525">
      <w:bodyDiv w:val="1"/>
      <w:marLeft w:val="0"/>
      <w:marRight w:val="0"/>
      <w:marTop w:val="0"/>
      <w:marBottom w:val="0"/>
      <w:divBdr>
        <w:top w:val="none" w:sz="0" w:space="0" w:color="auto"/>
        <w:left w:val="none" w:sz="0" w:space="0" w:color="auto"/>
        <w:bottom w:val="none" w:sz="0" w:space="0" w:color="auto"/>
        <w:right w:val="none" w:sz="0" w:space="0" w:color="auto"/>
      </w:divBdr>
    </w:div>
    <w:div w:id="1322392181">
      <w:bodyDiv w:val="1"/>
      <w:marLeft w:val="0"/>
      <w:marRight w:val="0"/>
      <w:marTop w:val="0"/>
      <w:marBottom w:val="0"/>
      <w:divBdr>
        <w:top w:val="none" w:sz="0" w:space="0" w:color="auto"/>
        <w:left w:val="none" w:sz="0" w:space="0" w:color="auto"/>
        <w:bottom w:val="none" w:sz="0" w:space="0" w:color="auto"/>
        <w:right w:val="none" w:sz="0" w:space="0" w:color="auto"/>
      </w:divBdr>
    </w:div>
    <w:div w:id="1410810767">
      <w:bodyDiv w:val="1"/>
      <w:marLeft w:val="0"/>
      <w:marRight w:val="0"/>
      <w:marTop w:val="0"/>
      <w:marBottom w:val="0"/>
      <w:divBdr>
        <w:top w:val="none" w:sz="0" w:space="0" w:color="auto"/>
        <w:left w:val="none" w:sz="0" w:space="0" w:color="auto"/>
        <w:bottom w:val="none" w:sz="0" w:space="0" w:color="auto"/>
        <w:right w:val="none" w:sz="0" w:space="0" w:color="auto"/>
      </w:divBdr>
    </w:div>
    <w:div w:id="1425489688">
      <w:bodyDiv w:val="1"/>
      <w:marLeft w:val="0"/>
      <w:marRight w:val="0"/>
      <w:marTop w:val="0"/>
      <w:marBottom w:val="0"/>
      <w:divBdr>
        <w:top w:val="none" w:sz="0" w:space="0" w:color="auto"/>
        <w:left w:val="none" w:sz="0" w:space="0" w:color="auto"/>
        <w:bottom w:val="none" w:sz="0" w:space="0" w:color="auto"/>
        <w:right w:val="none" w:sz="0" w:space="0" w:color="auto"/>
      </w:divBdr>
    </w:div>
    <w:div w:id="1443111901">
      <w:bodyDiv w:val="1"/>
      <w:marLeft w:val="0"/>
      <w:marRight w:val="0"/>
      <w:marTop w:val="0"/>
      <w:marBottom w:val="0"/>
      <w:divBdr>
        <w:top w:val="none" w:sz="0" w:space="0" w:color="auto"/>
        <w:left w:val="none" w:sz="0" w:space="0" w:color="auto"/>
        <w:bottom w:val="none" w:sz="0" w:space="0" w:color="auto"/>
        <w:right w:val="none" w:sz="0" w:space="0" w:color="auto"/>
      </w:divBdr>
    </w:div>
    <w:div w:id="1453475266">
      <w:bodyDiv w:val="1"/>
      <w:marLeft w:val="0"/>
      <w:marRight w:val="0"/>
      <w:marTop w:val="0"/>
      <w:marBottom w:val="0"/>
      <w:divBdr>
        <w:top w:val="none" w:sz="0" w:space="0" w:color="auto"/>
        <w:left w:val="none" w:sz="0" w:space="0" w:color="auto"/>
        <w:bottom w:val="none" w:sz="0" w:space="0" w:color="auto"/>
        <w:right w:val="none" w:sz="0" w:space="0" w:color="auto"/>
      </w:divBdr>
    </w:div>
    <w:div w:id="1491018209">
      <w:bodyDiv w:val="1"/>
      <w:marLeft w:val="0"/>
      <w:marRight w:val="0"/>
      <w:marTop w:val="0"/>
      <w:marBottom w:val="0"/>
      <w:divBdr>
        <w:top w:val="none" w:sz="0" w:space="0" w:color="auto"/>
        <w:left w:val="none" w:sz="0" w:space="0" w:color="auto"/>
        <w:bottom w:val="none" w:sz="0" w:space="0" w:color="auto"/>
        <w:right w:val="none" w:sz="0" w:space="0" w:color="auto"/>
      </w:divBdr>
    </w:div>
    <w:div w:id="1491680864">
      <w:bodyDiv w:val="1"/>
      <w:marLeft w:val="0"/>
      <w:marRight w:val="0"/>
      <w:marTop w:val="0"/>
      <w:marBottom w:val="0"/>
      <w:divBdr>
        <w:top w:val="none" w:sz="0" w:space="0" w:color="auto"/>
        <w:left w:val="none" w:sz="0" w:space="0" w:color="auto"/>
        <w:bottom w:val="none" w:sz="0" w:space="0" w:color="auto"/>
        <w:right w:val="none" w:sz="0" w:space="0" w:color="auto"/>
      </w:divBdr>
    </w:div>
    <w:div w:id="1495998810">
      <w:bodyDiv w:val="1"/>
      <w:marLeft w:val="0"/>
      <w:marRight w:val="0"/>
      <w:marTop w:val="0"/>
      <w:marBottom w:val="0"/>
      <w:divBdr>
        <w:top w:val="none" w:sz="0" w:space="0" w:color="auto"/>
        <w:left w:val="none" w:sz="0" w:space="0" w:color="auto"/>
        <w:bottom w:val="none" w:sz="0" w:space="0" w:color="auto"/>
        <w:right w:val="none" w:sz="0" w:space="0" w:color="auto"/>
      </w:divBdr>
    </w:div>
    <w:div w:id="1496072084">
      <w:bodyDiv w:val="1"/>
      <w:marLeft w:val="0"/>
      <w:marRight w:val="0"/>
      <w:marTop w:val="0"/>
      <w:marBottom w:val="0"/>
      <w:divBdr>
        <w:top w:val="none" w:sz="0" w:space="0" w:color="auto"/>
        <w:left w:val="none" w:sz="0" w:space="0" w:color="auto"/>
        <w:bottom w:val="none" w:sz="0" w:space="0" w:color="auto"/>
        <w:right w:val="none" w:sz="0" w:space="0" w:color="auto"/>
      </w:divBdr>
    </w:div>
    <w:div w:id="1521352737">
      <w:bodyDiv w:val="1"/>
      <w:marLeft w:val="0"/>
      <w:marRight w:val="0"/>
      <w:marTop w:val="0"/>
      <w:marBottom w:val="0"/>
      <w:divBdr>
        <w:top w:val="none" w:sz="0" w:space="0" w:color="auto"/>
        <w:left w:val="none" w:sz="0" w:space="0" w:color="auto"/>
        <w:bottom w:val="none" w:sz="0" w:space="0" w:color="auto"/>
        <w:right w:val="none" w:sz="0" w:space="0" w:color="auto"/>
      </w:divBdr>
    </w:div>
    <w:div w:id="1525053712">
      <w:bodyDiv w:val="1"/>
      <w:marLeft w:val="0"/>
      <w:marRight w:val="0"/>
      <w:marTop w:val="0"/>
      <w:marBottom w:val="0"/>
      <w:divBdr>
        <w:top w:val="none" w:sz="0" w:space="0" w:color="auto"/>
        <w:left w:val="none" w:sz="0" w:space="0" w:color="auto"/>
        <w:bottom w:val="none" w:sz="0" w:space="0" w:color="auto"/>
        <w:right w:val="none" w:sz="0" w:space="0" w:color="auto"/>
      </w:divBdr>
    </w:div>
    <w:div w:id="1535121454">
      <w:bodyDiv w:val="1"/>
      <w:marLeft w:val="0"/>
      <w:marRight w:val="0"/>
      <w:marTop w:val="0"/>
      <w:marBottom w:val="0"/>
      <w:divBdr>
        <w:top w:val="none" w:sz="0" w:space="0" w:color="auto"/>
        <w:left w:val="none" w:sz="0" w:space="0" w:color="auto"/>
        <w:bottom w:val="none" w:sz="0" w:space="0" w:color="auto"/>
        <w:right w:val="none" w:sz="0" w:space="0" w:color="auto"/>
      </w:divBdr>
    </w:div>
    <w:div w:id="1555387553">
      <w:bodyDiv w:val="1"/>
      <w:marLeft w:val="0"/>
      <w:marRight w:val="0"/>
      <w:marTop w:val="0"/>
      <w:marBottom w:val="0"/>
      <w:divBdr>
        <w:top w:val="none" w:sz="0" w:space="0" w:color="auto"/>
        <w:left w:val="none" w:sz="0" w:space="0" w:color="auto"/>
        <w:bottom w:val="none" w:sz="0" w:space="0" w:color="auto"/>
        <w:right w:val="none" w:sz="0" w:space="0" w:color="auto"/>
      </w:divBdr>
    </w:div>
    <w:div w:id="1563371994">
      <w:bodyDiv w:val="1"/>
      <w:marLeft w:val="0"/>
      <w:marRight w:val="0"/>
      <w:marTop w:val="0"/>
      <w:marBottom w:val="0"/>
      <w:divBdr>
        <w:top w:val="none" w:sz="0" w:space="0" w:color="auto"/>
        <w:left w:val="none" w:sz="0" w:space="0" w:color="auto"/>
        <w:bottom w:val="none" w:sz="0" w:space="0" w:color="auto"/>
        <w:right w:val="none" w:sz="0" w:space="0" w:color="auto"/>
      </w:divBdr>
    </w:div>
    <w:div w:id="1581714592">
      <w:bodyDiv w:val="1"/>
      <w:marLeft w:val="0"/>
      <w:marRight w:val="0"/>
      <w:marTop w:val="0"/>
      <w:marBottom w:val="0"/>
      <w:divBdr>
        <w:top w:val="none" w:sz="0" w:space="0" w:color="auto"/>
        <w:left w:val="none" w:sz="0" w:space="0" w:color="auto"/>
        <w:bottom w:val="none" w:sz="0" w:space="0" w:color="auto"/>
        <w:right w:val="none" w:sz="0" w:space="0" w:color="auto"/>
      </w:divBdr>
    </w:div>
    <w:div w:id="1602831767">
      <w:bodyDiv w:val="1"/>
      <w:marLeft w:val="0"/>
      <w:marRight w:val="0"/>
      <w:marTop w:val="0"/>
      <w:marBottom w:val="0"/>
      <w:divBdr>
        <w:top w:val="none" w:sz="0" w:space="0" w:color="auto"/>
        <w:left w:val="none" w:sz="0" w:space="0" w:color="auto"/>
        <w:bottom w:val="none" w:sz="0" w:space="0" w:color="auto"/>
        <w:right w:val="none" w:sz="0" w:space="0" w:color="auto"/>
      </w:divBdr>
    </w:div>
    <w:div w:id="1605840111">
      <w:bodyDiv w:val="1"/>
      <w:marLeft w:val="0"/>
      <w:marRight w:val="0"/>
      <w:marTop w:val="0"/>
      <w:marBottom w:val="0"/>
      <w:divBdr>
        <w:top w:val="none" w:sz="0" w:space="0" w:color="auto"/>
        <w:left w:val="none" w:sz="0" w:space="0" w:color="auto"/>
        <w:bottom w:val="none" w:sz="0" w:space="0" w:color="auto"/>
        <w:right w:val="none" w:sz="0" w:space="0" w:color="auto"/>
      </w:divBdr>
    </w:div>
    <w:div w:id="1644776952">
      <w:bodyDiv w:val="1"/>
      <w:marLeft w:val="0"/>
      <w:marRight w:val="0"/>
      <w:marTop w:val="0"/>
      <w:marBottom w:val="0"/>
      <w:divBdr>
        <w:top w:val="none" w:sz="0" w:space="0" w:color="auto"/>
        <w:left w:val="none" w:sz="0" w:space="0" w:color="auto"/>
        <w:bottom w:val="none" w:sz="0" w:space="0" w:color="auto"/>
        <w:right w:val="none" w:sz="0" w:space="0" w:color="auto"/>
      </w:divBdr>
    </w:div>
    <w:div w:id="1672179438">
      <w:bodyDiv w:val="1"/>
      <w:marLeft w:val="0"/>
      <w:marRight w:val="0"/>
      <w:marTop w:val="0"/>
      <w:marBottom w:val="0"/>
      <w:divBdr>
        <w:top w:val="none" w:sz="0" w:space="0" w:color="auto"/>
        <w:left w:val="none" w:sz="0" w:space="0" w:color="auto"/>
        <w:bottom w:val="none" w:sz="0" w:space="0" w:color="auto"/>
        <w:right w:val="none" w:sz="0" w:space="0" w:color="auto"/>
      </w:divBdr>
    </w:div>
    <w:div w:id="1674914831">
      <w:bodyDiv w:val="1"/>
      <w:marLeft w:val="0"/>
      <w:marRight w:val="0"/>
      <w:marTop w:val="0"/>
      <w:marBottom w:val="0"/>
      <w:divBdr>
        <w:top w:val="none" w:sz="0" w:space="0" w:color="auto"/>
        <w:left w:val="none" w:sz="0" w:space="0" w:color="auto"/>
        <w:bottom w:val="none" w:sz="0" w:space="0" w:color="auto"/>
        <w:right w:val="none" w:sz="0" w:space="0" w:color="auto"/>
      </w:divBdr>
    </w:div>
    <w:div w:id="1675493949">
      <w:bodyDiv w:val="1"/>
      <w:marLeft w:val="0"/>
      <w:marRight w:val="0"/>
      <w:marTop w:val="0"/>
      <w:marBottom w:val="0"/>
      <w:divBdr>
        <w:top w:val="none" w:sz="0" w:space="0" w:color="auto"/>
        <w:left w:val="none" w:sz="0" w:space="0" w:color="auto"/>
        <w:bottom w:val="none" w:sz="0" w:space="0" w:color="auto"/>
        <w:right w:val="none" w:sz="0" w:space="0" w:color="auto"/>
      </w:divBdr>
    </w:div>
    <w:div w:id="1691447240">
      <w:bodyDiv w:val="1"/>
      <w:marLeft w:val="0"/>
      <w:marRight w:val="0"/>
      <w:marTop w:val="0"/>
      <w:marBottom w:val="0"/>
      <w:divBdr>
        <w:top w:val="none" w:sz="0" w:space="0" w:color="auto"/>
        <w:left w:val="none" w:sz="0" w:space="0" w:color="auto"/>
        <w:bottom w:val="none" w:sz="0" w:space="0" w:color="auto"/>
        <w:right w:val="none" w:sz="0" w:space="0" w:color="auto"/>
      </w:divBdr>
    </w:div>
    <w:div w:id="1711028805">
      <w:bodyDiv w:val="1"/>
      <w:marLeft w:val="0"/>
      <w:marRight w:val="0"/>
      <w:marTop w:val="0"/>
      <w:marBottom w:val="0"/>
      <w:divBdr>
        <w:top w:val="none" w:sz="0" w:space="0" w:color="auto"/>
        <w:left w:val="none" w:sz="0" w:space="0" w:color="auto"/>
        <w:bottom w:val="none" w:sz="0" w:space="0" w:color="auto"/>
        <w:right w:val="none" w:sz="0" w:space="0" w:color="auto"/>
      </w:divBdr>
    </w:div>
    <w:div w:id="1719157832">
      <w:bodyDiv w:val="1"/>
      <w:marLeft w:val="0"/>
      <w:marRight w:val="0"/>
      <w:marTop w:val="0"/>
      <w:marBottom w:val="0"/>
      <w:divBdr>
        <w:top w:val="none" w:sz="0" w:space="0" w:color="auto"/>
        <w:left w:val="none" w:sz="0" w:space="0" w:color="auto"/>
        <w:bottom w:val="none" w:sz="0" w:space="0" w:color="auto"/>
        <w:right w:val="none" w:sz="0" w:space="0" w:color="auto"/>
      </w:divBdr>
    </w:div>
    <w:div w:id="1719280647">
      <w:bodyDiv w:val="1"/>
      <w:marLeft w:val="0"/>
      <w:marRight w:val="0"/>
      <w:marTop w:val="0"/>
      <w:marBottom w:val="0"/>
      <w:divBdr>
        <w:top w:val="none" w:sz="0" w:space="0" w:color="auto"/>
        <w:left w:val="none" w:sz="0" w:space="0" w:color="auto"/>
        <w:bottom w:val="none" w:sz="0" w:space="0" w:color="auto"/>
        <w:right w:val="none" w:sz="0" w:space="0" w:color="auto"/>
      </w:divBdr>
    </w:div>
    <w:div w:id="1720014476">
      <w:bodyDiv w:val="1"/>
      <w:marLeft w:val="0"/>
      <w:marRight w:val="0"/>
      <w:marTop w:val="0"/>
      <w:marBottom w:val="0"/>
      <w:divBdr>
        <w:top w:val="none" w:sz="0" w:space="0" w:color="auto"/>
        <w:left w:val="none" w:sz="0" w:space="0" w:color="auto"/>
        <w:bottom w:val="none" w:sz="0" w:space="0" w:color="auto"/>
        <w:right w:val="none" w:sz="0" w:space="0" w:color="auto"/>
      </w:divBdr>
    </w:div>
    <w:div w:id="1742749234">
      <w:bodyDiv w:val="1"/>
      <w:marLeft w:val="0"/>
      <w:marRight w:val="0"/>
      <w:marTop w:val="0"/>
      <w:marBottom w:val="0"/>
      <w:divBdr>
        <w:top w:val="none" w:sz="0" w:space="0" w:color="auto"/>
        <w:left w:val="none" w:sz="0" w:space="0" w:color="auto"/>
        <w:bottom w:val="none" w:sz="0" w:space="0" w:color="auto"/>
        <w:right w:val="none" w:sz="0" w:space="0" w:color="auto"/>
      </w:divBdr>
    </w:div>
    <w:div w:id="1810126156">
      <w:bodyDiv w:val="1"/>
      <w:marLeft w:val="0"/>
      <w:marRight w:val="0"/>
      <w:marTop w:val="0"/>
      <w:marBottom w:val="0"/>
      <w:divBdr>
        <w:top w:val="none" w:sz="0" w:space="0" w:color="auto"/>
        <w:left w:val="none" w:sz="0" w:space="0" w:color="auto"/>
        <w:bottom w:val="none" w:sz="0" w:space="0" w:color="auto"/>
        <w:right w:val="none" w:sz="0" w:space="0" w:color="auto"/>
      </w:divBdr>
    </w:div>
    <w:div w:id="1814172834">
      <w:bodyDiv w:val="1"/>
      <w:marLeft w:val="0"/>
      <w:marRight w:val="0"/>
      <w:marTop w:val="0"/>
      <w:marBottom w:val="0"/>
      <w:divBdr>
        <w:top w:val="none" w:sz="0" w:space="0" w:color="auto"/>
        <w:left w:val="none" w:sz="0" w:space="0" w:color="auto"/>
        <w:bottom w:val="none" w:sz="0" w:space="0" w:color="auto"/>
        <w:right w:val="none" w:sz="0" w:space="0" w:color="auto"/>
      </w:divBdr>
    </w:div>
    <w:div w:id="1817455730">
      <w:bodyDiv w:val="1"/>
      <w:marLeft w:val="0"/>
      <w:marRight w:val="0"/>
      <w:marTop w:val="0"/>
      <w:marBottom w:val="0"/>
      <w:divBdr>
        <w:top w:val="none" w:sz="0" w:space="0" w:color="auto"/>
        <w:left w:val="none" w:sz="0" w:space="0" w:color="auto"/>
        <w:bottom w:val="none" w:sz="0" w:space="0" w:color="auto"/>
        <w:right w:val="none" w:sz="0" w:space="0" w:color="auto"/>
      </w:divBdr>
    </w:div>
    <w:div w:id="1832986721">
      <w:bodyDiv w:val="1"/>
      <w:marLeft w:val="0"/>
      <w:marRight w:val="0"/>
      <w:marTop w:val="0"/>
      <w:marBottom w:val="0"/>
      <w:divBdr>
        <w:top w:val="none" w:sz="0" w:space="0" w:color="auto"/>
        <w:left w:val="none" w:sz="0" w:space="0" w:color="auto"/>
        <w:bottom w:val="none" w:sz="0" w:space="0" w:color="auto"/>
        <w:right w:val="none" w:sz="0" w:space="0" w:color="auto"/>
      </w:divBdr>
    </w:div>
    <w:div w:id="1848514708">
      <w:bodyDiv w:val="1"/>
      <w:marLeft w:val="0"/>
      <w:marRight w:val="0"/>
      <w:marTop w:val="0"/>
      <w:marBottom w:val="0"/>
      <w:divBdr>
        <w:top w:val="none" w:sz="0" w:space="0" w:color="auto"/>
        <w:left w:val="none" w:sz="0" w:space="0" w:color="auto"/>
        <w:bottom w:val="none" w:sz="0" w:space="0" w:color="auto"/>
        <w:right w:val="none" w:sz="0" w:space="0" w:color="auto"/>
      </w:divBdr>
    </w:div>
    <w:div w:id="1876580775">
      <w:bodyDiv w:val="1"/>
      <w:marLeft w:val="0"/>
      <w:marRight w:val="0"/>
      <w:marTop w:val="0"/>
      <w:marBottom w:val="0"/>
      <w:divBdr>
        <w:top w:val="none" w:sz="0" w:space="0" w:color="auto"/>
        <w:left w:val="none" w:sz="0" w:space="0" w:color="auto"/>
        <w:bottom w:val="none" w:sz="0" w:space="0" w:color="auto"/>
        <w:right w:val="none" w:sz="0" w:space="0" w:color="auto"/>
      </w:divBdr>
    </w:div>
    <w:div w:id="1881893153">
      <w:bodyDiv w:val="1"/>
      <w:marLeft w:val="0"/>
      <w:marRight w:val="0"/>
      <w:marTop w:val="0"/>
      <w:marBottom w:val="0"/>
      <w:divBdr>
        <w:top w:val="none" w:sz="0" w:space="0" w:color="auto"/>
        <w:left w:val="none" w:sz="0" w:space="0" w:color="auto"/>
        <w:bottom w:val="none" w:sz="0" w:space="0" w:color="auto"/>
        <w:right w:val="none" w:sz="0" w:space="0" w:color="auto"/>
      </w:divBdr>
    </w:div>
    <w:div w:id="1918435765">
      <w:bodyDiv w:val="1"/>
      <w:marLeft w:val="0"/>
      <w:marRight w:val="0"/>
      <w:marTop w:val="0"/>
      <w:marBottom w:val="0"/>
      <w:divBdr>
        <w:top w:val="none" w:sz="0" w:space="0" w:color="auto"/>
        <w:left w:val="none" w:sz="0" w:space="0" w:color="auto"/>
        <w:bottom w:val="none" w:sz="0" w:space="0" w:color="auto"/>
        <w:right w:val="none" w:sz="0" w:space="0" w:color="auto"/>
      </w:divBdr>
    </w:div>
    <w:div w:id="1936860182">
      <w:bodyDiv w:val="1"/>
      <w:marLeft w:val="0"/>
      <w:marRight w:val="0"/>
      <w:marTop w:val="0"/>
      <w:marBottom w:val="0"/>
      <w:divBdr>
        <w:top w:val="none" w:sz="0" w:space="0" w:color="auto"/>
        <w:left w:val="none" w:sz="0" w:space="0" w:color="auto"/>
        <w:bottom w:val="none" w:sz="0" w:space="0" w:color="auto"/>
        <w:right w:val="none" w:sz="0" w:space="0" w:color="auto"/>
      </w:divBdr>
    </w:div>
    <w:div w:id="1942300378">
      <w:bodyDiv w:val="1"/>
      <w:marLeft w:val="0"/>
      <w:marRight w:val="0"/>
      <w:marTop w:val="0"/>
      <w:marBottom w:val="0"/>
      <w:divBdr>
        <w:top w:val="none" w:sz="0" w:space="0" w:color="auto"/>
        <w:left w:val="none" w:sz="0" w:space="0" w:color="auto"/>
        <w:bottom w:val="none" w:sz="0" w:space="0" w:color="auto"/>
        <w:right w:val="none" w:sz="0" w:space="0" w:color="auto"/>
      </w:divBdr>
    </w:div>
    <w:div w:id="1946226801">
      <w:bodyDiv w:val="1"/>
      <w:marLeft w:val="0"/>
      <w:marRight w:val="0"/>
      <w:marTop w:val="0"/>
      <w:marBottom w:val="0"/>
      <w:divBdr>
        <w:top w:val="none" w:sz="0" w:space="0" w:color="auto"/>
        <w:left w:val="none" w:sz="0" w:space="0" w:color="auto"/>
        <w:bottom w:val="none" w:sz="0" w:space="0" w:color="auto"/>
        <w:right w:val="none" w:sz="0" w:space="0" w:color="auto"/>
      </w:divBdr>
    </w:div>
    <w:div w:id="1954896468">
      <w:bodyDiv w:val="1"/>
      <w:marLeft w:val="0"/>
      <w:marRight w:val="0"/>
      <w:marTop w:val="0"/>
      <w:marBottom w:val="0"/>
      <w:divBdr>
        <w:top w:val="none" w:sz="0" w:space="0" w:color="auto"/>
        <w:left w:val="none" w:sz="0" w:space="0" w:color="auto"/>
        <w:bottom w:val="none" w:sz="0" w:space="0" w:color="auto"/>
        <w:right w:val="none" w:sz="0" w:space="0" w:color="auto"/>
      </w:divBdr>
    </w:div>
    <w:div w:id="1956013444">
      <w:bodyDiv w:val="1"/>
      <w:marLeft w:val="0"/>
      <w:marRight w:val="0"/>
      <w:marTop w:val="0"/>
      <w:marBottom w:val="0"/>
      <w:divBdr>
        <w:top w:val="none" w:sz="0" w:space="0" w:color="auto"/>
        <w:left w:val="none" w:sz="0" w:space="0" w:color="auto"/>
        <w:bottom w:val="none" w:sz="0" w:space="0" w:color="auto"/>
        <w:right w:val="none" w:sz="0" w:space="0" w:color="auto"/>
      </w:divBdr>
    </w:div>
    <w:div w:id="1964800057">
      <w:bodyDiv w:val="1"/>
      <w:marLeft w:val="0"/>
      <w:marRight w:val="0"/>
      <w:marTop w:val="0"/>
      <w:marBottom w:val="0"/>
      <w:divBdr>
        <w:top w:val="none" w:sz="0" w:space="0" w:color="auto"/>
        <w:left w:val="none" w:sz="0" w:space="0" w:color="auto"/>
        <w:bottom w:val="none" w:sz="0" w:space="0" w:color="auto"/>
        <w:right w:val="none" w:sz="0" w:space="0" w:color="auto"/>
      </w:divBdr>
    </w:div>
    <w:div w:id="1979802776">
      <w:bodyDiv w:val="1"/>
      <w:marLeft w:val="0"/>
      <w:marRight w:val="0"/>
      <w:marTop w:val="0"/>
      <w:marBottom w:val="0"/>
      <w:divBdr>
        <w:top w:val="none" w:sz="0" w:space="0" w:color="auto"/>
        <w:left w:val="none" w:sz="0" w:space="0" w:color="auto"/>
        <w:bottom w:val="none" w:sz="0" w:space="0" w:color="auto"/>
        <w:right w:val="none" w:sz="0" w:space="0" w:color="auto"/>
      </w:divBdr>
    </w:div>
    <w:div w:id="1980767549">
      <w:bodyDiv w:val="1"/>
      <w:marLeft w:val="0"/>
      <w:marRight w:val="0"/>
      <w:marTop w:val="0"/>
      <w:marBottom w:val="0"/>
      <w:divBdr>
        <w:top w:val="none" w:sz="0" w:space="0" w:color="auto"/>
        <w:left w:val="none" w:sz="0" w:space="0" w:color="auto"/>
        <w:bottom w:val="none" w:sz="0" w:space="0" w:color="auto"/>
        <w:right w:val="none" w:sz="0" w:space="0" w:color="auto"/>
      </w:divBdr>
    </w:div>
    <w:div w:id="1995597958">
      <w:bodyDiv w:val="1"/>
      <w:marLeft w:val="0"/>
      <w:marRight w:val="0"/>
      <w:marTop w:val="0"/>
      <w:marBottom w:val="0"/>
      <w:divBdr>
        <w:top w:val="none" w:sz="0" w:space="0" w:color="auto"/>
        <w:left w:val="none" w:sz="0" w:space="0" w:color="auto"/>
        <w:bottom w:val="none" w:sz="0" w:space="0" w:color="auto"/>
        <w:right w:val="none" w:sz="0" w:space="0" w:color="auto"/>
      </w:divBdr>
    </w:div>
    <w:div w:id="2005469739">
      <w:bodyDiv w:val="1"/>
      <w:marLeft w:val="0"/>
      <w:marRight w:val="0"/>
      <w:marTop w:val="0"/>
      <w:marBottom w:val="0"/>
      <w:divBdr>
        <w:top w:val="none" w:sz="0" w:space="0" w:color="auto"/>
        <w:left w:val="none" w:sz="0" w:space="0" w:color="auto"/>
        <w:bottom w:val="none" w:sz="0" w:space="0" w:color="auto"/>
        <w:right w:val="none" w:sz="0" w:space="0" w:color="auto"/>
      </w:divBdr>
    </w:div>
    <w:div w:id="2010251980">
      <w:bodyDiv w:val="1"/>
      <w:marLeft w:val="0"/>
      <w:marRight w:val="0"/>
      <w:marTop w:val="0"/>
      <w:marBottom w:val="0"/>
      <w:divBdr>
        <w:top w:val="none" w:sz="0" w:space="0" w:color="auto"/>
        <w:left w:val="none" w:sz="0" w:space="0" w:color="auto"/>
        <w:bottom w:val="none" w:sz="0" w:space="0" w:color="auto"/>
        <w:right w:val="none" w:sz="0" w:space="0" w:color="auto"/>
      </w:divBdr>
    </w:div>
    <w:div w:id="2014138121">
      <w:bodyDiv w:val="1"/>
      <w:marLeft w:val="0"/>
      <w:marRight w:val="0"/>
      <w:marTop w:val="0"/>
      <w:marBottom w:val="0"/>
      <w:divBdr>
        <w:top w:val="none" w:sz="0" w:space="0" w:color="auto"/>
        <w:left w:val="none" w:sz="0" w:space="0" w:color="auto"/>
        <w:bottom w:val="none" w:sz="0" w:space="0" w:color="auto"/>
        <w:right w:val="none" w:sz="0" w:space="0" w:color="auto"/>
      </w:divBdr>
    </w:div>
    <w:div w:id="2016496490">
      <w:bodyDiv w:val="1"/>
      <w:marLeft w:val="0"/>
      <w:marRight w:val="0"/>
      <w:marTop w:val="0"/>
      <w:marBottom w:val="0"/>
      <w:divBdr>
        <w:top w:val="none" w:sz="0" w:space="0" w:color="auto"/>
        <w:left w:val="none" w:sz="0" w:space="0" w:color="auto"/>
        <w:bottom w:val="none" w:sz="0" w:space="0" w:color="auto"/>
        <w:right w:val="none" w:sz="0" w:space="0" w:color="auto"/>
      </w:divBdr>
    </w:div>
    <w:div w:id="2033799753">
      <w:bodyDiv w:val="1"/>
      <w:marLeft w:val="0"/>
      <w:marRight w:val="0"/>
      <w:marTop w:val="0"/>
      <w:marBottom w:val="0"/>
      <w:divBdr>
        <w:top w:val="none" w:sz="0" w:space="0" w:color="auto"/>
        <w:left w:val="none" w:sz="0" w:space="0" w:color="auto"/>
        <w:bottom w:val="none" w:sz="0" w:space="0" w:color="auto"/>
        <w:right w:val="none" w:sz="0" w:space="0" w:color="auto"/>
      </w:divBdr>
    </w:div>
    <w:div w:id="2040233652">
      <w:bodyDiv w:val="1"/>
      <w:marLeft w:val="0"/>
      <w:marRight w:val="0"/>
      <w:marTop w:val="0"/>
      <w:marBottom w:val="0"/>
      <w:divBdr>
        <w:top w:val="none" w:sz="0" w:space="0" w:color="auto"/>
        <w:left w:val="none" w:sz="0" w:space="0" w:color="auto"/>
        <w:bottom w:val="none" w:sz="0" w:space="0" w:color="auto"/>
        <w:right w:val="none" w:sz="0" w:space="0" w:color="auto"/>
      </w:divBdr>
    </w:div>
    <w:div w:id="2061127971">
      <w:bodyDiv w:val="1"/>
      <w:marLeft w:val="0"/>
      <w:marRight w:val="0"/>
      <w:marTop w:val="0"/>
      <w:marBottom w:val="0"/>
      <w:divBdr>
        <w:top w:val="none" w:sz="0" w:space="0" w:color="auto"/>
        <w:left w:val="none" w:sz="0" w:space="0" w:color="auto"/>
        <w:bottom w:val="none" w:sz="0" w:space="0" w:color="auto"/>
        <w:right w:val="none" w:sz="0" w:space="0" w:color="auto"/>
      </w:divBdr>
    </w:div>
    <w:div w:id="2068718617">
      <w:bodyDiv w:val="1"/>
      <w:marLeft w:val="0"/>
      <w:marRight w:val="0"/>
      <w:marTop w:val="0"/>
      <w:marBottom w:val="0"/>
      <w:divBdr>
        <w:top w:val="none" w:sz="0" w:space="0" w:color="auto"/>
        <w:left w:val="none" w:sz="0" w:space="0" w:color="auto"/>
        <w:bottom w:val="none" w:sz="0" w:space="0" w:color="auto"/>
        <w:right w:val="none" w:sz="0" w:space="0" w:color="auto"/>
      </w:divBdr>
    </w:div>
    <w:div w:id="2088914981">
      <w:bodyDiv w:val="1"/>
      <w:marLeft w:val="0"/>
      <w:marRight w:val="0"/>
      <w:marTop w:val="0"/>
      <w:marBottom w:val="0"/>
      <w:divBdr>
        <w:top w:val="none" w:sz="0" w:space="0" w:color="auto"/>
        <w:left w:val="none" w:sz="0" w:space="0" w:color="auto"/>
        <w:bottom w:val="none" w:sz="0" w:space="0" w:color="auto"/>
        <w:right w:val="none" w:sz="0" w:space="0" w:color="auto"/>
      </w:divBdr>
    </w:div>
    <w:div w:id="2099252537">
      <w:bodyDiv w:val="1"/>
      <w:marLeft w:val="0"/>
      <w:marRight w:val="0"/>
      <w:marTop w:val="0"/>
      <w:marBottom w:val="0"/>
      <w:divBdr>
        <w:top w:val="none" w:sz="0" w:space="0" w:color="auto"/>
        <w:left w:val="none" w:sz="0" w:space="0" w:color="auto"/>
        <w:bottom w:val="none" w:sz="0" w:space="0" w:color="auto"/>
        <w:right w:val="none" w:sz="0" w:space="0" w:color="auto"/>
      </w:divBdr>
    </w:div>
    <w:div w:id="2106799521">
      <w:bodyDiv w:val="1"/>
      <w:marLeft w:val="0"/>
      <w:marRight w:val="0"/>
      <w:marTop w:val="0"/>
      <w:marBottom w:val="0"/>
      <w:divBdr>
        <w:top w:val="none" w:sz="0" w:space="0" w:color="auto"/>
        <w:left w:val="none" w:sz="0" w:space="0" w:color="auto"/>
        <w:bottom w:val="none" w:sz="0" w:space="0" w:color="auto"/>
        <w:right w:val="none" w:sz="0" w:space="0" w:color="auto"/>
      </w:divBdr>
    </w:div>
    <w:div w:id="2135245556">
      <w:bodyDiv w:val="1"/>
      <w:marLeft w:val="0"/>
      <w:marRight w:val="0"/>
      <w:marTop w:val="0"/>
      <w:marBottom w:val="0"/>
      <w:divBdr>
        <w:top w:val="none" w:sz="0" w:space="0" w:color="auto"/>
        <w:left w:val="none" w:sz="0" w:space="0" w:color="auto"/>
        <w:bottom w:val="none" w:sz="0" w:space="0" w:color="auto"/>
        <w:right w:val="none" w:sz="0" w:space="0" w:color="auto"/>
      </w:divBdr>
    </w:div>
    <w:div w:id="213740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6855C-2849-4D58-A816-5B04E434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11211</Words>
  <Characters>63908</Characters>
  <Application>Microsoft Office Word</Application>
  <DocSecurity>0</DocSecurity>
  <Lines>532</Lines>
  <Paragraphs>149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_</vt:lpstr>
      <vt:lpstr>_</vt:lpstr>
    </vt:vector>
  </TitlesOfParts>
  <Company>VUMC</Company>
  <LinksUpToDate>false</LinksUpToDate>
  <CharactersWithSpaces>74970</CharactersWithSpaces>
  <SharedDoc>false</SharedDoc>
  <HLinks>
    <vt:vector size="6" baseType="variant">
      <vt:variant>
        <vt:i4>3866714</vt:i4>
      </vt:variant>
      <vt:variant>
        <vt:i4>0</vt:i4>
      </vt:variant>
      <vt:variant>
        <vt:i4>0</vt:i4>
      </vt:variant>
      <vt:variant>
        <vt:i4>5</vt:i4>
      </vt:variant>
      <vt:variant>
        <vt:lpwstr>mailto:t.kappen@umcutrecht.nl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T.H.Kappen</dc:creator>
  <cp:lastModifiedBy>Teus Kappen</cp:lastModifiedBy>
  <cp:revision>2</cp:revision>
  <cp:lastPrinted>2011-09-05T13:54:00Z</cp:lastPrinted>
  <dcterms:created xsi:type="dcterms:W3CDTF">2017-11-13T13:22:00Z</dcterms:created>
  <dcterms:modified xsi:type="dcterms:W3CDTF">2017-11-13T13:22:00Z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http://csl.mendeley.com/styles/2967631/biomed-central-nopubmed</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http://www.zotero.org/styles/american-medical-association-no-url</vt:lpwstr>
  </property>
  <property fmtid="{D5CDD505-2E9C-101B-9397-08002B2CF9AE}" pid="10" name="Mendeley Recent Style Id 2_1">
    <vt:lpwstr>http://www.zotero.org/styles/annals-of-internal-medicine</vt:lpwstr>
  </property>
  <property fmtid="{D5CDD505-2E9C-101B-9397-08002B2CF9AE}" pid="11" name="Mendeley Recent Style Id 3_1">
    <vt:lpwstr>http://www.zotero.org/styles/biomed-central</vt:lpwstr>
  </property>
  <property fmtid="{D5CDD505-2E9C-101B-9397-08002B2CF9AE}" pid="12" name="Mendeley Recent Style Id 4_1">
    <vt:lpwstr>http://csl.mendeley.com/styles/2967631/biomed-central-nopubmed</vt:lpwstr>
  </property>
  <property fmtid="{D5CDD505-2E9C-101B-9397-08002B2CF9AE}" pid="13" name="Mendeley Recent Style Id 5_1">
    <vt:lpwstr>http://www.zotero.org/styles/british-journal-of-anaesthesia</vt:lpwstr>
  </property>
  <property fmtid="{D5CDD505-2E9C-101B-9397-08002B2CF9AE}" pid="14" name="Mendeley Recent Style Id 6_1">
    <vt:lpwstr>http://www.zotero.org/styles/harvard1</vt:lpwstr>
  </property>
  <property fmtid="{D5CDD505-2E9C-101B-9397-08002B2CF9AE}" pid="15" name="Mendeley Recent Style Id 7_1">
    <vt:lpwstr>http://www.zotero.org/styles/modern-humanities-research-association</vt:lpwstr>
  </property>
  <property fmtid="{D5CDD505-2E9C-101B-9397-08002B2CF9AE}" pid="16" name="Mendeley Recent Style Id 8_1">
    <vt:lpwstr>http://www.zotero.org/styles/vancouver</vt:lpwstr>
  </property>
  <property fmtid="{D5CDD505-2E9C-101B-9397-08002B2CF9AE}" pid="17" name="Mendeley Recent Style Id 9_1">
    <vt:lpwstr>http://csl.mendeley.com/styles/2967631/vancouver</vt:lpwstr>
  </property>
  <property fmtid="{D5CDD505-2E9C-101B-9397-08002B2CF9AE}" pid="18" name="Mendeley Recent Style Name 0_1">
    <vt:lpwstr>American Medical Association</vt:lpwstr>
  </property>
  <property fmtid="{D5CDD505-2E9C-101B-9397-08002B2CF9AE}" pid="19" name="Mendeley Recent Style Name 1_1">
    <vt:lpwstr>American Medical Association (no URL)</vt:lpwstr>
  </property>
  <property fmtid="{D5CDD505-2E9C-101B-9397-08002B2CF9AE}" pid="20" name="Mendeley Recent Style Name 2_1">
    <vt:lpwstr>Annals of Internal Medicine</vt:lpwstr>
  </property>
  <property fmtid="{D5CDD505-2E9C-101B-9397-08002B2CF9AE}" pid="21" name="Mendeley Recent Style Name 3_1">
    <vt:lpwstr>BioMed Central</vt:lpwstr>
  </property>
  <property fmtid="{D5CDD505-2E9C-101B-9397-08002B2CF9AE}" pid="22" name="Mendeley Recent Style Name 4_1">
    <vt:lpwstr>BioMed Central - No Pubmed</vt:lpwstr>
  </property>
  <property fmtid="{D5CDD505-2E9C-101B-9397-08002B2CF9AE}" pid="23" name="Mendeley Recent Style Name 5_1">
    <vt:lpwstr>British Journal of Anaesthesia</vt:lpwstr>
  </property>
  <property fmtid="{D5CDD505-2E9C-101B-9397-08002B2CF9AE}" pid="24" name="Mendeley Recent Style Name 6_1">
    <vt:lpwstr>Harvard Reference format 1 (author-date)</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Name 8_1">
    <vt:lpwstr>Vancouver</vt:lpwstr>
  </property>
  <property fmtid="{D5CDD505-2E9C-101B-9397-08002B2CF9AE}" pid="27" name="Mendeley Recent Style Name 9_1">
    <vt:lpwstr>Vancouver - No dates and links</vt:lpwstr>
  </property>
  <property fmtid="{D5CDD505-2E9C-101B-9397-08002B2CF9AE}" pid="28" name="Mendeley_Bookmark_HcBrq5n2Wv_1">
    <vt:lpwstr>ADDIN Mendeley Citation{974e72b5-d4b0-437f-b840-c0d24943d4ab};{c7c630c5-2168-4a5a-bba6-5e9e7a4f4d35} CSL_CITATION  { "citationItems" : [ { "id" : "ITEM-1", "itemData" : { "abstract" : "Clinical prediction rules, sometimes called clinical decision rules, h</vt:lpwstr>
  </property>
  <property fmtid="{D5CDD505-2E9C-101B-9397-08002B2CF9AE}" pid="29" name="Mendeley_Bookmark_HcBrq5n2Wv_10">
    <vt:lpwstr>es to make decisions.", "type" : "article-journal", "volume" : "144" }, "uris" : [ "http://www.mendeley.com/documents/?uuid=974e72b5-d4b0-437f-b840-c0d24943d4ab" ] }, { "id" : "ITEM-2", "itemData" : { "DOI" : "10.1136/bmj.b606", "author" : [ { "family" : </vt:lpwstr>
  </property>
  <property fmtid="{D5CDD505-2E9C-101B-9397-08002B2CF9AE}" pid="30" name="Mendeley_Bookmark_HcBrq5n2Wv_11">
    <vt:lpwstr>"Moons", "given" : "K. G. M." }, { "family" : "Altman", "given" : "D. G." }, { "family" : "Vergouwe", "given" : "Y." }, { "family" : "Royston", "given" : "P." } ], "container-title" : "BMJ", "id" : "ITEM-2", "issue" : "jun04 2", "issued" : { "date-parts" </vt:lpwstr>
  </property>
  <property fmtid="{D5CDD505-2E9C-101B-9397-08002B2CF9AE}" pid="31" name="Mendeley_Bookmark_HcBrq5n2Wv_12">
    <vt:lpwstr>: [ [ "2009", "6" ] ] }, "note" : "&lt;m:note&gt;\n        &lt;m:bold&gt;From Duplicate 2 ( &lt;/m:bold&gt;\n        &lt;m:bold/&gt;\n        &lt;m:bold&gt;\n          &lt;m:italic&gt;Prognosis and prognostic research: application and impact of prognostic models in clinical practice&lt;/m:ital</vt:lpwstr>
  </property>
  <property fmtid="{D5CDD505-2E9C-101B-9397-08002B2CF9AE}" pid="32" name="Mendeley_Bookmark_HcBrq5n2Wv_13">
    <vt:lpwstr>ic&gt;\n        &lt;/m:bold&gt;\n        &lt;m:bold/&gt;\n        &lt;m:bold&gt; - Moons, K. G. M.; Altman, D. G.; Vergouwe, Y.; Royston, P. )&lt;m:linebreak/&gt;\n        &lt;/m:bold&gt;\n        &lt;m:linebreak/&gt;GR: Cancer Research UK/United Kingdom; GR: Medical Research Council/United Ki</vt:lpwstr>
  </property>
  <property fmtid="{D5CDD505-2E9C-101B-9397-08002B2CF9AE}" pid="33" name="Mendeley_Bookmark_HcBrq5n2Wv_14">
    <vt:lpwstr>ngdom; JID: 8900488; epublish&lt;m:linebreak/&gt;\n        &lt;m:linebreak/&gt;\n        &lt;m:linebreak/&gt;\n        &lt;m:linebreak/&gt;\n      &lt;/m:note&gt;", "page" : "b606-b606", "title" : "Prognosis and prognostic research: application and impact of prognostic models in clini</vt:lpwstr>
  </property>
  <property fmtid="{D5CDD505-2E9C-101B-9397-08002B2CF9AE}" pid="34" name="Mendeley_Bookmark_HcBrq5n2Wv_15">
    <vt:lpwstr>cal practice", "type" : "article-journal", "volume" : "338" }, "uris" : [ "http://www.mendeley.com/documents/?uuid=c7c630c5-2168-4a5a-bba6-5e9e7a4f4d35" ] } ], "mendeley" : { "previouslyFormattedCitation" : "(K. G. M. Moons et al., 2009; Brendan M Reilly </vt:lpwstr>
  </property>
  <property fmtid="{D5CDD505-2E9C-101B-9397-08002B2CF9AE}" pid="35" name="Mendeley_Bookmark_HcBrq5n2Wv_16">
    <vt:lpwstr>\u0026#38; Arthur T Evans, 2006)" }, "properties" : { "noteIndex" : 0 }, "schema" : "https://github.com/citation-style-language/schema/raw/master/csl-citation.json" } </vt:lpwstr>
  </property>
  <property fmtid="{D5CDD505-2E9C-101B-9397-08002B2CF9AE}" pid="36" name="Mendeley_Bookmark_HcBrq5n2Wv_2">
    <vt:lpwstr>ave proliferated in recent years. However, very few have undergone formal impact analysis, the standard of evidence to assess their impact on patient care. Without impact analysis, clinicians cannot know whether using a prediction rule will be beneficial </vt:lpwstr>
  </property>
  <property fmtid="{D5CDD505-2E9C-101B-9397-08002B2CF9AE}" pid="37" name="Mendeley_Bookmark_HcBrq5n2Wv_3">
    <vt:lpwstr>or harmful. This paper reviews standards of evidence for developing and evaluating prediction rules; important differences between prediction rules and decision rules; how to assess the potential clinical impact of a prediction rule before translating it </vt:lpwstr>
  </property>
  <property fmtid="{D5CDD505-2E9C-101B-9397-08002B2CF9AE}" pid="38" name="Mendeley_Bookmark_HcBrq5n2Wv_4">
    <vt:lpwstr>into a decision rule; methodologic issues critical to successful impact analysis, including defining outcome measures and estimating sample size; the importance of close collaboration between clinical investigators and practicing clinicians before, during</vt:lpwstr>
  </property>
  <property fmtid="{D5CDD505-2E9C-101B-9397-08002B2CF9AE}" pid="39" name="Mendeley_Bookmark_HcBrq5n2Wv_5">
    <vt:lpwstr>, and after impact analysis; and the need to measure both efficacy and effectiveness when analyzing a decision rule's clinical impact. These considerations should inform future development, evaluation, and use of all clinical prediction or decision rules.</vt:lpwstr>
  </property>
  <property fmtid="{D5CDD505-2E9C-101B-9397-08002B2CF9AE}" pid="40" name="Mendeley_Bookmark_HcBrq5n2Wv_6">
    <vt:lpwstr>", "author" : [ { "family" : "Reilly", "given" : "Brendan M" }, { "family" : "Evans", "given" : "Arthur T" } ], "container-title" : "Annals of internal medicine", "id" : "ITEM-1", "issue" : "3", "issued" : { "date-parts" : [ [ "2006", "2" ] ] }, "note" : </vt:lpwstr>
  </property>
  <property fmtid="{D5CDD505-2E9C-101B-9397-08002B2CF9AE}" pid="41" name="Mendeley_Bookmark_HcBrq5n2Wv_7">
    <vt:lpwstr>"&lt;m:note&gt;\n        &lt;m:bold&gt;From Duplicate 2 ( &lt;/m:bold&gt;\n        &lt;m:bold/&gt;\n        &lt;m:bold&gt;\n          &lt;m:italic&gt;Translating clinical research into clinical practice: impact of using prediction rules to make decisions&lt;/m:italic&gt;\n        &lt;/m:bold&gt;\n     </vt:lpwstr>
  </property>
  <property fmtid="{D5CDD505-2E9C-101B-9397-08002B2CF9AE}" pid="42" name="Mendeley_Bookmark_HcBrq5n2Wv_8">
    <vt:lpwstr>   &lt;m:bold/&gt;\n        &lt;m:bold&gt; - Reilly, B. M.; Evans, A. T. )&lt;m:linebreak/&gt;\n        &lt;/m:bold&gt;\n        &lt;m:linebreak/&gt;LR: 20060717; PUBM: Print; JID: 0372351; CIN: Ann Intern Med. 2006 Feb 7;144(3):210-2. PMID: 16461966; CIN: Ann Intern Med. 2006 Jul 4;1</vt:lpwstr>
  </property>
  <property fmtid="{D5CDD505-2E9C-101B-9397-08002B2CF9AE}" pid="43" name="Mendeley_Bookmark_HcBrq5n2Wv_9">
    <vt:lpwstr>45(1):77-8. PMID: 16818934; ppublish&lt;m:linebreak/&gt;\n        &lt;m:linebreak/&gt;\n        &lt;m:linebreak/&gt;\n        &lt;m:linebreak/&gt;\n      &lt;/m:note&gt;", "page" : "201-9", "title" : "Translating clinical research into clinical practice: impact of using prediction rul</vt:lpwstr>
  </property>
  <property fmtid="{D5CDD505-2E9C-101B-9397-08002B2CF9AE}" pid="44" name="Mendeley_Bookmark_que4prSWYh_1">
    <vt:lpwstr>ADDIN Mendeley Citation{4d4e04ae-4200-4947-9617-f2a7d851576f};{56ba3a11-3e26-49f6-8a59-57caf323f19f} CSL_CITATION  { "citationItems" : [ { "id" : "ITEM-1", "itemData" : { "DOI" : "10.1213/ANE.0b013e3181dd5899", "abstract" : "BACKGROUND: Clinical practice </vt:lpwstr>
  </property>
  <property fmtid="{D5CDD505-2E9C-101B-9397-08002B2CF9AE}" pid="45" name="Mendeley_Bookmark_que4prSWYh_10">
    <vt:lpwstr>he percentage differences between the baseline and time period III decreased as the number of risk factors increased. CONCLUSIONS: We observed the greatest improvement in guideline compliance with ongoing personal performance feedback. Provider feedback c</vt:lpwstr>
  </property>
  <property fmtid="{D5CDD505-2E9C-101B-9397-08002B2CF9AE}" pid="46" name="Mendeley_Bookmark_que4prSWYh_11">
    <vt:lpwstr>an be an effective tool to modify clinical practice but can have unanticipated consequences.", "author" : [ { "family" : "Frenzel", "given" : "John C" }, { "family" : "Kee", "given" : "Spencer S" }, { "family" : "Ensor", "given" : "Joe E" }, { "family" : </vt:lpwstr>
  </property>
  <property fmtid="{D5CDD505-2E9C-101B-9397-08002B2CF9AE}" pid="47" name="Mendeley_Bookmark_que4prSWYh_12">
    <vt:lpwstr>"Riedel", "given" : "Bernhard J" }, { "family" : "Ruiz", "given" : "Joseph R" } ], "container-title" : "Anesthesia and analgesia", "id" : "ITEM-1", "issue" : "2", "issued" : { "date-parts" : [ [ "2010", "8" ] ] }, "note" : "&lt;m:note&gt;\n        &lt;m:bold&gt;From </vt:lpwstr>
  </property>
  <property fmtid="{D5CDD505-2E9C-101B-9397-08002B2CF9AE}" pid="48" name="Mendeley_Bookmark_que4prSWYh_13">
    <vt:lpwstr>Duplicate 1 ( &lt;/m:bold&gt;\n        &lt;m:bold/&gt;\n        &lt;m:bold&gt;\n          &lt;m:italic&gt;Ongoing provision of individual clinician performance data improves practice behavior&lt;/m:italic&gt;\n        &lt;/m:bold&gt;\n        &lt;m:bold/&gt;\n        &lt;m:bold&gt; - Frenzel, J. C.; Ke</vt:lpwstr>
  </property>
  <property fmtid="{D5CDD505-2E9C-101B-9397-08002B2CF9AE}" pid="49" name="Mendeley_Bookmark_que4prSWYh_14">
    <vt:lpwstr>e, S. S.; Ensor, J. E.; Riedel, B. J.; Ruiz, J. R. )&lt;m:linebreak/&gt;\n        &lt;/m:bold&gt;\n        &lt;m:linebreak/&gt;\n        &lt;m:bold&gt;From Duplicate 1 ( &lt;/m:bold&gt;\n        &lt;m:bold/&gt;\n        &lt;m:bold&gt;\n          &lt;m:italic&gt;Ongoing provision of individual clinician</vt:lpwstr>
  </property>
  <property fmtid="{D5CDD505-2E9C-101B-9397-08002B2CF9AE}" pid="50" name="Mendeley_Bookmark_que4prSWYh_15">
    <vt:lpwstr> performance data improves practice behavior&lt;/m:italic&gt;\n        &lt;/m:bold&gt;\n        &lt;m:bold/&gt;\n        &lt;m:bold&gt; - Frenzel, J. C.; Kee, S. S.; Ensor, J. E.; Riedel, B. J.; Ruiz, J. R. )&lt;m:linebreak/&gt;\n        &lt;/m:bold&gt;\n        &lt;m:linebreak/&gt;JID: 1310650; </vt:lpwstr>
  </property>
  <property fmtid="{D5CDD505-2E9C-101B-9397-08002B2CF9AE}" pid="51" name="Mendeley_Bookmark_que4prSWYh_16">
    <vt:lpwstr>0 (Antiemetics); CIN: Anesth Analg. 2010 Aug;111(2):270-1. PMID: 20664091; 2010/06/07 [aheadofprint]; ppublish&lt;m:linebreak/&gt;\n        &lt;m:linebreak/&gt;\n        &lt;m:linebreak/&gt;\n        &lt;m:linebreak/&gt;\n        &lt;m:bold&gt;From Duplicate 2 ( &lt;/m:bold&gt;\n        &lt;m:</vt:lpwstr>
  </property>
  <property fmtid="{D5CDD505-2E9C-101B-9397-08002B2CF9AE}" pid="52" name="Mendeley_Bookmark_que4prSWYh_17">
    <vt:lpwstr>bold/&gt;\n        &lt;m:bold&gt;\n          &lt;m:italic&gt;Ongoing provision of individual clinician performance data improves practice behavior&lt;/m:italic&gt;\n        &lt;/m:bold&gt;\n        &lt;m:bold/&gt;\n        &lt;m:bold&gt; - Frenzel, J. C.; Kee, S. S.; Ensor, J. E.; Riedel, B. J</vt:lpwstr>
  </property>
  <property fmtid="{D5CDD505-2E9C-101B-9397-08002B2CF9AE}" pid="53" name="Mendeley_Bookmark_que4prSWYh_18">
    <vt:lpwstr>.; Ruiz, J. R. )&lt;m:linebreak/&gt;\n        &lt;/m:bold&gt;\n        &lt;m:linebreak/&gt;LR: 20110330; JID: 1310650; 0 (Antiemetics); CIN: Anesth Analg. 2010 Aug;111(2):270-1. PMID: 20664091; CIN: Anesth Analg. 2011 Mar;112(3):737-8; author reply 738. PMID: 21350233; 201</vt:lpwstr>
  </property>
  <property fmtid="{D5CDD505-2E9C-101B-9397-08002B2CF9AE}" pid="54" name="Mendeley_Bookmark_que4prSWYh_19">
    <vt:lpwstr>0/06/07 [aheadofprint]; ppublish&lt;m:linebreak/&gt;\n        &lt;m:linebreak/&gt;\n        &lt;m:linebreak/&gt;\n        &lt;m:linebreak/&gt;\n        &lt;m:linebreak/&gt;\n        &lt;m:linebreak/&gt;\n      &lt;/m:note&gt;", "page" : "515-9", "title" : "Ongoing provision of individual clinicia</vt:lpwstr>
  </property>
  <property fmtid="{D5CDD505-2E9C-101B-9397-08002B2CF9AE}" pid="55" name="Mendeley_Bookmark_que4prSWYh_2">
    <vt:lpwstr>guidelines summarize evidence from science and attempt to translate those findings into clinical practice. Pervasive and consistent adoption of these guidelines into daily provider practice has proven slow. METHODS: Using postoperative nausea and vomiting</vt:lpwstr>
  </property>
  <property fmtid="{D5CDD505-2E9C-101B-9397-08002B2CF9AE}" pid="56" name="Mendeley_Bookmark_que4prSWYh_20">
    <vt:lpwstr>n performance data improves practice behavior.", "type" : "article-journal", "volume" : "111" }, "uris" : [ "http://www.mendeley.com/documents/?uuid=4d4e04ae-4200-4947-9617-f2a7d851576f" ] }, { "id" : "ITEM-2", "itemData" : { "DOI" : "10.1097/EJA.0b013e32</vt:lpwstr>
  </property>
  <property fmtid="{D5CDD505-2E9C-101B-9397-08002B2CF9AE}" pid="57" name="Mendeley_Bookmark_que4prSWYh_21">
    <vt:lpwstr>832d6a76", "abstract" : "Correct identification of patients at high risk for postoperative nausea and vomiting (PONV), prescription of PONV prophylaxis and correct administration of medication are all important for effective PONV prophylaxis. This has bee</vt:lpwstr>
  </property>
  <property fmtid="{D5CDD505-2E9C-101B-9397-08002B2CF9AE}" pid="58" name="Mendeley_Bookmark_que4prSWYh_22">
    <vt:lpwstr>n acknowledged by development of guidelines throughout the world. We studied the effect of introducing patient-specific automated reminders on timely administration of PONV prophylaxis medication during general anaesthesia.", "author" : [ { "family" : "Ko</vt:lpwstr>
  </property>
  <property fmtid="{D5CDD505-2E9C-101B-9397-08002B2CF9AE}" pid="59" name="Mendeley_Bookmark_que4prSWYh_23">
    <vt:lpwstr>oij", "given" : "Fabian O." }, { "family" : "Klok", "given" : "Toni" }, { "family" : "Hollmann", "given" : "Markus W." }, { "family" : "Kal", "given" : "Jasper E." } ], "container-title" : "European journal of anaesthesiology", "id" : "ITEM-2", "issue" : </vt:lpwstr>
  </property>
  <property fmtid="{D5CDD505-2E9C-101B-9397-08002B2CF9AE}" pid="60" name="Mendeley_Bookmark_que4prSWYh_24">
    <vt:lpwstr>"2", "issued" : { "date-parts" : [ [ "2010", "2" ] ] }, "note" : "&lt;m:note&gt;JID: 8411711; 0 (Antiemetics); 109889-09-0 (Granisetron); 50-02-2 (Dexamethasone); ppublish&lt;m:linebreak/&gt;\n        &lt;m:linebreak/&gt;\n      &lt;/m:note&gt;", "page" : "187-91", "title" : "Au</vt:lpwstr>
  </property>
  <property fmtid="{D5CDD505-2E9C-101B-9397-08002B2CF9AE}" pid="61" name="Mendeley_Bookmark_que4prSWYh_25">
    <vt:lpwstr>tomated reminders increase adherence to guidelines for administration of prophylaxis for postoperative nausea and vomiting.", "type" : "article-journal", "volume" : "27" }, "uris" : [ "http://www.mendeley.com/documents/?uuid=56ba3a11-3e26-49f6-8a59-57caf3</vt:lpwstr>
  </property>
  <property fmtid="{D5CDD505-2E9C-101B-9397-08002B2CF9AE}" pid="62" name="Mendeley_Bookmark_que4prSWYh_26">
    <vt:lpwstr>23f19f" ] } ], "mendeley" : { "previouslyFormattedCitation" : "(Frenzel et al., 2010; Kooij et al., 2010)" }, "properties" : { "noteIndex" : 0 }, "schema" : "https://github.com/citation-style-language/schema/raw/master/csl-citation.json" } </vt:lpwstr>
  </property>
  <property fmtid="{D5CDD505-2E9C-101B-9397-08002B2CF9AE}" pid="63" name="Mendeley_Bookmark_que4prSWYh_3">
    <vt:lpwstr> (PONV) prophylaxis guideline compliance as our metric, we compared the effects of continuing medical education (CME) alone (I), CME with a single snapshot of provider compliance (II), and ongoing reporting of provider compliance data without further CME </vt:lpwstr>
  </property>
  <property fmtid="{D5CDD505-2E9C-101B-9397-08002B2CF9AE}" pid="64" name="Mendeley_Bookmark_que4prSWYh_4">
    <vt:lpwstr>(III). We retrospectively analyzed guideline compliance of 23,279 anesthetics at the University of Texas M.D. Anderson Cancer Center. Compliance was defined as a patient with 1 risk factor for PONV receiving at least 1 antiemetic, 2 risk factors receiving</vt:lpwstr>
  </property>
  <property fmtid="{D5CDD505-2E9C-101B-9397-08002B2CF9AE}" pid="65" name="Mendeley_Bookmark_que4prSWYh_5">
    <vt:lpwstr> at least 2 antiemetics, and 3 risk factors receiving at least 3 antiemetics. Drugs of the same class were counted as single antiemetic administration. Propofol-based anesthetic techniques were counted as receiving 1 antiemetic. Patients with 0 risk facto</vt:lpwstr>
  </property>
  <property fmtid="{D5CDD505-2E9C-101B-9397-08002B2CF9AE}" pid="66" name="Mendeley_Bookmark_que4prSWYh_6">
    <vt:lpwstr>rs for PONV were not included. We estimated the compliance rates for each of the 4 time periods of the study adjusting for multiple observations on the same clinician. Individual performance feedback was given once at 6 months after intervention I coincid</vt:lpwstr>
  </property>
  <property fmtid="{D5CDD505-2E9C-101B-9397-08002B2CF9AE}" pid="67" name="Mendeley_Bookmark_que4prSWYh_7">
    <vt:lpwstr>ent with a refresher presentation on PONV (start of intervention II) and on an ongoing quarterly basis during intervention III. RESULTS: Compliance rates were not significantly influenced with CME (intervention I) compared with baseline behavior (54.5% vs</vt:lpwstr>
  </property>
  <property fmtid="{D5CDD505-2E9C-101B-9397-08002B2CF9AE}" pid="68" name="Mendeley_Bookmark_que4prSWYh_8">
    <vt:lpwstr> 54.4%, P = 0.9140). Significant improvement occurred during the time period when CME was paired with performance data (intervention II) compared with intervention I (59.2% vs 54.4%, P = 0.0002). Further significant improvement occurred when data alone we</vt:lpwstr>
  </property>
  <property fmtid="{D5CDD505-2E9C-101B-9397-08002B2CF9AE}" pid="69" name="Mendeley_Bookmark_que4prSWYh_9">
    <vt:lpwstr>re presented (intervention III) compared with intervention II (65.1% vs 59.2%, P &lt; 0.0001). For patients with 3 risk factors, we saw significant improvement in compliance rates during intervention III (P = 0.0002). In post hoc analysis of overtreatment, t</vt:lpwstr>
  </property>
  <property fmtid="{D5CDD505-2E9C-101B-9397-08002B2CF9AE}" pid="70" name="ScaleCrop">
    <vt:bool>false</vt:bool>
  </property>
  <property fmtid="{D5CDD505-2E9C-101B-9397-08002B2CF9AE}" pid="71" name="ShareDoc">
    <vt:bool>false</vt:bool>
  </property>
  <property fmtid="{D5CDD505-2E9C-101B-9397-08002B2CF9AE}" pid="72" name="WnCUserId">
    <vt:lpwstr>1550</vt:lpwstr>
  </property>
  <property fmtid="{D5CDD505-2E9C-101B-9397-08002B2CF9AE}" pid="73" name="WnCSubscriberId">
    <vt:lpwstr>3815</vt:lpwstr>
  </property>
  <property fmtid="{D5CDD505-2E9C-101B-9397-08002B2CF9AE}" pid="74" name="WnCOutputStyleId">
    <vt:lpwstr>370</vt:lpwstr>
  </property>
  <property fmtid="{D5CDD505-2E9C-101B-9397-08002B2CF9AE}" pid="75" name="WnC4Folder">
    <vt:lpwstr>Documents///20121022 Impact of Adding Therapeutic Recommendations - V2.5</vt:lpwstr>
  </property>
  <property fmtid="{D5CDD505-2E9C-101B-9397-08002B2CF9AE}" pid="76" name="Mendeley Unique User Id_1">
    <vt:lpwstr>e899e57e-d34a-34c2-8c7f-562fae74a391</vt:lpwstr>
  </property>
</Properties>
</file>