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1049" w14:textId="0D47F9DE" w:rsidR="00850893" w:rsidRPr="00D541E6" w:rsidRDefault="005F6735" w:rsidP="00320A01">
      <w:pPr>
        <w:pStyle w:val="Heading1"/>
      </w:pPr>
      <w:r w:rsidRPr="00D541E6">
        <w:t xml:space="preserve">Protocol </w:t>
      </w:r>
      <w:r w:rsidR="00A651D6" w:rsidRPr="00D541E6">
        <w:t xml:space="preserve">for </w:t>
      </w:r>
      <w:r w:rsidR="001D4241" w:rsidRPr="00D541E6">
        <w:t>“</w:t>
      </w:r>
      <w:bookmarkStart w:id="0" w:name="_GoBack"/>
      <w:r w:rsidR="004E1629" w:rsidRPr="00D44831">
        <w:rPr>
          <w:i/>
        </w:rPr>
        <w:t>A scoping review of causal methods enabling predictions under hypothetical interventions</w:t>
      </w:r>
      <w:bookmarkEnd w:id="0"/>
      <w:r w:rsidR="001D4241" w:rsidRPr="00D541E6">
        <w:t>”</w:t>
      </w:r>
    </w:p>
    <w:p w14:paraId="3E3045D2" w14:textId="5CF36094" w:rsidR="007A4B02" w:rsidRPr="00D541E6" w:rsidRDefault="00A651D6" w:rsidP="00722C32">
      <w:pPr>
        <w:pStyle w:val="Heading2"/>
        <w:spacing w:line="276" w:lineRule="auto"/>
        <w:rPr>
          <w:b/>
        </w:rPr>
      </w:pPr>
      <w:r w:rsidRPr="00D541E6">
        <w:rPr>
          <w:b/>
        </w:rPr>
        <w:t>Overview</w:t>
      </w:r>
    </w:p>
    <w:p w14:paraId="77ACA2E8" w14:textId="5D7BF902" w:rsidR="003C5C4E" w:rsidRPr="00D541E6" w:rsidRDefault="00296C16" w:rsidP="00722C32">
      <w:pPr>
        <w:pStyle w:val="Heading2"/>
        <w:spacing w:line="276" w:lineRule="auto"/>
        <w:rPr>
          <w:rFonts w:asciiTheme="minorHAnsi" w:hAnsiTheme="minorHAnsi"/>
          <w:color w:val="auto"/>
          <w:sz w:val="22"/>
          <w:szCs w:val="22"/>
        </w:rPr>
      </w:pPr>
      <w:r w:rsidRPr="00D541E6">
        <w:rPr>
          <w:rFonts w:asciiTheme="minorHAnsi" w:hAnsiTheme="minorHAnsi"/>
          <w:color w:val="auto"/>
          <w:sz w:val="22"/>
          <w:szCs w:val="22"/>
        </w:rPr>
        <w:t xml:space="preserve">Prognostic models predict the future </w:t>
      </w:r>
      <w:r w:rsidR="00D20707" w:rsidRPr="00D541E6">
        <w:rPr>
          <w:rFonts w:asciiTheme="minorHAnsi" w:hAnsiTheme="minorHAnsi"/>
          <w:color w:val="auto"/>
          <w:sz w:val="22"/>
          <w:szCs w:val="22"/>
        </w:rPr>
        <w:t>occurrence</w:t>
      </w:r>
      <w:r w:rsidR="0086771C" w:rsidRPr="00D541E6">
        <w:rPr>
          <w:rFonts w:asciiTheme="minorHAnsi" w:hAnsiTheme="minorHAnsi"/>
          <w:color w:val="auto"/>
          <w:sz w:val="22"/>
          <w:szCs w:val="22"/>
        </w:rPr>
        <w:t xml:space="preserve"> or trajectory</w:t>
      </w:r>
      <w:r w:rsidR="00D20707" w:rsidRPr="00D541E6">
        <w:rPr>
          <w:rFonts w:asciiTheme="minorHAnsi" w:hAnsiTheme="minorHAnsi"/>
          <w:color w:val="auto"/>
          <w:sz w:val="22"/>
          <w:szCs w:val="22"/>
        </w:rPr>
        <w:t xml:space="preserve"> </w:t>
      </w:r>
      <w:r w:rsidRPr="00D541E6">
        <w:rPr>
          <w:rFonts w:asciiTheme="minorHAnsi" w:hAnsiTheme="minorHAnsi"/>
          <w:color w:val="auto"/>
          <w:sz w:val="22"/>
          <w:szCs w:val="22"/>
        </w:rPr>
        <w:t xml:space="preserve">of a health outcome </w:t>
      </w:r>
      <w:r w:rsidR="00000F11" w:rsidRPr="00D541E6">
        <w:rPr>
          <w:rFonts w:asciiTheme="minorHAnsi" w:hAnsiTheme="minorHAnsi"/>
          <w:color w:val="auto"/>
          <w:sz w:val="22"/>
          <w:szCs w:val="22"/>
        </w:rPr>
        <w:t>based on a set of</w:t>
      </w:r>
      <w:r w:rsidR="002D1BC2" w:rsidRPr="00D541E6">
        <w:rPr>
          <w:rFonts w:asciiTheme="minorHAnsi" w:hAnsiTheme="minorHAnsi"/>
          <w:color w:val="auto"/>
          <w:sz w:val="22"/>
          <w:szCs w:val="22"/>
        </w:rPr>
        <w:t xml:space="preserve"> </w:t>
      </w:r>
      <w:r w:rsidR="00000F11" w:rsidRPr="00D541E6">
        <w:rPr>
          <w:rFonts w:asciiTheme="minorHAnsi" w:hAnsiTheme="minorHAnsi"/>
          <w:color w:val="auto"/>
          <w:sz w:val="22"/>
          <w:szCs w:val="22"/>
        </w:rPr>
        <w:t>predictive factors</w:t>
      </w:r>
      <w:r w:rsidR="003003E3" w:rsidRPr="00D541E6">
        <w:rPr>
          <w:rFonts w:asciiTheme="minorHAnsi" w:hAnsiTheme="minorHAnsi"/>
          <w:color w:val="auto"/>
          <w:sz w:val="22"/>
          <w:szCs w:val="22"/>
        </w:rPr>
        <w:t xml:space="preserve"> available at the time of prediction</w:t>
      </w:r>
      <w:r w:rsidR="00000F11" w:rsidRPr="00D541E6">
        <w:rPr>
          <w:rFonts w:asciiTheme="minorHAnsi" w:hAnsiTheme="minorHAnsi"/>
          <w:color w:val="auto"/>
          <w:sz w:val="22"/>
          <w:szCs w:val="22"/>
        </w:rPr>
        <w:t>.</w:t>
      </w:r>
      <w:r w:rsidRPr="00D541E6">
        <w:rPr>
          <w:rFonts w:asciiTheme="minorHAnsi" w:hAnsiTheme="minorHAnsi"/>
          <w:color w:val="auto"/>
          <w:sz w:val="22"/>
          <w:szCs w:val="22"/>
        </w:rPr>
        <w:t xml:space="preserve"> </w:t>
      </w:r>
      <w:r w:rsidR="00AB5627" w:rsidRPr="00D541E6">
        <w:rPr>
          <w:rFonts w:asciiTheme="minorHAnsi" w:hAnsiTheme="minorHAnsi"/>
          <w:color w:val="auto"/>
          <w:sz w:val="22"/>
          <w:szCs w:val="22"/>
        </w:rPr>
        <w:t>A key limitation of existing prediction models is that th</w:t>
      </w:r>
      <w:r w:rsidR="00E55DD6" w:rsidRPr="00D541E6">
        <w:rPr>
          <w:rFonts w:asciiTheme="minorHAnsi" w:hAnsiTheme="minorHAnsi"/>
          <w:color w:val="auto"/>
          <w:sz w:val="22"/>
          <w:szCs w:val="22"/>
        </w:rPr>
        <w:t>ey model prognostic risk</w:t>
      </w:r>
      <w:r w:rsidR="00397FC5" w:rsidRPr="00D541E6">
        <w:rPr>
          <w:rFonts w:asciiTheme="minorHAnsi" w:hAnsiTheme="minorHAnsi"/>
          <w:color w:val="auto"/>
          <w:sz w:val="22"/>
          <w:szCs w:val="22"/>
        </w:rPr>
        <w:t xml:space="preserve"> based on </w:t>
      </w:r>
      <w:r w:rsidR="0086771C" w:rsidRPr="00D541E6">
        <w:rPr>
          <w:rFonts w:asciiTheme="minorHAnsi" w:hAnsiTheme="minorHAnsi"/>
          <w:color w:val="auto"/>
          <w:sz w:val="22"/>
          <w:szCs w:val="22"/>
        </w:rPr>
        <w:t xml:space="preserve">observed </w:t>
      </w:r>
      <w:r w:rsidR="00397FC5" w:rsidRPr="00D541E6">
        <w:rPr>
          <w:rFonts w:asciiTheme="minorHAnsi" w:hAnsiTheme="minorHAnsi"/>
          <w:color w:val="auto"/>
          <w:sz w:val="22"/>
          <w:szCs w:val="22"/>
        </w:rPr>
        <w:t>risk factors</w:t>
      </w:r>
      <w:r w:rsidR="00E55DD6" w:rsidRPr="00D541E6">
        <w:rPr>
          <w:rFonts w:asciiTheme="minorHAnsi" w:hAnsiTheme="minorHAnsi"/>
          <w:color w:val="auto"/>
          <w:sz w:val="22"/>
          <w:szCs w:val="22"/>
        </w:rPr>
        <w:t xml:space="preserve"> only,</w:t>
      </w:r>
      <w:r w:rsidR="00AB5627" w:rsidRPr="00D541E6">
        <w:rPr>
          <w:rFonts w:asciiTheme="minorHAnsi" w:hAnsiTheme="minorHAnsi"/>
          <w:color w:val="auto"/>
          <w:sz w:val="22"/>
          <w:szCs w:val="22"/>
        </w:rPr>
        <w:t xml:space="preserve"> and do not allow </w:t>
      </w:r>
      <w:r w:rsidR="0086771C" w:rsidRPr="00D541E6">
        <w:rPr>
          <w:rFonts w:asciiTheme="minorHAnsi" w:hAnsiTheme="minorHAnsi"/>
          <w:color w:val="auto"/>
          <w:sz w:val="22"/>
          <w:szCs w:val="22"/>
        </w:rPr>
        <w:t xml:space="preserve">correct calculation </w:t>
      </w:r>
      <w:r w:rsidR="00AB5627" w:rsidRPr="00D541E6">
        <w:rPr>
          <w:rFonts w:asciiTheme="minorHAnsi" w:hAnsiTheme="minorHAnsi"/>
          <w:color w:val="auto"/>
          <w:sz w:val="22"/>
          <w:szCs w:val="22"/>
        </w:rPr>
        <w:t xml:space="preserve">of </w:t>
      </w:r>
      <w:r w:rsidR="0052445B" w:rsidRPr="00D541E6">
        <w:rPr>
          <w:rFonts w:asciiTheme="minorHAnsi" w:hAnsiTheme="minorHAnsi"/>
          <w:color w:val="auto"/>
          <w:sz w:val="22"/>
          <w:szCs w:val="22"/>
        </w:rPr>
        <w:t xml:space="preserve">counterfactual </w:t>
      </w:r>
      <w:r w:rsidR="00AB5627" w:rsidRPr="00D541E6">
        <w:rPr>
          <w:rFonts w:asciiTheme="minorHAnsi" w:hAnsiTheme="minorHAnsi"/>
          <w:color w:val="auto"/>
          <w:sz w:val="22"/>
          <w:szCs w:val="22"/>
        </w:rPr>
        <w:t>“what if” scenario</w:t>
      </w:r>
      <w:r w:rsidR="008F47CB" w:rsidRPr="00D541E6">
        <w:rPr>
          <w:rFonts w:asciiTheme="minorHAnsi" w:hAnsiTheme="minorHAnsi"/>
          <w:color w:val="auto"/>
          <w:sz w:val="22"/>
          <w:szCs w:val="22"/>
        </w:rPr>
        <w:t>s</w:t>
      </w:r>
      <w:r w:rsidR="00A81920" w:rsidRPr="00D541E6">
        <w:rPr>
          <w:rFonts w:asciiTheme="minorHAnsi" w:hAnsiTheme="minorHAnsi"/>
          <w:color w:val="auto"/>
          <w:sz w:val="22"/>
          <w:szCs w:val="22"/>
        </w:rPr>
        <w:t xml:space="preserve"> to explore the effects of interventions</w:t>
      </w:r>
      <w:r w:rsidR="008F47CB" w:rsidRPr="00D541E6">
        <w:rPr>
          <w:rFonts w:asciiTheme="minorHAnsi" w:hAnsiTheme="minorHAnsi"/>
          <w:color w:val="auto"/>
          <w:sz w:val="22"/>
          <w:szCs w:val="22"/>
        </w:rPr>
        <w:t xml:space="preserve">. </w:t>
      </w:r>
      <w:r w:rsidR="00104198" w:rsidRPr="00D541E6">
        <w:rPr>
          <w:rFonts w:asciiTheme="minorHAnsi" w:hAnsiTheme="minorHAnsi"/>
          <w:color w:val="auto"/>
          <w:sz w:val="22"/>
          <w:szCs w:val="22"/>
        </w:rPr>
        <w:t xml:space="preserve">These “what-if” queries </w:t>
      </w:r>
      <w:r w:rsidR="00A81920" w:rsidRPr="00D541E6">
        <w:rPr>
          <w:rFonts w:asciiTheme="minorHAnsi" w:hAnsiTheme="minorHAnsi"/>
          <w:color w:val="auto"/>
          <w:sz w:val="22"/>
          <w:szCs w:val="22"/>
        </w:rPr>
        <w:t xml:space="preserve">could </w:t>
      </w:r>
      <w:r w:rsidR="00104198" w:rsidRPr="00D541E6">
        <w:rPr>
          <w:rFonts w:asciiTheme="minorHAnsi" w:hAnsiTheme="minorHAnsi"/>
          <w:color w:val="auto"/>
          <w:sz w:val="22"/>
          <w:szCs w:val="22"/>
        </w:rPr>
        <w:t xml:space="preserve">be enabled </w:t>
      </w:r>
      <w:r w:rsidR="007F641C" w:rsidRPr="00D541E6">
        <w:rPr>
          <w:rFonts w:asciiTheme="minorHAnsi" w:hAnsiTheme="minorHAnsi"/>
          <w:color w:val="auto"/>
          <w:sz w:val="22"/>
          <w:szCs w:val="22"/>
        </w:rPr>
        <w:t>within</w:t>
      </w:r>
      <w:r w:rsidR="00104198" w:rsidRPr="00D541E6">
        <w:rPr>
          <w:rFonts w:asciiTheme="minorHAnsi" w:hAnsiTheme="minorHAnsi"/>
          <w:color w:val="auto"/>
          <w:sz w:val="22"/>
          <w:szCs w:val="22"/>
        </w:rPr>
        <w:t xml:space="preserve"> </w:t>
      </w:r>
      <w:r w:rsidR="00A81920" w:rsidRPr="00D541E6">
        <w:rPr>
          <w:rFonts w:asciiTheme="minorHAnsi" w:hAnsiTheme="minorHAnsi"/>
          <w:color w:val="auto"/>
          <w:sz w:val="22"/>
          <w:szCs w:val="22"/>
        </w:rPr>
        <w:t xml:space="preserve">a </w:t>
      </w:r>
      <w:r w:rsidR="008F47CB" w:rsidRPr="00D541E6">
        <w:rPr>
          <w:rFonts w:asciiTheme="minorHAnsi" w:hAnsiTheme="minorHAnsi"/>
          <w:color w:val="auto"/>
          <w:sz w:val="22"/>
          <w:szCs w:val="22"/>
        </w:rPr>
        <w:t>potential outcomes</w:t>
      </w:r>
      <w:r w:rsidR="007117DF" w:rsidRPr="00D541E6">
        <w:rPr>
          <w:rFonts w:asciiTheme="minorHAnsi" w:hAnsiTheme="minorHAnsi"/>
          <w:color w:val="auto"/>
          <w:sz w:val="22"/>
          <w:szCs w:val="22"/>
          <w:lang w:eastAsia="zh-CN"/>
        </w:rPr>
        <w:t xml:space="preserve"> (</w:t>
      </w:r>
      <w:r w:rsidR="007B629D" w:rsidRPr="00D541E6">
        <w:rPr>
          <w:rFonts w:asciiTheme="minorHAnsi" w:hAnsiTheme="minorHAnsi"/>
          <w:color w:val="auto"/>
          <w:sz w:val="22"/>
          <w:szCs w:val="22"/>
        </w:rPr>
        <w:t>counterfactual</w:t>
      </w:r>
      <w:r w:rsidR="007117DF" w:rsidRPr="00D541E6">
        <w:rPr>
          <w:rFonts w:asciiTheme="minorHAnsi" w:hAnsiTheme="minorHAnsi"/>
          <w:color w:val="auto"/>
          <w:sz w:val="22"/>
          <w:szCs w:val="22"/>
        </w:rPr>
        <w:t>)</w:t>
      </w:r>
      <w:r w:rsidR="00AB5627" w:rsidRPr="00D541E6">
        <w:rPr>
          <w:rFonts w:asciiTheme="minorHAnsi" w:hAnsiTheme="minorHAnsi"/>
          <w:color w:val="auto"/>
          <w:sz w:val="22"/>
          <w:szCs w:val="22"/>
        </w:rPr>
        <w:t xml:space="preserve"> framework</w:t>
      </w:r>
      <w:r w:rsidR="00104198" w:rsidRPr="00D541E6">
        <w:rPr>
          <w:rFonts w:asciiTheme="minorHAnsi" w:hAnsiTheme="minorHAnsi"/>
          <w:color w:val="auto"/>
          <w:sz w:val="22"/>
          <w:szCs w:val="22"/>
        </w:rPr>
        <w:t xml:space="preserve">. </w:t>
      </w:r>
      <w:r w:rsidR="0067649B" w:rsidRPr="00D541E6">
        <w:rPr>
          <w:rFonts w:asciiTheme="minorHAnsi" w:hAnsiTheme="minorHAnsi"/>
          <w:color w:val="auto"/>
          <w:sz w:val="22"/>
          <w:szCs w:val="22"/>
        </w:rPr>
        <w:t>T</w:t>
      </w:r>
      <w:r w:rsidR="00AB5627" w:rsidRPr="00D541E6">
        <w:rPr>
          <w:rFonts w:asciiTheme="minorHAnsi" w:hAnsiTheme="minorHAnsi"/>
          <w:color w:val="auto"/>
          <w:sz w:val="22"/>
          <w:szCs w:val="22"/>
        </w:rPr>
        <w:t>hrough principled mode</w:t>
      </w:r>
      <w:r w:rsidR="007C6799" w:rsidRPr="00D541E6">
        <w:rPr>
          <w:rFonts w:asciiTheme="minorHAnsi" w:hAnsiTheme="minorHAnsi"/>
          <w:color w:val="auto"/>
          <w:sz w:val="22"/>
          <w:szCs w:val="22"/>
        </w:rPr>
        <w:t>l</w:t>
      </w:r>
      <w:r w:rsidR="00AB5627" w:rsidRPr="00D541E6">
        <w:rPr>
          <w:rFonts w:asciiTheme="minorHAnsi" w:hAnsiTheme="minorHAnsi"/>
          <w:color w:val="auto"/>
          <w:sz w:val="22"/>
          <w:szCs w:val="22"/>
        </w:rPr>
        <w:t xml:space="preserve">ling of the underlying causal structure </w:t>
      </w:r>
      <w:r w:rsidR="002C6EC8" w:rsidRPr="00D541E6">
        <w:rPr>
          <w:rFonts w:asciiTheme="minorHAnsi" w:hAnsiTheme="minorHAnsi"/>
          <w:color w:val="auto"/>
          <w:sz w:val="22"/>
          <w:szCs w:val="22"/>
        </w:rPr>
        <w:t>we</w:t>
      </w:r>
      <w:r w:rsidR="00AB5627" w:rsidRPr="00D541E6">
        <w:rPr>
          <w:rFonts w:asciiTheme="minorHAnsi" w:hAnsiTheme="minorHAnsi"/>
          <w:color w:val="auto"/>
          <w:sz w:val="22"/>
          <w:szCs w:val="22"/>
        </w:rPr>
        <w:t xml:space="preserve"> can infer risk under different intervention scenarios</w:t>
      </w:r>
      <w:r w:rsidR="001855D0" w:rsidRPr="00D541E6">
        <w:rPr>
          <w:rFonts w:asciiTheme="minorHAnsi" w:hAnsiTheme="minorHAnsi"/>
          <w:color w:val="auto"/>
          <w:sz w:val="22"/>
          <w:szCs w:val="22"/>
        </w:rPr>
        <w:t xml:space="preserve"> </w:t>
      </w:r>
      <w:r w:rsidR="0052445B" w:rsidRPr="00D541E6">
        <w:rPr>
          <w:rFonts w:asciiTheme="minorHAnsi" w:hAnsiTheme="minorHAnsi"/>
          <w:color w:val="auto"/>
          <w:sz w:val="22"/>
          <w:szCs w:val="22"/>
        </w:rPr>
        <w:t>–</w:t>
      </w:r>
      <w:r w:rsidR="001855D0" w:rsidRPr="00D541E6">
        <w:rPr>
          <w:rFonts w:asciiTheme="minorHAnsi" w:hAnsiTheme="minorHAnsi"/>
          <w:color w:val="auto"/>
          <w:sz w:val="22"/>
          <w:szCs w:val="22"/>
        </w:rPr>
        <w:t xml:space="preserve"> </w:t>
      </w:r>
      <w:r w:rsidR="00AB5627" w:rsidRPr="00D541E6">
        <w:rPr>
          <w:rFonts w:asciiTheme="minorHAnsi" w:hAnsiTheme="minorHAnsi"/>
          <w:color w:val="auto"/>
          <w:sz w:val="22"/>
          <w:szCs w:val="22"/>
        </w:rPr>
        <w:t xml:space="preserve">both at individual patient level and at </w:t>
      </w:r>
      <w:r w:rsidR="00A81920" w:rsidRPr="00D541E6">
        <w:rPr>
          <w:rFonts w:asciiTheme="minorHAnsi" w:hAnsiTheme="minorHAnsi"/>
          <w:color w:val="auto"/>
          <w:sz w:val="22"/>
          <w:szCs w:val="22"/>
        </w:rPr>
        <w:t xml:space="preserve">population </w:t>
      </w:r>
      <w:r w:rsidR="00AB5627" w:rsidRPr="00D541E6">
        <w:rPr>
          <w:rFonts w:asciiTheme="minorHAnsi" w:hAnsiTheme="minorHAnsi"/>
          <w:color w:val="auto"/>
          <w:sz w:val="22"/>
          <w:szCs w:val="22"/>
        </w:rPr>
        <w:t>level.</w:t>
      </w:r>
      <w:r w:rsidR="003C5C4E" w:rsidRPr="00D541E6">
        <w:t xml:space="preserve"> </w:t>
      </w:r>
    </w:p>
    <w:p w14:paraId="5CB5C2BB" w14:textId="77777777" w:rsidR="00CD3498" w:rsidRPr="00D541E6" w:rsidRDefault="00CD3498" w:rsidP="00722C32">
      <w:pPr>
        <w:keepNext/>
        <w:keepLines/>
        <w:spacing w:before="40" w:line="276" w:lineRule="auto"/>
        <w:outlineLvl w:val="2"/>
        <w:rPr>
          <w:rFonts w:ascii="Calibri" w:eastAsia="DengXian Light" w:hAnsi="Calibri" w:cs="Times New Roman"/>
          <w:i/>
          <w:color w:val="1F4D78"/>
          <w:sz w:val="26"/>
          <w:szCs w:val="26"/>
        </w:rPr>
      </w:pPr>
      <w:r w:rsidRPr="00D541E6">
        <w:rPr>
          <w:rFonts w:ascii="Calibri" w:eastAsia="DengXian Light" w:hAnsi="Calibri" w:cs="Times New Roman"/>
          <w:i/>
          <w:color w:val="1F4D78"/>
          <w:sz w:val="26"/>
          <w:szCs w:val="26"/>
        </w:rPr>
        <w:t xml:space="preserve">Scope of review </w:t>
      </w:r>
    </w:p>
    <w:p w14:paraId="16026BD4" w14:textId="031D54C9" w:rsidR="00C57E3F" w:rsidRPr="00D541E6" w:rsidRDefault="00D171CA" w:rsidP="00722C32">
      <w:pPr>
        <w:keepNext/>
        <w:keepLines/>
        <w:spacing w:before="40" w:line="276" w:lineRule="auto"/>
        <w:outlineLvl w:val="2"/>
        <w:rPr>
          <w:sz w:val="22"/>
          <w:szCs w:val="22"/>
        </w:rPr>
      </w:pPr>
      <w:r w:rsidRPr="00D541E6">
        <w:rPr>
          <w:sz w:val="22"/>
          <w:szCs w:val="22"/>
        </w:rPr>
        <w:t>Modelling interventions</w:t>
      </w:r>
      <w:r w:rsidR="00E77A8E" w:rsidRPr="00D541E6">
        <w:rPr>
          <w:sz w:val="22"/>
          <w:szCs w:val="22"/>
        </w:rPr>
        <w:t xml:space="preserve"> in </w:t>
      </w:r>
      <w:r w:rsidR="008277A6" w:rsidRPr="00D541E6">
        <w:rPr>
          <w:sz w:val="22"/>
          <w:szCs w:val="22"/>
        </w:rPr>
        <w:t>prognostic</w:t>
      </w:r>
      <w:r w:rsidR="00F756C9" w:rsidRPr="00D541E6">
        <w:rPr>
          <w:sz w:val="22"/>
          <w:szCs w:val="22"/>
        </w:rPr>
        <w:t xml:space="preserve"> </w:t>
      </w:r>
      <w:r w:rsidR="00E77A8E" w:rsidRPr="00D541E6">
        <w:rPr>
          <w:sz w:val="22"/>
          <w:szCs w:val="22"/>
        </w:rPr>
        <w:t>studies</w:t>
      </w:r>
      <w:r w:rsidR="002B1029" w:rsidRPr="00D541E6">
        <w:rPr>
          <w:sz w:val="22"/>
          <w:szCs w:val="22"/>
        </w:rPr>
        <w:t xml:space="preserve"> has</w:t>
      </w:r>
      <w:r w:rsidR="0052445B" w:rsidRPr="00D541E6">
        <w:rPr>
          <w:sz w:val="22"/>
          <w:szCs w:val="22"/>
        </w:rPr>
        <w:t xml:space="preserve"> recently</w:t>
      </w:r>
      <w:r w:rsidR="002B1029" w:rsidRPr="00D541E6">
        <w:rPr>
          <w:sz w:val="22"/>
          <w:szCs w:val="22"/>
        </w:rPr>
        <w:t xml:space="preserve"> gained </w:t>
      </w:r>
      <w:r w:rsidR="00F52920" w:rsidRPr="00D541E6">
        <w:rPr>
          <w:sz w:val="22"/>
          <w:szCs w:val="22"/>
        </w:rPr>
        <w:t>attention</w:t>
      </w:r>
      <w:r w:rsidR="00E77A8E" w:rsidRPr="00D541E6">
        <w:rPr>
          <w:sz w:val="22"/>
          <w:szCs w:val="22"/>
        </w:rPr>
        <w:t xml:space="preserve"> in </w:t>
      </w:r>
      <w:r w:rsidR="00F756C9" w:rsidRPr="00D541E6">
        <w:rPr>
          <w:sz w:val="22"/>
          <w:szCs w:val="22"/>
        </w:rPr>
        <w:t>clinical prediction model</w:t>
      </w:r>
      <w:r w:rsidR="000601BA" w:rsidRPr="00D541E6">
        <w:rPr>
          <w:sz w:val="22"/>
          <w:szCs w:val="22"/>
        </w:rPr>
        <w:t xml:space="preserve"> (CPM) </w:t>
      </w:r>
      <w:r w:rsidR="00F756C9" w:rsidRPr="00D541E6">
        <w:rPr>
          <w:sz w:val="22"/>
          <w:szCs w:val="22"/>
        </w:rPr>
        <w:t>research</w:t>
      </w:r>
      <w:r w:rsidR="00E77A8E" w:rsidRPr="00D541E6">
        <w:rPr>
          <w:sz w:val="22"/>
          <w:szCs w:val="22"/>
        </w:rPr>
        <w:t xml:space="preserve">. </w:t>
      </w:r>
      <w:r w:rsidR="0052445B" w:rsidRPr="00D541E6">
        <w:rPr>
          <w:sz w:val="22"/>
          <w:szCs w:val="22"/>
        </w:rPr>
        <w:t>These</w:t>
      </w:r>
      <w:r w:rsidR="00F70FFD" w:rsidRPr="00D541E6">
        <w:rPr>
          <w:sz w:val="22"/>
          <w:szCs w:val="22"/>
        </w:rPr>
        <w:t xml:space="preserve"> </w:t>
      </w:r>
      <w:r w:rsidRPr="00D541E6">
        <w:rPr>
          <w:sz w:val="22"/>
          <w:szCs w:val="22"/>
        </w:rPr>
        <w:t>interventions</w:t>
      </w:r>
      <w:r w:rsidR="0052445B" w:rsidRPr="00D541E6">
        <w:rPr>
          <w:sz w:val="22"/>
          <w:szCs w:val="22"/>
        </w:rPr>
        <w:t xml:space="preserve"> typically</w:t>
      </w:r>
      <w:r w:rsidRPr="00D541E6">
        <w:rPr>
          <w:sz w:val="22"/>
          <w:szCs w:val="22"/>
        </w:rPr>
        <w:t xml:space="preserve"> </w:t>
      </w:r>
      <w:r w:rsidR="00946EFD" w:rsidRPr="00D541E6">
        <w:rPr>
          <w:sz w:val="22"/>
          <w:szCs w:val="22"/>
        </w:rPr>
        <w:t xml:space="preserve">include </w:t>
      </w:r>
      <w:r w:rsidR="00454006" w:rsidRPr="00D541E6">
        <w:rPr>
          <w:sz w:val="22"/>
          <w:szCs w:val="22"/>
        </w:rPr>
        <w:t>medication use,</w:t>
      </w:r>
      <w:r w:rsidR="00825B5D" w:rsidRPr="00D541E6">
        <w:rPr>
          <w:sz w:val="22"/>
          <w:szCs w:val="22"/>
        </w:rPr>
        <w:t xml:space="preserve"> </w:t>
      </w:r>
      <w:r w:rsidRPr="00D541E6">
        <w:rPr>
          <w:sz w:val="22"/>
          <w:szCs w:val="22"/>
        </w:rPr>
        <w:t xml:space="preserve">invasive </w:t>
      </w:r>
      <w:r w:rsidR="00793D1E" w:rsidRPr="00D541E6">
        <w:rPr>
          <w:sz w:val="22"/>
          <w:szCs w:val="22"/>
        </w:rPr>
        <w:t xml:space="preserve">medical </w:t>
      </w:r>
      <w:r w:rsidR="00825B5D" w:rsidRPr="00D541E6">
        <w:rPr>
          <w:sz w:val="22"/>
          <w:szCs w:val="22"/>
        </w:rPr>
        <w:t>intervention</w:t>
      </w:r>
      <w:r w:rsidR="00946EFD" w:rsidRPr="00D541E6">
        <w:rPr>
          <w:sz w:val="22"/>
          <w:szCs w:val="22"/>
        </w:rPr>
        <w:t>s</w:t>
      </w:r>
      <w:r w:rsidR="00454006" w:rsidRPr="00D541E6">
        <w:rPr>
          <w:sz w:val="22"/>
          <w:szCs w:val="22"/>
        </w:rPr>
        <w:t xml:space="preserve"> (e.g. surger</w:t>
      </w:r>
      <w:r w:rsidR="0052445B" w:rsidRPr="00D541E6">
        <w:rPr>
          <w:sz w:val="22"/>
          <w:szCs w:val="22"/>
        </w:rPr>
        <w:t>y</w:t>
      </w:r>
      <w:r w:rsidR="00454006" w:rsidRPr="00D541E6">
        <w:rPr>
          <w:sz w:val="22"/>
          <w:szCs w:val="22"/>
        </w:rPr>
        <w:t xml:space="preserve">, </w:t>
      </w:r>
      <w:r w:rsidR="0077429D" w:rsidRPr="00D541E6">
        <w:rPr>
          <w:sz w:val="22"/>
          <w:szCs w:val="22"/>
        </w:rPr>
        <w:t>invasive measurement</w:t>
      </w:r>
      <w:r w:rsidR="00946EFD" w:rsidRPr="00D541E6">
        <w:rPr>
          <w:sz w:val="22"/>
          <w:szCs w:val="22"/>
        </w:rPr>
        <w:t>s</w:t>
      </w:r>
      <w:r w:rsidR="00454006" w:rsidRPr="00D541E6">
        <w:rPr>
          <w:sz w:val="22"/>
          <w:szCs w:val="22"/>
        </w:rPr>
        <w:t>)</w:t>
      </w:r>
      <w:r w:rsidR="00BF31F9" w:rsidRPr="00D541E6">
        <w:rPr>
          <w:sz w:val="22"/>
          <w:szCs w:val="22"/>
        </w:rPr>
        <w:t>,</w:t>
      </w:r>
      <w:r w:rsidR="0077429D" w:rsidRPr="00D541E6">
        <w:rPr>
          <w:sz w:val="22"/>
          <w:szCs w:val="22"/>
        </w:rPr>
        <w:t xml:space="preserve"> and </w:t>
      </w:r>
      <w:r w:rsidR="00946EFD" w:rsidRPr="00D541E6">
        <w:rPr>
          <w:sz w:val="22"/>
          <w:szCs w:val="22"/>
        </w:rPr>
        <w:t xml:space="preserve">policy </w:t>
      </w:r>
      <w:r w:rsidR="0038751C" w:rsidRPr="00D541E6">
        <w:rPr>
          <w:sz w:val="22"/>
          <w:szCs w:val="22"/>
        </w:rPr>
        <w:t>or lifestyle change</w:t>
      </w:r>
      <w:r w:rsidR="00454006" w:rsidRPr="00D541E6">
        <w:rPr>
          <w:sz w:val="22"/>
          <w:szCs w:val="22"/>
        </w:rPr>
        <w:t>s</w:t>
      </w:r>
      <w:r w:rsidR="0038751C" w:rsidRPr="00D541E6">
        <w:rPr>
          <w:sz w:val="22"/>
          <w:szCs w:val="22"/>
        </w:rPr>
        <w:t xml:space="preserve"> </w:t>
      </w:r>
      <w:r w:rsidR="0077429D" w:rsidRPr="00D541E6">
        <w:rPr>
          <w:sz w:val="22"/>
          <w:szCs w:val="22"/>
        </w:rPr>
        <w:t xml:space="preserve">that could affect </w:t>
      </w:r>
      <w:r w:rsidR="0052445B" w:rsidRPr="00D541E6">
        <w:rPr>
          <w:sz w:val="22"/>
          <w:szCs w:val="22"/>
        </w:rPr>
        <w:t>health</w:t>
      </w:r>
      <w:r w:rsidR="0077429D" w:rsidRPr="00D541E6">
        <w:rPr>
          <w:sz w:val="22"/>
          <w:szCs w:val="22"/>
        </w:rPr>
        <w:t xml:space="preserve"> outcome</w:t>
      </w:r>
      <w:r w:rsidR="0052445B" w:rsidRPr="00D541E6">
        <w:rPr>
          <w:sz w:val="22"/>
          <w:szCs w:val="22"/>
        </w:rPr>
        <w:t>s</w:t>
      </w:r>
      <w:r w:rsidR="0077429D" w:rsidRPr="00D541E6">
        <w:rPr>
          <w:sz w:val="22"/>
          <w:szCs w:val="22"/>
        </w:rPr>
        <w:t xml:space="preserve">. </w:t>
      </w:r>
      <w:r w:rsidR="00450654" w:rsidRPr="00D541E6">
        <w:rPr>
          <w:sz w:val="22"/>
          <w:szCs w:val="22"/>
        </w:rPr>
        <w:t xml:space="preserve">Two categories of treatment: “guided” and “background” were proposed in </w:t>
      </w:r>
      <w:r w:rsidR="001E5279" w:rsidRPr="00D541E6">
        <w:rPr>
          <w:sz w:val="22"/>
          <w:szCs w:val="22"/>
        </w:rPr>
        <w:t xml:space="preserve">the review by </w:t>
      </w:r>
      <w:r w:rsidR="001E5279" w:rsidRPr="00D541E6">
        <w:rPr>
          <w:sz w:val="22"/>
          <w:szCs w:val="22"/>
        </w:rPr>
        <w:fldChar w:fldCharType="begin" w:fldLock="1"/>
      </w:r>
      <w:r w:rsidR="009B218D" w:rsidRPr="00D541E6">
        <w:rPr>
          <w:sz w:val="22"/>
          <w:szCs w:val="22"/>
        </w:rPr>
        <w:instrText>ADDIN CSL_CITATION {"citationItems":[{"id":"ITEM-1","itemData":{"DOI":"10.1186/s41512-017-0015-0","ISSN":"2397-7523","abstract":"Ignoring treatments in prognostic model development or validation can affect the accuracy and transportability of models. We aim to quantify the extent to which the effects of treatment have been addressed in existing prognostic model research and provide recommendations for the handling and reporting of treatment use in future studies. We first describe how and when the use of treatments by individuals in a prognostic study can influence the development or validation of a prognostic model. We subsequently conducted a systematic review of the handling and reporting of treatment use in prognostic model studies in cardiovascular medicine. Data on treatment use (e.g. medications, surgeries, lifestyle interventions), the timing of their use, and the handling of such treatment use in the analyses were extracted and summarised. Three hundred two articles were included in the review. Treatment use was not mentioned in 91 (30%) articles. One hundred forty-six (48%) reported specific information about treatment use in their studies; 78 (26%) provided information about multiple treatments. Three articles (1%) reported changes in medication use (“treatment drop-in”) during follow-up. Seventy-nine articles (26%) excluded treated individuals from their analysis, 80 articles (26%) modelled treatment as an outcome, and of the 155 articles that developed a model, 86 (55%) modelled treatment use, almost exclusively at baseline, as a predictor. The use of treatments has been partly considered by the majority of CVD prognostic model studies. Detailed accounts including, for example, information on treatment drop-in were rare. Where relevant, the use of treatments should be considered in the analysis of prognostic model studies, particularly when a prognostic model is designed to guide the use of certain treatments and these treatments have been used by the study participants. Future prognostic model studies should clearly report the use of treatments by study participants and consider the potential impact of treatment use on the study findings.","author":[{"dropping-particle":"","family":"Pajouheshnia","given":"Romin","non-dropping-particle":"","parse-names":false,"suffix":""},{"dropping-particle":"","family":"Damen","given":"Johanna A. A. G.","non-dropping-particle":"","parse-names":false,"suffix":""},{"dropping-particle":"","family":"Groenwold","given":"Rolf H. H.","non-dropping-particle":"","parse-names":false,"suffix":""},{"dropping-particle":"","family":"Moons","given":"Karel G. M.","non-dropping-particle":"","parse-names":false,"suffix":""},{"dropping-particle":"","family":"Peelen","given":"Linda M.","non-dropping-particle":"","parse-names":false,"suffix":""}],"container-title":"Diagnostic and Prognostic Research","id":"ITEM-1","issue":"1","issued":{"date-parts":[["2017","12","26"]]},"page":"15","publisher":"BioMed Central","title":"Treatment use in prognostic model research: a systematic review of cardiovascular prognostic studies","type":"article-journal","volume":"1"},"uris":["http://www.mendeley.com/documents/?uuid=09cb72aa-9970-38f3-a83a-8d95a66affb0"]}],"mendeley":{"formattedCitation":"(Pajouheshnia, Damen, Groenwold, Moons, &amp; Peelen, 2017)","plainTextFormattedCitation":"(Pajouheshnia, Damen, Groenwold, Moons, &amp; Peelen, 2017)","previouslyFormattedCitation":"(Pajouheshnia, Damen, Groenwold, Moons, &amp; Peelen, 2017)"},"properties":{"noteIndex":0},"schema":"https://github.com/citation-style-language/schema/raw/master/csl-citation.json"}</w:instrText>
      </w:r>
      <w:r w:rsidR="001E5279" w:rsidRPr="00D541E6">
        <w:rPr>
          <w:sz w:val="22"/>
          <w:szCs w:val="22"/>
        </w:rPr>
        <w:fldChar w:fldCharType="separate"/>
      </w:r>
      <w:r w:rsidR="001E5279" w:rsidRPr="00D541E6">
        <w:rPr>
          <w:noProof/>
          <w:sz w:val="22"/>
          <w:szCs w:val="22"/>
        </w:rPr>
        <w:t>(Pajouheshnia, Damen, Groenwold, Moons, &amp; Peelen, 2017)</w:t>
      </w:r>
      <w:r w:rsidR="001E5279" w:rsidRPr="00D541E6">
        <w:rPr>
          <w:sz w:val="22"/>
          <w:szCs w:val="22"/>
        </w:rPr>
        <w:fldChar w:fldCharType="end"/>
      </w:r>
      <w:r w:rsidR="00A837BE" w:rsidRPr="00D541E6">
        <w:rPr>
          <w:sz w:val="22"/>
          <w:szCs w:val="22"/>
        </w:rPr>
        <w:t xml:space="preserve">. </w:t>
      </w:r>
      <w:r w:rsidR="00723B67" w:rsidRPr="00D541E6">
        <w:rPr>
          <w:sz w:val="22"/>
          <w:szCs w:val="22"/>
        </w:rPr>
        <w:t>Guided treatment, also referred to as “treatment drop-in”</w:t>
      </w:r>
      <w:r w:rsidR="00F80EEC" w:rsidRPr="00D541E6">
        <w:rPr>
          <w:sz w:val="22"/>
          <w:szCs w:val="22"/>
        </w:rPr>
        <w:t>,</w:t>
      </w:r>
      <w:r w:rsidR="00723B67" w:rsidRPr="00D541E6">
        <w:rPr>
          <w:sz w:val="22"/>
          <w:szCs w:val="22"/>
        </w:rPr>
        <w:t xml:space="preserve"> i</w:t>
      </w:r>
      <w:r w:rsidR="00D46CAF" w:rsidRPr="00D541E6">
        <w:rPr>
          <w:sz w:val="22"/>
          <w:szCs w:val="22"/>
        </w:rPr>
        <w:t>s given</w:t>
      </w:r>
      <w:r w:rsidR="00A87013" w:rsidRPr="00D541E6">
        <w:rPr>
          <w:sz w:val="22"/>
          <w:szCs w:val="22"/>
        </w:rPr>
        <w:t xml:space="preserve"> </w:t>
      </w:r>
      <w:r w:rsidR="00D46CAF" w:rsidRPr="00D541E6">
        <w:rPr>
          <w:sz w:val="22"/>
          <w:szCs w:val="22"/>
        </w:rPr>
        <w:t>to</w:t>
      </w:r>
      <w:r w:rsidR="00A87013" w:rsidRPr="00D541E6">
        <w:rPr>
          <w:sz w:val="22"/>
          <w:szCs w:val="22"/>
        </w:rPr>
        <w:t xml:space="preserve"> study participants after predictor</w:t>
      </w:r>
      <w:r w:rsidR="000F77E3" w:rsidRPr="00D541E6">
        <w:rPr>
          <w:sz w:val="22"/>
          <w:szCs w:val="22"/>
        </w:rPr>
        <w:t>s are measured but before</w:t>
      </w:r>
      <w:r w:rsidR="00477F6A" w:rsidRPr="00D541E6">
        <w:rPr>
          <w:sz w:val="22"/>
          <w:szCs w:val="22"/>
        </w:rPr>
        <w:t xml:space="preserve"> the ascertainment of the outcome. </w:t>
      </w:r>
      <w:r w:rsidR="0026493E" w:rsidRPr="00D541E6">
        <w:rPr>
          <w:sz w:val="22"/>
          <w:szCs w:val="22"/>
        </w:rPr>
        <w:t>Background treatment</w:t>
      </w:r>
      <w:r w:rsidR="005E482D" w:rsidRPr="00D541E6">
        <w:rPr>
          <w:sz w:val="22"/>
          <w:szCs w:val="22"/>
        </w:rPr>
        <w:t>s</w:t>
      </w:r>
      <w:r w:rsidR="0041154B" w:rsidRPr="00D541E6">
        <w:rPr>
          <w:sz w:val="22"/>
          <w:szCs w:val="22"/>
        </w:rPr>
        <w:t xml:space="preserve"> </w:t>
      </w:r>
      <w:r w:rsidR="005E482D" w:rsidRPr="00D541E6">
        <w:rPr>
          <w:sz w:val="22"/>
          <w:szCs w:val="22"/>
        </w:rPr>
        <w:t>are</w:t>
      </w:r>
      <w:r w:rsidR="0041154B" w:rsidRPr="00D541E6">
        <w:rPr>
          <w:sz w:val="22"/>
          <w:szCs w:val="22"/>
        </w:rPr>
        <w:t xml:space="preserve"> </w:t>
      </w:r>
      <w:r w:rsidR="005E482D" w:rsidRPr="00D541E6">
        <w:rPr>
          <w:sz w:val="22"/>
          <w:szCs w:val="22"/>
        </w:rPr>
        <w:t xml:space="preserve">risk-lowering treatments that participants receive as a part of routine care. </w:t>
      </w:r>
      <w:r w:rsidR="0052445B" w:rsidRPr="00D541E6">
        <w:rPr>
          <w:sz w:val="22"/>
          <w:szCs w:val="22"/>
        </w:rPr>
        <w:t xml:space="preserve">To date, </w:t>
      </w:r>
      <w:r w:rsidR="0052445B" w:rsidRPr="00D541E6">
        <w:rPr>
          <w:sz w:val="22"/>
          <w:szCs w:val="22"/>
          <w:lang w:eastAsia="zh-CN"/>
        </w:rPr>
        <w:t>a</w:t>
      </w:r>
      <w:r w:rsidR="006E3B15" w:rsidRPr="00D541E6">
        <w:rPr>
          <w:sz w:val="22"/>
          <w:szCs w:val="22"/>
          <w:lang w:eastAsia="zh-CN"/>
        </w:rPr>
        <w:t xml:space="preserve"> dominant </w:t>
      </w:r>
      <w:r w:rsidR="0052445B" w:rsidRPr="00D541E6">
        <w:rPr>
          <w:sz w:val="22"/>
          <w:szCs w:val="22"/>
          <w:lang w:eastAsia="zh-CN"/>
        </w:rPr>
        <w:t xml:space="preserve">approach </w:t>
      </w:r>
      <w:r w:rsidR="006E3B15" w:rsidRPr="00D541E6">
        <w:rPr>
          <w:sz w:val="22"/>
          <w:szCs w:val="22"/>
          <w:lang w:eastAsia="zh-CN"/>
        </w:rPr>
        <w:t>of research</w:t>
      </w:r>
      <w:r w:rsidR="006E3B15" w:rsidRPr="00D541E6">
        <w:rPr>
          <w:sz w:val="22"/>
          <w:szCs w:val="22"/>
        </w:rPr>
        <w:t xml:space="preserve"> in this </w:t>
      </w:r>
      <w:r w:rsidR="0052445B" w:rsidRPr="00D541E6">
        <w:rPr>
          <w:sz w:val="22"/>
          <w:szCs w:val="22"/>
        </w:rPr>
        <w:t xml:space="preserve">area </w:t>
      </w:r>
      <w:r w:rsidR="006E3B15" w:rsidRPr="00D541E6">
        <w:rPr>
          <w:sz w:val="22"/>
          <w:szCs w:val="22"/>
        </w:rPr>
        <w:t xml:space="preserve">has been </w:t>
      </w:r>
      <w:r w:rsidR="007B0AB8" w:rsidRPr="00D541E6">
        <w:rPr>
          <w:sz w:val="22"/>
          <w:szCs w:val="22"/>
        </w:rPr>
        <w:t xml:space="preserve">on </w:t>
      </w:r>
      <w:r w:rsidR="00083DC2" w:rsidRPr="00D541E6">
        <w:rPr>
          <w:sz w:val="22"/>
          <w:szCs w:val="22"/>
        </w:rPr>
        <w:t xml:space="preserve">viewing </w:t>
      </w:r>
      <w:r w:rsidR="00A16B10" w:rsidRPr="00D541E6">
        <w:rPr>
          <w:sz w:val="22"/>
          <w:szCs w:val="22"/>
        </w:rPr>
        <w:t>intervention</w:t>
      </w:r>
      <w:r w:rsidR="0052445B" w:rsidRPr="00D541E6">
        <w:rPr>
          <w:sz w:val="22"/>
          <w:szCs w:val="22"/>
        </w:rPr>
        <w:t>s that were applied in the development dataset</w:t>
      </w:r>
      <w:r w:rsidR="00344AC2" w:rsidRPr="00D541E6">
        <w:rPr>
          <w:sz w:val="22"/>
          <w:szCs w:val="22"/>
        </w:rPr>
        <w:t xml:space="preserve"> as </w:t>
      </w:r>
      <w:r w:rsidR="0052445B" w:rsidRPr="00D541E6">
        <w:rPr>
          <w:sz w:val="22"/>
          <w:szCs w:val="22"/>
        </w:rPr>
        <w:t>potentially biasing</w:t>
      </w:r>
      <w:r w:rsidR="00C47082" w:rsidRPr="00D541E6">
        <w:rPr>
          <w:sz w:val="22"/>
          <w:szCs w:val="22"/>
        </w:rPr>
        <w:t xml:space="preserve"> </w:t>
      </w:r>
      <w:r w:rsidR="00AE6B93" w:rsidRPr="00D541E6">
        <w:rPr>
          <w:sz w:val="22"/>
          <w:szCs w:val="22"/>
        </w:rPr>
        <w:t>(</w:t>
      </w:r>
      <w:r w:rsidR="00614A66" w:rsidRPr="00D541E6">
        <w:rPr>
          <w:i/>
          <w:sz w:val="22"/>
          <w:szCs w:val="22"/>
        </w:rPr>
        <w:t>un-treated</w:t>
      </w:r>
      <w:r w:rsidR="00AE6B93" w:rsidRPr="00D541E6">
        <w:rPr>
          <w:sz w:val="22"/>
          <w:szCs w:val="22"/>
        </w:rPr>
        <w:t>)</w:t>
      </w:r>
      <w:r w:rsidR="00CE02A9" w:rsidRPr="00D541E6">
        <w:rPr>
          <w:sz w:val="22"/>
          <w:szCs w:val="22"/>
        </w:rPr>
        <w:t xml:space="preserve"> </w:t>
      </w:r>
      <w:r w:rsidR="00C47082" w:rsidRPr="00D541E6">
        <w:rPr>
          <w:sz w:val="22"/>
          <w:szCs w:val="22"/>
        </w:rPr>
        <w:t>outcome prediction</w:t>
      </w:r>
      <w:r w:rsidR="005857AB" w:rsidRPr="00D541E6">
        <w:rPr>
          <w:sz w:val="22"/>
          <w:szCs w:val="22"/>
        </w:rPr>
        <w:t>, and the</w:t>
      </w:r>
      <w:r w:rsidR="0052445B" w:rsidRPr="00D541E6">
        <w:rPr>
          <w:sz w:val="22"/>
          <w:szCs w:val="22"/>
        </w:rPr>
        <w:t>refore</w:t>
      </w:r>
      <w:r w:rsidR="005857AB" w:rsidRPr="00D541E6">
        <w:rPr>
          <w:sz w:val="22"/>
          <w:szCs w:val="22"/>
        </w:rPr>
        <w:t xml:space="preserve"> </w:t>
      </w:r>
      <w:r w:rsidR="00966A11" w:rsidRPr="00D541E6">
        <w:rPr>
          <w:sz w:val="22"/>
          <w:szCs w:val="22"/>
        </w:rPr>
        <w:t>adjusting treatment</w:t>
      </w:r>
      <w:r w:rsidR="0052445B" w:rsidRPr="00D541E6">
        <w:rPr>
          <w:sz w:val="22"/>
          <w:szCs w:val="22"/>
        </w:rPr>
        <w:t xml:space="preserve"> for</w:t>
      </w:r>
      <w:r w:rsidR="00966A11" w:rsidRPr="00D541E6">
        <w:rPr>
          <w:sz w:val="22"/>
          <w:szCs w:val="22"/>
        </w:rPr>
        <w:t xml:space="preserve"> effects </w:t>
      </w:r>
      <w:r w:rsidRPr="00D541E6">
        <w:rPr>
          <w:sz w:val="22"/>
          <w:szCs w:val="22"/>
        </w:rPr>
        <w:t>i</w:t>
      </w:r>
      <w:r w:rsidR="00932CA4" w:rsidRPr="00D541E6">
        <w:rPr>
          <w:sz w:val="22"/>
          <w:szCs w:val="22"/>
        </w:rPr>
        <w:t>n the treated individuals</w:t>
      </w:r>
      <w:r w:rsidR="00D312F9" w:rsidRPr="00D541E6">
        <w:rPr>
          <w:sz w:val="22"/>
          <w:szCs w:val="22"/>
        </w:rPr>
        <w:t xml:space="preserve">. This is </w:t>
      </w:r>
      <w:r w:rsidR="001066E8" w:rsidRPr="00D541E6">
        <w:rPr>
          <w:sz w:val="22"/>
          <w:szCs w:val="22"/>
        </w:rPr>
        <w:t>termed</w:t>
      </w:r>
      <w:r w:rsidR="00AD547C" w:rsidRPr="00D541E6">
        <w:rPr>
          <w:sz w:val="22"/>
          <w:szCs w:val="22"/>
        </w:rPr>
        <w:t xml:space="preserve"> </w:t>
      </w:r>
      <w:r w:rsidR="00D312F9" w:rsidRPr="00D541E6">
        <w:rPr>
          <w:sz w:val="22"/>
          <w:szCs w:val="22"/>
        </w:rPr>
        <w:t xml:space="preserve">as </w:t>
      </w:r>
      <w:r w:rsidR="00AD547C" w:rsidRPr="00D541E6">
        <w:rPr>
          <w:sz w:val="22"/>
          <w:szCs w:val="22"/>
        </w:rPr>
        <w:t xml:space="preserve">‘passive prediction’ in </w:t>
      </w:r>
      <w:r w:rsidR="005C0828" w:rsidRPr="00D541E6">
        <w:rPr>
          <w:sz w:val="22"/>
          <w:szCs w:val="22"/>
        </w:rPr>
        <w:fldChar w:fldCharType="begin" w:fldLock="1"/>
      </w:r>
      <w:r w:rsidR="009B218D" w:rsidRPr="00D541E6">
        <w:rPr>
          <w:sz w:val="22"/>
          <w:szCs w:val="22"/>
        </w:rPr>
        <w:instrText>ADDIN CSL_CITATION {"citationItems":[{"id":"ITEM-1","itemData":{"DOI":"10.1002/9781119945710.ch5","author":[{"dropping-particle":"","family":"Greenland","given":"Sander","non-dropping-particle":"","parse-names":false,"suffix":""}],"container-title":"Causality: Wiley Series in Probability and Statistics","id":"ITEM-1","issued":{"date-parts":[["2012","6","25"]]},"page":"43-58","publisher":"Wiley Blackwell","title":"Causal Inference as a Prediction Problem: Assumptions, Identification and Evidence Synthesis","type":"chapter"},"uris":["http://www.mendeley.com/documents/?uuid=4e994e07-bc55-304f-bc41-02e08102bfe3"]}],"mendeley":{"formattedCitation":"(Greenland, 2012)","plainTextFormattedCitation":"(Greenland, 2012)","previouslyFormattedCitation":"(Greenland, 2012)"},"properties":{"noteIndex":0},"schema":"https://github.com/citation-style-language/schema/raw/master/csl-citation.json"}</w:instrText>
      </w:r>
      <w:r w:rsidR="005C0828" w:rsidRPr="00D541E6">
        <w:rPr>
          <w:sz w:val="22"/>
          <w:szCs w:val="22"/>
        </w:rPr>
        <w:fldChar w:fldCharType="separate"/>
      </w:r>
      <w:r w:rsidR="005C0828" w:rsidRPr="00D541E6">
        <w:rPr>
          <w:noProof/>
          <w:sz w:val="22"/>
          <w:szCs w:val="22"/>
        </w:rPr>
        <w:t>(Greenland, 2012)</w:t>
      </w:r>
      <w:r w:rsidR="005C0828" w:rsidRPr="00D541E6">
        <w:rPr>
          <w:sz w:val="22"/>
          <w:szCs w:val="22"/>
        </w:rPr>
        <w:fldChar w:fldCharType="end"/>
      </w:r>
      <w:r w:rsidR="005C0828" w:rsidRPr="00D541E6">
        <w:rPr>
          <w:sz w:val="22"/>
          <w:szCs w:val="22"/>
        </w:rPr>
        <w:t xml:space="preserve"> </w:t>
      </w:r>
      <w:r w:rsidR="00043D51" w:rsidRPr="00D541E6">
        <w:rPr>
          <w:sz w:val="22"/>
          <w:szCs w:val="22"/>
        </w:rPr>
        <w:t xml:space="preserve">in which </w:t>
      </w:r>
      <w:r w:rsidR="00DB7DB1" w:rsidRPr="00D541E6">
        <w:rPr>
          <w:sz w:val="22"/>
          <w:szCs w:val="22"/>
        </w:rPr>
        <w:t xml:space="preserve">‘a </w:t>
      </w:r>
      <w:r w:rsidR="00D312F9" w:rsidRPr="00D541E6">
        <w:rPr>
          <w:sz w:val="22"/>
          <w:szCs w:val="22"/>
        </w:rPr>
        <w:t xml:space="preserve">treatment </w:t>
      </w:r>
      <w:r w:rsidR="00DB7DB1" w:rsidRPr="00D541E6">
        <w:rPr>
          <w:sz w:val="22"/>
          <w:szCs w:val="22"/>
        </w:rPr>
        <w:t>is only specially labelled regressor that lacks any formal distinction from other regressors’</w:t>
      </w:r>
      <w:r w:rsidR="0082118B" w:rsidRPr="00D541E6">
        <w:rPr>
          <w:sz w:val="22"/>
          <w:szCs w:val="22"/>
        </w:rPr>
        <w:t>.</w:t>
      </w:r>
    </w:p>
    <w:p w14:paraId="1400DE48" w14:textId="10B61BD3" w:rsidR="00B464F5" w:rsidRPr="00D541E6" w:rsidRDefault="00A377C5" w:rsidP="00722C32">
      <w:pPr>
        <w:keepNext/>
        <w:keepLines/>
        <w:spacing w:before="40" w:line="276" w:lineRule="auto"/>
        <w:outlineLvl w:val="2"/>
        <w:rPr>
          <w:sz w:val="22"/>
          <w:szCs w:val="22"/>
        </w:rPr>
      </w:pPr>
      <w:r w:rsidRPr="00D541E6">
        <w:rPr>
          <w:sz w:val="22"/>
          <w:szCs w:val="22"/>
        </w:rPr>
        <w:t>In contrast</w:t>
      </w:r>
      <w:r w:rsidR="00932CA4" w:rsidRPr="00D541E6">
        <w:rPr>
          <w:sz w:val="22"/>
          <w:szCs w:val="22"/>
        </w:rPr>
        <w:t>, w</w:t>
      </w:r>
      <w:r w:rsidR="0077429D" w:rsidRPr="00D541E6">
        <w:rPr>
          <w:sz w:val="22"/>
          <w:szCs w:val="22"/>
        </w:rPr>
        <w:t xml:space="preserve">e are interested in </w:t>
      </w:r>
      <w:r w:rsidR="00776581" w:rsidRPr="00D541E6">
        <w:rPr>
          <w:sz w:val="22"/>
          <w:szCs w:val="22"/>
        </w:rPr>
        <w:t>embedding predictive model</w:t>
      </w:r>
      <w:r w:rsidRPr="00D541E6">
        <w:rPr>
          <w:sz w:val="22"/>
          <w:szCs w:val="22"/>
        </w:rPr>
        <w:t>s</w:t>
      </w:r>
      <w:r w:rsidR="00776581" w:rsidRPr="00D541E6">
        <w:rPr>
          <w:sz w:val="22"/>
          <w:szCs w:val="22"/>
        </w:rPr>
        <w:t xml:space="preserve"> in </w:t>
      </w:r>
      <w:r w:rsidR="00D171CA" w:rsidRPr="00D541E6">
        <w:rPr>
          <w:sz w:val="22"/>
          <w:szCs w:val="22"/>
        </w:rPr>
        <w:t xml:space="preserve">a </w:t>
      </w:r>
      <w:r w:rsidR="00776581" w:rsidRPr="00D541E6">
        <w:rPr>
          <w:sz w:val="22"/>
          <w:szCs w:val="22"/>
        </w:rPr>
        <w:t>counterfactual framework</w:t>
      </w:r>
      <w:r w:rsidRPr="00D541E6">
        <w:rPr>
          <w:sz w:val="22"/>
          <w:szCs w:val="22"/>
        </w:rPr>
        <w:t xml:space="preserve"> -- </w:t>
      </w:r>
      <w:r w:rsidR="0077429D" w:rsidRPr="00D541E6">
        <w:rPr>
          <w:sz w:val="22"/>
          <w:szCs w:val="22"/>
        </w:rPr>
        <w:t xml:space="preserve">models </w:t>
      </w:r>
      <w:r w:rsidRPr="00D541E6">
        <w:rPr>
          <w:sz w:val="22"/>
          <w:szCs w:val="22"/>
        </w:rPr>
        <w:t xml:space="preserve">that </w:t>
      </w:r>
      <w:r w:rsidR="00805182" w:rsidRPr="00D541E6">
        <w:rPr>
          <w:sz w:val="22"/>
          <w:szCs w:val="22"/>
        </w:rPr>
        <w:t>enable</w:t>
      </w:r>
      <w:r w:rsidR="00512B41" w:rsidRPr="00D541E6">
        <w:rPr>
          <w:sz w:val="22"/>
          <w:szCs w:val="22"/>
        </w:rPr>
        <w:t xml:space="preserve"> predict</w:t>
      </w:r>
      <w:r w:rsidR="00805182" w:rsidRPr="00D541E6">
        <w:rPr>
          <w:sz w:val="22"/>
          <w:szCs w:val="22"/>
        </w:rPr>
        <w:t>ing</w:t>
      </w:r>
      <w:r w:rsidR="00512B41" w:rsidRPr="00D541E6">
        <w:rPr>
          <w:sz w:val="22"/>
          <w:szCs w:val="22"/>
        </w:rPr>
        <w:t xml:space="preserve"> the </w:t>
      </w:r>
      <w:r w:rsidR="00512B41" w:rsidRPr="00D541E6">
        <w:rPr>
          <w:sz w:val="22"/>
          <w:szCs w:val="22"/>
          <w:lang w:eastAsia="zh-CN"/>
        </w:rPr>
        <w:t xml:space="preserve">potential outcome of </w:t>
      </w:r>
      <w:r w:rsidR="00D8062A" w:rsidRPr="00D541E6">
        <w:rPr>
          <w:sz w:val="22"/>
          <w:szCs w:val="22"/>
          <w:lang w:eastAsia="zh-CN"/>
        </w:rPr>
        <w:t>intervention</w:t>
      </w:r>
      <w:r w:rsidR="00512B41" w:rsidRPr="00D541E6">
        <w:rPr>
          <w:sz w:val="22"/>
          <w:szCs w:val="22"/>
          <w:lang w:eastAsia="zh-CN"/>
        </w:rPr>
        <w:t xml:space="preserve">. </w:t>
      </w:r>
      <w:r w:rsidR="00D01C71" w:rsidRPr="00D541E6">
        <w:rPr>
          <w:sz w:val="22"/>
          <w:szCs w:val="22"/>
        </w:rPr>
        <w:t xml:space="preserve">We want to address questions </w:t>
      </w:r>
      <w:r w:rsidR="00DF48E2" w:rsidRPr="00D541E6">
        <w:rPr>
          <w:sz w:val="22"/>
          <w:szCs w:val="22"/>
        </w:rPr>
        <w:t xml:space="preserve">such as “what would a patient’s risk of </w:t>
      </w:r>
      <w:r w:rsidR="00417C21" w:rsidRPr="00D541E6">
        <w:rPr>
          <w:sz w:val="22"/>
          <w:szCs w:val="22"/>
        </w:rPr>
        <w:t>having</w:t>
      </w:r>
      <w:r w:rsidR="00DF48E2" w:rsidRPr="00D541E6">
        <w:rPr>
          <w:sz w:val="22"/>
          <w:szCs w:val="22"/>
        </w:rPr>
        <w:t xml:space="preserve"> </w:t>
      </w:r>
      <w:r w:rsidR="00512B41" w:rsidRPr="00D541E6">
        <w:rPr>
          <w:sz w:val="22"/>
          <w:szCs w:val="22"/>
        </w:rPr>
        <w:t xml:space="preserve">heart attack in 10 </w:t>
      </w:r>
      <w:r w:rsidR="003735C4" w:rsidRPr="00D541E6">
        <w:rPr>
          <w:sz w:val="22"/>
          <w:szCs w:val="22"/>
        </w:rPr>
        <w:t>years’ time</w:t>
      </w:r>
      <w:r w:rsidR="006C770D" w:rsidRPr="00D541E6">
        <w:rPr>
          <w:sz w:val="22"/>
          <w:szCs w:val="22"/>
        </w:rPr>
        <w:t xml:space="preserve"> </w:t>
      </w:r>
      <w:r w:rsidR="00010E90" w:rsidRPr="00D541E6">
        <w:rPr>
          <w:sz w:val="22"/>
          <w:szCs w:val="22"/>
        </w:rPr>
        <w:t>be</w:t>
      </w:r>
      <w:r w:rsidR="00AE5D49" w:rsidRPr="00D541E6">
        <w:rPr>
          <w:sz w:val="22"/>
          <w:szCs w:val="22"/>
        </w:rPr>
        <w:t xml:space="preserve"> if </w:t>
      </w:r>
      <w:r w:rsidR="00DF48E2" w:rsidRPr="00D541E6">
        <w:rPr>
          <w:sz w:val="22"/>
          <w:szCs w:val="22"/>
        </w:rPr>
        <w:t xml:space="preserve">he </w:t>
      </w:r>
      <w:r w:rsidR="00010E90" w:rsidRPr="00D541E6">
        <w:rPr>
          <w:sz w:val="22"/>
          <w:szCs w:val="22"/>
        </w:rPr>
        <w:t>did</w:t>
      </w:r>
      <w:r w:rsidR="006C770D" w:rsidRPr="00D541E6">
        <w:rPr>
          <w:sz w:val="22"/>
          <w:szCs w:val="22"/>
        </w:rPr>
        <w:t>/</w:t>
      </w:r>
      <w:r w:rsidR="00010E90" w:rsidRPr="00D541E6">
        <w:rPr>
          <w:sz w:val="22"/>
          <w:szCs w:val="22"/>
        </w:rPr>
        <w:t>did</w:t>
      </w:r>
      <w:r w:rsidR="006C770D" w:rsidRPr="00D541E6">
        <w:rPr>
          <w:sz w:val="22"/>
          <w:szCs w:val="22"/>
        </w:rPr>
        <w:t xml:space="preserve"> </w:t>
      </w:r>
      <w:r w:rsidR="00512B41" w:rsidRPr="00D541E6">
        <w:rPr>
          <w:sz w:val="22"/>
          <w:szCs w:val="22"/>
        </w:rPr>
        <w:t>not use</w:t>
      </w:r>
      <w:r w:rsidR="00DF48E2" w:rsidRPr="00D541E6">
        <w:rPr>
          <w:sz w:val="22"/>
          <w:szCs w:val="22"/>
        </w:rPr>
        <w:t xml:space="preserve"> statin</w:t>
      </w:r>
      <w:r w:rsidR="00DE63A1" w:rsidRPr="00D541E6">
        <w:rPr>
          <w:sz w:val="22"/>
          <w:szCs w:val="22"/>
        </w:rPr>
        <w:t>s</w:t>
      </w:r>
      <w:r w:rsidR="00DF48E2" w:rsidRPr="00D541E6">
        <w:rPr>
          <w:sz w:val="22"/>
          <w:szCs w:val="22"/>
        </w:rPr>
        <w:t>?</w:t>
      </w:r>
      <w:r w:rsidR="00932CA4" w:rsidRPr="00D541E6">
        <w:rPr>
          <w:sz w:val="22"/>
          <w:szCs w:val="22"/>
        </w:rPr>
        <w:t>”</w:t>
      </w:r>
      <w:r w:rsidR="00512B41" w:rsidRPr="00D541E6">
        <w:rPr>
          <w:sz w:val="22"/>
          <w:szCs w:val="22"/>
          <w:lang w:eastAsia="zh-CN"/>
        </w:rPr>
        <w:t xml:space="preserve"> </w:t>
      </w:r>
    </w:p>
    <w:p w14:paraId="699E59A8" w14:textId="71BB593C" w:rsidR="00B408B9" w:rsidRPr="00D541E6" w:rsidRDefault="00B464F5" w:rsidP="00722C32">
      <w:pPr>
        <w:keepNext/>
        <w:keepLines/>
        <w:spacing w:before="40" w:line="276" w:lineRule="auto"/>
        <w:outlineLvl w:val="2"/>
        <w:rPr>
          <w:sz w:val="22"/>
          <w:szCs w:val="22"/>
        </w:rPr>
      </w:pPr>
      <w:r w:rsidRPr="00D541E6">
        <w:rPr>
          <w:sz w:val="22"/>
          <w:szCs w:val="22"/>
        </w:rPr>
        <w:t xml:space="preserve">The objective of our review </w:t>
      </w:r>
      <w:r w:rsidR="004B6C84" w:rsidRPr="00D541E6">
        <w:rPr>
          <w:sz w:val="22"/>
          <w:szCs w:val="22"/>
        </w:rPr>
        <w:t xml:space="preserve">is twofold: firstly, </w:t>
      </w:r>
      <w:r w:rsidR="000F4DFB" w:rsidRPr="00D541E6">
        <w:rPr>
          <w:sz w:val="22"/>
          <w:szCs w:val="22"/>
        </w:rPr>
        <w:t>it will</w:t>
      </w:r>
      <w:r w:rsidR="004B6C84" w:rsidRPr="00D541E6">
        <w:rPr>
          <w:sz w:val="22"/>
          <w:szCs w:val="22"/>
        </w:rPr>
        <w:t xml:space="preserve"> seek </w:t>
      </w:r>
      <w:r w:rsidRPr="00D541E6">
        <w:rPr>
          <w:sz w:val="22"/>
          <w:szCs w:val="22"/>
        </w:rPr>
        <w:t xml:space="preserve">to summarise </w:t>
      </w:r>
      <w:r w:rsidR="004B6C84" w:rsidRPr="00D541E6">
        <w:rPr>
          <w:sz w:val="22"/>
          <w:szCs w:val="22"/>
        </w:rPr>
        <w:t xml:space="preserve">published </w:t>
      </w:r>
      <w:r w:rsidRPr="00D541E6">
        <w:rPr>
          <w:sz w:val="22"/>
          <w:szCs w:val="22"/>
        </w:rPr>
        <w:t xml:space="preserve">state-of-the-art </w:t>
      </w:r>
      <w:r w:rsidR="00C641E8" w:rsidRPr="00D541E6">
        <w:rPr>
          <w:sz w:val="22"/>
          <w:szCs w:val="22"/>
        </w:rPr>
        <w:t>in developing counterfactual predictive models</w:t>
      </w:r>
      <w:r w:rsidR="004B6C84" w:rsidRPr="00D541E6">
        <w:rPr>
          <w:sz w:val="22"/>
          <w:szCs w:val="22"/>
        </w:rPr>
        <w:t xml:space="preserve">; secondly, </w:t>
      </w:r>
      <w:r w:rsidR="000F4DFB" w:rsidRPr="00D541E6">
        <w:rPr>
          <w:sz w:val="22"/>
          <w:szCs w:val="22"/>
        </w:rPr>
        <w:t>it will id</w:t>
      </w:r>
      <w:r w:rsidR="004B6C84" w:rsidRPr="00D541E6">
        <w:rPr>
          <w:sz w:val="22"/>
          <w:szCs w:val="22"/>
        </w:rPr>
        <w:t>entify potential avenues for future methodological research in this</w:t>
      </w:r>
      <w:r w:rsidR="00C87C9C" w:rsidRPr="00D541E6">
        <w:rPr>
          <w:sz w:val="22"/>
          <w:szCs w:val="22"/>
        </w:rPr>
        <w:t xml:space="preserve"> </w:t>
      </w:r>
      <w:r w:rsidR="004B6C84" w:rsidRPr="00D541E6">
        <w:rPr>
          <w:sz w:val="22"/>
          <w:szCs w:val="22"/>
        </w:rPr>
        <w:t>area</w:t>
      </w:r>
      <w:r w:rsidR="007C3102" w:rsidRPr="00D541E6">
        <w:rPr>
          <w:sz w:val="22"/>
          <w:szCs w:val="22"/>
        </w:rPr>
        <w:t>.</w:t>
      </w:r>
      <w:r w:rsidRPr="00D541E6">
        <w:rPr>
          <w:sz w:val="22"/>
          <w:szCs w:val="22"/>
        </w:rPr>
        <w:t xml:space="preserve"> </w:t>
      </w:r>
      <w:r w:rsidR="000F4DFB" w:rsidRPr="00D541E6">
        <w:rPr>
          <w:sz w:val="22"/>
          <w:szCs w:val="22"/>
        </w:rPr>
        <w:t>W</w:t>
      </w:r>
      <w:r w:rsidRPr="00D541E6">
        <w:rPr>
          <w:sz w:val="22"/>
          <w:szCs w:val="22"/>
        </w:rPr>
        <w:t>e want to clarify assumptions made for each of these methods, report</w:t>
      </w:r>
      <w:r w:rsidR="00F84BA6" w:rsidRPr="00D541E6">
        <w:rPr>
          <w:sz w:val="22"/>
          <w:szCs w:val="22"/>
        </w:rPr>
        <w:t xml:space="preserve"> modelling framework, usage</w:t>
      </w:r>
      <w:r w:rsidR="00A12299" w:rsidRPr="00D541E6">
        <w:rPr>
          <w:sz w:val="22"/>
          <w:szCs w:val="22"/>
        </w:rPr>
        <w:t>,</w:t>
      </w:r>
      <w:r w:rsidR="00F84BA6" w:rsidRPr="00D541E6">
        <w:rPr>
          <w:sz w:val="22"/>
          <w:szCs w:val="22"/>
        </w:rPr>
        <w:t xml:space="preserve"> </w:t>
      </w:r>
      <w:r w:rsidRPr="00D541E6">
        <w:rPr>
          <w:sz w:val="22"/>
          <w:szCs w:val="22"/>
        </w:rPr>
        <w:t>limitations</w:t>
      </w:r>
      <w:r w:rsidR="00A12299" w:rsidRPr="00D541E6">
        <w:rPr>
          <w:sz w:val="22"/>
          <w:szCs w:val="22"/>
        </w:rPr>
        <w:t>, and available software</w:t>
      </w:r>
      <w:r w:rsidR="0084635A" w:rsidRPr="00D541E6">
        <w:rPr>
          <w:sz w:val="22"/>
          <w:szCs w:val="22"/>
        </w:rPr>
        <w:t>/packages</w:t>
      </w:r>
      <w:r w:rsidR="00A12299" w:rsidRPr="00D541E6">
        <w:rPr>
          <w:sz w:val="22"/>
          <w:szCs w:val="22"/>
        </w:rPr>
        <w:t xml:space="preserve">, </w:t>
      </w:r>
      <w:r w:rsidRPr="00D541E6">
        <w:rPr>
          <w:sz w:val="22"/>
          <w:szCs w:val="22"/>
        </w:rPr>
        <w:t xml:space="preserve">and make recommendations for future research. Our target audience are </w:t>
      </w:r>
      <w:r w:rsidR="00612083" w:rsidRPr="00D541E6">
        <w:rPr>
          <w:sz w:val="22"/>
          <w:szCs w:val="22"/>
        </w:rPr>
        <w:t xml:space="preserve">both theoretical researchers and </w:t>
      </w:r>
      <w:r w:rsidRPr="00D541E6">
        <w:rPr>
          <w:sz w:val="22"/>
          <w:szCs w:val="22"/>
        </w:rPr>
        <w:t>applied statisticians working in clinical healthcare</w:t>
      </w:r>
      <w:r w:rsidR="00EA4243" w:rsidRPr="00D541E6">
        <w:rPr>
          <w:sz w:val="22"/>
          <w:szCs w:val="22"/>
        </w:rPr>
        <w:t xml:space="preserve">. </w:t>
      </w:r>
      <w:r w:rsidR="006473B9" w:rsidRPr="00D541E6">
        <w:rPr>
          <w:sz w:val="22"/>
          <w:szCs w:val="22"/>
        </w:rPr>
        <w:t xml:space="preserve">We aimed to identify published methods for developing and validating prediction models that enable risk estimation of outcomes under hypothetical interventions, utilizing causal inference. We aimed to identify the main methodological approaches, their underlying assumptions, targeted estimands, </w:t>
      </w:r>
      <w:r w:rsidR="0059582C" w:rsidRPr="0059582C">
        <w:rPr>
          <w:sz w:val="22"/>
          <w:szCs w:val="22"/>
        </w:rPr>
        <w:t>and potential pitfalls and challenges with using the method</w:t>
      </w:r>
      <w:r w:rsidR="0059582C">
        <w:rPr>
          <w:sz w:val="22"/>
          <w:szCs w:val="22"/>
        </w:rPr>
        <w:t xml:space="preserve">. </w:t>
      </w:r>
      <w:r w:rsidR="006473B9" w:rsidRPr="00D541E6">
        <w:rPr>
          <w:sz w:val="22"/>
          <w:szCs w:val="22"/>
        </w:rPr>
        <w:t>Finally, we aimed to highlight unresolved methodological challenges.</w:t>
      </w:r>
    </w:p>
    <w:p w14:paraId="10500A0D" w14:textId="20C15C66" w:rsidR="0057470E" w:rsidRPr="00D541E6" w:rsidRDefault="0057470E" w:rsidP="00EC5E97">
      <w:pPr>
        <w:rPr>
          <w:rFonts w:asciiTheme="majorHAnsi" w:eastAsiaTheme="majorEastAsia" w:hAnsiTheme="majorHAnsi" w:cstheme="majorBidi"/>
          <w:color w:val="365F91" w:themeColor="accent1" w:themeShade="BF"/>
          <w:sz w:val="22"/>
          <w:szCs w:val="22"/>
        </w:rPr>
      </w:pPr>
    </w:p>
    <w:p w14:paraId="633A4DDB" w14:textId="505F0F76" w:rsidR="00256718" w:rsidRPr="00D541E6" w:rsidRDefault="00941405" w:rsidP="00625E1C">
      <w:pPr>
        <w:pStyle w:val="Heading2"/>
        <w:spacing w:line="276" w:lineRule="auto"/>
      </w:pPr>
      <w:r w:rsidRPr="00D541E6">
        <w:rPr>
          <w:b/>
        </w:rPr>
        <w:lastRenderedPageBreak/>
        <w:t>Methodology</w:t>
      </w:r>
    </w:p>
    <w:p w14:paraId="186D3D38" w14:textId="57BED7BB" w:rsidR="00966EF6" w:rsidRPr="00D541E6" w:rsidRDefault="00966EF6" w:rsidP="00625E1C">
      <w:pPr>
        <w:pStyle w:val="Heading2"/>
        <w:spacing w:line="276" w:lineRule="auto"/>
        <w:ind w:left="720" w:hanging="720"/>
        <w:rPr>
          <w:i/>
        </w:rPr>
      </w:pPr>
      <w:r w:rsidRPr="00D541E6">
        <w:rPr>
          <w:i/>
        </w:rPr>
        <w:t>A known set of articles</w:t>
      </w:r>
      <w:r w:rsidR="005254D2" w:rsidRPr="00D541E6">
        <w:rPr>
          <w:i/>
        </w:rPr>
        <w:t xml:space="preserve"> prior to conducting the </w:t>
      </w:r>
      <w:r w:rsidR="007D2CBF" w:rsidRPr="00D541E6">
        <w:rPr>
          <w:i/>
        </w:rPr>
        <w:t xml:space="preserve">review </w:t>
      </w:r>
      <w:r w:rsidR="00713E18" w:rsidRPr="00D541E6">
        <w:rPr>
          <w:i/>
        </w:rPr>
        <w:t>search</w:t>
      </w:r>
    </w:p>
    <w:p w14:paraId="31D23DC0" w14:textId="51B30C72" w:rsidR="00966EF6" w:rsidRPr="00D541E6" w:rsidRDefault="00FD6B2D" w:rsidP="00625E1C">
      <w:pPr>
        <w:spacing w:line="276" w:lineRule="auto"/>
        <w:rPr>
          <w:sz w:val="22"/>
          <w:szCs w:val="22"/>
        </w:rPr>
      </w:pPr>
      <w:r w:rsidRPr="00D541E6">
        <w:rPr>
          <w:sz w:val="22"/>
          <w:szCs w:val="22"/>
        </w:rPr>
        <w:t xml:space="preserve">The research team is already aware of a set of published work </w:t>
      </w:r>
      <w:r w:rsidR="00C861C7" w:rsidRPr="00D541E6">
        <w:rPr>
          <w:sz w:val="22"/>
          <w:szCs w:val="22"/>
        </w:rPr>
        <w:t>related to</w:t>
      </w:r>
      <w:r w:rsidR="00D171CA" w:rsidRPr="00D541E6">
        <w:rPr>
          <w:sz w:val="22"/>
          <w:szCs w:val="22"/>
        </w:rPr>
        <w:t xml:space="preserve"> the</w:t>
      </w:r>
      <w:r w:rsidR="00C861C7" w:rsidRPr="00D541E6">
        <w:rPr>
          <w:sz w:val="22"/>
          <w:szCs w:val="22"/>
        </w:rPr>
        <w:t xml:space="preserve"> topic</w:t>
      </w:r>
      <w:r w:rsidRPr="00D541E6">
        <w:rPr>
          <w:sz w:val="22"/>
          <w:szCs w:val="22"/>
        </w:rPr>
        <w:t>. We group these</w:t>
      </w:r>
      <w:r w:rsidR="00E638C7" w:rsidRPr="00D541E6">
        <w:rPr>
          <w:sz w:val="22"/>
          <w:szCs w:val="22"/>
        </w:rPr>
        <w:t xml:space="preserve"> articles in </w:t>
      </w:r>
      <w:r w:rsidR="004B0A9B" w:rsidRPr="00D541E6">
        <w:rPr>
          <w:sz w:val="22"/>
          <w:szCs w:val="22"/>
        </w:rPr>
        <w:t>three</w:t>
      </w:r>
      <w:r w:rsidR="00E638C7" w:rsidRPr="00D541E6">
        <w:rPr>
          <w:sz w:val="22"/>
          <w:szCs w:val="22"/>
        </w:rPr>
        <w:t xml:space="preserve"> categories</w:t>
      </w:r>
      <w:r w:rsidR="00C67E1C" w:rsidRPr="00D541E6">
        <w:rPr>
          <w:sz w:val="22"/>
          <w:szCs w:val="22"/>
        </w:rPr>
        <w:t xml:space="preserve"> as in the following</w:t>
      </w:r>
      <w:r w:rsidR="00E638C7" w:rsidRPr="00D541E6">
        <w:rPr>
          <w:sz w:val="22"/>
          <w:szCs w:val="22"/>
        </w:rPr>
        <w:t xml:space="preserve">. </w:t>
      </w:r>
      <w:r w:rsidR="00710837" w:rsidRPr="00D541E6">
        <w:rPr>
          <w:sz w:val="22"/>
          <w:szCs w:val="22"/>
        </w:rPr>
        <w:t>Group</w:t>
      </w:r>
      <w:r w:rsidR="00650849" w:rsidRPr="00D541E6">
        <w:rPr>
          <w:sz w:val="22"/>
          <w:szCs w:val="22"/>
        </w:rPr>
        <w:t>s</w:t>
      </w:r>
      <w:r w:rsidR="00710837" w:rsidRPr="00D541E6">
        <w:rPr>
          <w:sz w:val="22"/>
          <w:szCs w:val="22"/>
        </w:rPr>
        <w:t xml:space="preserve"> A</w:t>
      </w:r>
      <w:r w:rsidR="00650849" w:rsidRPr="00D541E6">
        <w:rPr>
          <w:sz w:val="22"/>
          <w:szCs w:val="22"/>
        </w:rPr>
        <w:t xml:space="preserve"> and B</w:t>
      </w:r>
      <w:r w:rsidR="00710837" w:rsidRPr="00D541E6">
        <w:rPr>
          <w:sz w:val="22"/>
          <w:szCs w:val="22"/>
        </w:rPr>
        <w:t xml:space="preserve"> </w:t>
      </w:r>
      <w:r w:rsidR="00E563BE" w:rsidRPr="00D541E6">
        <w:rPr>
          <w:sz w:val="22"/>
          <w:szCs w:val="22"/>
        </w:rPr>
        <w:t>do not</w:t>
      </w:r>
      <w:r w:rsidR="00650849" w:rsidRPr="00D541E6">
        <w:rPr>
          <w:sz w:val="22"/>
          <w:szCs w:val="22"/>
        </w:rPr>
        <w:t xml:space="preserve"> </w:t>
      </w:r>
      <w:r w:rsidR="00F773F2" w:rsidRPr="00D541E6">
        <w:rPr>
          <w:sz w:val="22"/>
          <w:szCs w:val="22"/>
        </w:rPr>
        <w:t>offer</w:t>
      </w:r>
      <w:r w:rsidR="00650849" w:rsidRPr="00D541E6">
        <w:rPr>
          <w:sz w:val="22"/>
          <w:szCs w:val="22"/>
        </w:rPr>
        <w:t xml:space="preserve"> method</w:t>
      </w:r>
      <w:r w:rsidR="00F773F2" w:rsidRPr="00D541E6">
        <w:rPr>
          <w:sz w:val="22"/>
          <w:szCs w:val="22"/>
        </w:rPr>
        <w:t>ologies</w:t>
      </w:r>
      <w:r w:rsidR="00650849" w:rsidRPr="00D541E6">
        <w:rPr>
          <w:sz w:val="22"/>
          <w:szCs w:val="22"/>
        </w:rPr>
        <w:t xml:space="preserve"> </w:t>
      </w:r>
      <w:r w:rsidR="00911DA2" w:rsidRPr="00D541E6">
        <w:rPr>
          <w:sz w:val="22"/>
          <w:szCs w:val="22"/>
        </w:rPr>
        <w:t xml:space="preserve">that </w:t>
      </w:r>
      <w:r w:rsidR="00650849" w:rsidRPr="00D541E6">
        <w:rPr>
          <w:sz w:val="22"/>
          <w:szCs w:val="22"/>
        </w:rPr>
        <w:t xml:space="preserve">we will be reviewing but </w:t>
      </w:r>
      <w:r w:rsidR="003E0CF3" w:rsidRPr="00D541E6">
        <w:rPr>
          <w:sz w:val="22"/>
          <w:szCs w:val="22"/>
        </w:rPr>
        <w:t xml:space="preserve">include </w:t>
      </w:r>
      <w:r w:rsidR="00650849" w:rsidRPr="00D541E6">
        <w:rPr>
          <w:sz w:val="22"/>
          <w:szCs w:val="22"/>
        </w:rPr>
        <w:t>general informati</w:t>
      </w:r>
      <w:r w:rsidR="005D2F60" w:rsidRPr="00D541E6">
        <w:rPr>
          <w:sz w:val="22"/>
          <w:szCs w:val="22"/>
        </w:rPr>
        <w:t xml:space="preserve">on </w:t>
      </w:r>
      <w:r w:rsidR="00F2231C" w:rsidRPr="00D541E6">
        <w:rPr>
          <w:sz w:val="22"/>
          <w:szCs w:val="22"/>
        </w:rPr>
        <w:t xml:space="preserve">to understand </w:t>
      </w:r>
      <w:r w:rsidR="005D2F60" w:rsidRPr="00D541E6">
        <w:rPr>
          <w:sz w:val="22"/>
          <w:szCs w:val="22"/>
        </w:rPr>
        <w:t xml:space="preserve">and </w:t>
      </w:r>
      <w:r w:rsidR="00350685" w:rsidRPr="00D541E6">
        <w:rPr>
          <w:sz w:val="22"/>
          <w:szCs w:val="22"/>
        </w:rPr>
        <w:t xml:space="preserve">provide </w:t>
      </w:r>
      <w:r w:rsidR="005D2F60" w:rsidRPr="00D541E6">
        <w:rPr>
          <w:sz w:val="22"/>
          <w:szCs w:val="22"/>
        </w:rPr>
        <w:t>insights into this topic</w:t>
      </w:r>
      <w:r w:rsidR="009A11F4" w:rsidRPr="00D541E6">
        <w:rPr>
          <w:sz w:val="22"/>
          <w:szCs w:val="22"/>
        </w:rPr>
        <w:t>. These papers</w:t>
      </w:r>
      <w:r w:rsidR="005D2F60" w:rsidRPr="00D541E6">
        <w:rPr>
          <w:sz w:val="22"/>
          <w:szCs w:val="22"/>
        </w:rPr>
        <w:t xml:space="preserve"> help</w:t>
      </w:r>
      <w:r w:rsidR="000E6368" w:rsidRPr="00D541E6">
        <w:rPr>
          <w:sz w:val="22"/>
          <w:szCs w:val="22"/>
        </w:rPr>
        <w:t>ed</w:t>
      </w:r>
      <w:r w:rsidR="005D2F60" w:rsidRPr="00D541E6">
        <w:rPr>
          <w:sz w:val="22"/>
          <w:szCs w:val="22"/>
        </w:rPr>
        <w:t xml:space="preserve"> </w:t>
      </w:r>
      <w:r w:rsidR="00F62BEC" w:rsidRPr="00D541E6">
        <w:rPr>
          <w:sz w:val="22"/>
          <w:szCs w:val="22"/>
        </w:rPr>
        <w:t xml:space="preserve">us </w:t>
      </w:r>
      <w:r w:rsidR="0083651C" w:rsidRPr="00D541E6">
        <w:rPr>
          <w:sz w:val="22"/>
          <w:szCs w:val="22"/>
        </w:rPr>
        <w:t xml:space="preserve">define </w:t>
      </w:r>
      <w:r w:rsidR="00EA3DC2" w:rsidRPr="00D541E6">
        <w:rPr>
          <w:sz w:val="22"/>
          <w:szCs w:val="22"/>
        </w:rPr>
        <w:t xml:space="preserve">terms for </w:t>
      </w:r>
      <w:r w:rsidR="000E6368" w:rsidRPr="00D541E6">
        <w:rPr>
          <w:sz w:val="22"/>
          <w:szCs w:val="22"/>
        </w:rPr>
        <w:t xml:space="preserve">our </w:t>
      </w:r>
      <w:r w:rsidR="00EA3DC2" w:rsidRPr="00D541E6">
        <w:rPr>
          <w:sz w:val="22"/>
          <w:szCs w:val="22"/>
        </w:rPr>
        <w:t xml:space="preserve">search. </w:t>
      </w:r>
      <w:r w:rsidR="00EA3DC2" w:rsidRPr="00D541E6">
        <w:rPr>
          <w:b/>
          <w:sz w:val="22"/>
          <w:szCs w:val="22"/>
        </w:rPr>
        <w:t xml:space="preserve">Group </w:t>
      </w:r>
      <w:r w:rsidR="00F54499" w:rsidRPr="00D541E6">
        <w:rPr>
          <w:b/>
          <w:sz w:val="22"/>
          <w:szCs w:val="22"/>
        </w:rPr>
        <w:t xml:space="preserve">C (Validation Set) </w:t>
      </w:r>
      <w:r w:rsidR="00E81C37" w:rsidRPr="00D541E6">
        <w:rPr>
          <w:b/>
          <w:sz w:val="22"/>
          <w:szCs w:val="22"/>
        </w:rPr>
        <w:t>is a set of</w:t>
      </w:r>
      <w:r w:rsidR="0041127F" w:rsidRPr="00D541E6">
        <w:rPr>
          <w:b/>
          <w:sz w:val="22"/>
          <w:szCs w:val="22"/>
        </w:rPr>
        <w:t xml:space="preserve"> recent papers</w:t>
      </w:r>
      <w:r w:rsidR="00A81C98" w:rsidRPr="00D541E6">
        <w:rPr>
          <w:b/>
          <w:sz w:val="22"/>
          <w:szCs w:val="22"/>
        </w:rPr>
        <w:t xml:space="preserve"> that</w:t>
      </w:r>
      <w:r w:rsidR="0041127F" w:rsidRPr="00D541E6">
        <w:rPr>
          <w:b/>
          <w:sz w:val="22"/>
          <w:szCs w:val="22"/>
        </w:rPr>
        <w:t xml:space="preserve"> </w:t>
      </w:r>
      <w:r w:rsidR="00EA3DC2" w:rsidRPr="00D541E6">
        <w:rPr>
          <w:b/>
          <w:sz w:val="22"/>
          <w:szCs w:val="22"/>
        </w:rPr>
        <w:t xml:space="preserve">directly </w:t>
      </w:r>
      <w:r w:rsidR="00A81C98" w:rsidRPr="00D541E6">
        <w:rPr>
          <w:b/>
          <w:sz w:val="22"/>
          <w:szCs w:val="22"/>
        </w:rPr>
        <w:t>address</w:t>
      </w:r>
      <w:r w:rsidR="002A64D4" w:rsidRPr="00D541E6">
        <w:rPr>
          <w:b/>
          <w:sz w:val="22"/>
          <w:szCs w:val="22"/>
        </w:rPr>
        <w:t xml:space="preserve"> the </w:t>
      </w:r>
      <w:r w:rsidR="00575933" w:rsidRPr="00D541E6">
        <w:rPr>
          <w:b/>
          <w:sz w:val="22"/>
          <w:szCs w:val="22"/>
        </w:rPr>
        <w:t>issue</w:t>
      </w:r>
      <w:r w:rsidR="00A81C98" w:rsidRPr="00D541E6">
        <w:rPr>
          <w:sz w:val="22"/>
          <w:szCs w:val="22"/>
        </w:rPr>
        <w:t xml:space="preserve">. These </w:t>
      </w:r>
      <w:r w:rsidR="007E7644" w:rsidRPr="00D541E6">
        <w:rPr>
          <w:sz w:val="22"/>
          <w:szCs w:val="22"/>
        </w:rPr>
        <w:t xml:space="preserve">papers </w:t>
      </w:r>
      <w:r w:rsidR="002A64D4" w:rsidRPr="00D541E6">
        <w:rPr>
          <w:sz w:val="22"/>
          <w:szCs w:val="22"/>
        </w:rPr>
        <w:t>will be used to test whether or not our defined search terms are capturing relevant articles</w:t>
      </w:r>
      <w:r w:rsidR="00914B63" w:rsidRPr="00D541E6">
        <w:rPr>
          <w:sz w:val="22"/>
          <w:szCs w:val="22"/>
        </w:rPr>
        <w:t>.</w:t>
      </w:r>
    </w:p>
    <w:p w14:paraId="1B957C8B" w14:textId="77777777" w:rsidR="00C811B6" w:rsidRPr="00D541E6" w:rsidRDefault="00C811B6" w:rsidP="00625E1C">
      <w:pPr>
        <w:rPr>
          <w:sz w:val="22"/>
          <w:szCs w:val="22"/>
        </w:rPr>
      </w:pPr>
    </w:p>
    <w:p w14:paraId="61084FC2" w14:textId="13862C33" w:rsidR="008E49BE" w:rsidRPr="00D541E6" w:rsidRDefault="007700E0" w:rsidP="00625E1C">
      <w:pPr>
        <w:pStyle w:val="ListParagraph"/>
        <w:numPr>
          <w:ilvl w:val="0"/>
          <w:numId w:val="12"/>
        </w:numPr>
        <w:rPr>
          <w:b/>
          <w:sz w:val="22"/>
          <w:szCs w:val="22"/>
        </w:rPr>
      </w:pPr>
      <w:r w:rsidRPr="00D541E6">
        <w:rPr>
          <w:b/>
          <w:sz w:val="22"/>
          <w:szCs w:val="22"/>
        </w:rPr>
        <w:t>R</w:t>
      </w:r>
      <w:r w:rsidR="00D35D52" w:rsidRPr="00D541E6">
        <w:rPr>
          <w:b/>
          <w:sz w:val="22"/>
          <w:szCs w:val="22"/>
        </w:rPr>
        <w:t>eview</w:t>
      </w:r>
      <w:r w:rsidR="002C1E8F" w:rsidRPr="00D541E6">
        <w:rPr>
          <w:b/>
          <w:sz w:val="22"/>
          <w:szCs w:val="22"/>
        </w:rPr>
        <w:t xml:space="preserve"> papers </w:t>
      </w:r>
      <w:r w:rsidR="00EC0988" w:rsidRPr="00D541E6">
        <w:rPr>
          <w:b/>
          <w:sz w:val="22"/>
          <w:szCs w:val="22"/>
        </w:rPr>
        <w:t xml:space="preserve">clarifying </w:t>
      </w:r>
      <w:r w:rsidR="00BE7A2A" w:rsidRPr="00D541E6">
        <w:rPr>
          <w:b/>
          <w:sz w:val="22"/>
          <w:szCs w:val="22"/>
        </w:rPr>
        <w:t xml:space="preserve">relevant </w:t>
      </w:r>
      <w:r w:rsidR="00EC0988" w:rsidRPr="00D541E6">
        <w:rPr>
          <w:b/>
          <w:sz w:val="22"/>
          <w:szCs w:val="22"/>
        </w:rPr>
        <w:t>conceptual and practical issues</w:t>
      </w:r>
      <w:r w:rsidR="002C1E8F" w:rsidRPr="00D541E6">
        <w:rPr>
          <w:b/>
          <w:sz w:val="22"/>
          <w:szCs w:val="22"/>
        </w:rPr>
        <w:t xml:space="preserve"> </w:t>
      </w:r>
    </w:p>
    <w:p w14:paraId="4AA2F4E4" w14:textId="77777777" w:rsidR="00755C3D" w:rsidRPr="00D541E6" w:rsidRDefault="00755C3D" w:rsidP="00625E1C">
      <w:pPr>
        <w:pStyle w:val="EndNoteBibliography"/>
        <w:ind w:left="720" w:hanging="720"/>
        <w:rPr>
          <w:rFonts w:ascii="Times" w:hAnsi="Times"/>
          <w:noProof/>
          <w:sz w:val="22"/>
          <w:szCs w:val="22"/>
          <w:lang w:val="en-GB"/>
        </w:rPr>
      </w:pPr>
    </w:p>
    <w:p w14:paraId="71AFB698" w14:textId="7AD7FDDB" w:rsidR="002F1EB4" w:rsidRPr="00D541E6" w:rsidRDefault="002F1EB4" w:rsidP="00625E1C">
      <w:pPr>
        <w:pStyle w:val="EndNoteBibliography"/>
        <w:ind w:left="1200" w:hanging="720"/>
        <w:rPr>
          <w:rFonts w:ascii="Times" w:hAnsi="Times"/>
          <w:noProof/>
          <w:sz w:val="22"/>
          <w:szCs w:val="22"/>
          <w:lang w:val="en-GB" w:eastAsia="zh-CN"/>
        </w:rPr>
      </w:pPr>
      <w:r w:rsidRPr="00D541E6">
        <w:rPr>
          <w:rFonts w:ascii="Times" w:hAnsi="Times"/>
          <w:noProof/>
          <w:sz w:val="22"/>
          <w:szCs w:val="22"/>
          <w:lang w:val="en-GB"/>
        </w:rPr>
        <w:t xml:space="preserve">Höfler, M. 2005. Causal inference based on counterfactuals. </w:t>
      </w:r>
      <w:r w:rsidRPr="00D541E6">
        <w:rPr>
          <w:rFonts w:ascii="Times" w:hAnsi="Times"/>
          <w:i/>
          <w:noProof/>
          <w:sz w:val="22"/>
          <w:szCs w:val="22"/>
          <w:lang w:val="en-GB"/>
        </w:rPr>
        <w:t>BMC Medical Research Methodology,</w:t>
      </w:r>
      <w:r w:rsidRPr="00D541E6">
        <w:rPr>
          <w:rFonts w:ascii="Times" w:hAnsi="Times"/>
          <w:noProof/>
          <w:sz w:val="22"/>
          <w:szCs w:val="22"/>
          <w:lang w:val="en-GB"/>
        </w:rPr>
        <w:t xml:space="preserve"> 5</w:t>
      </w:r>
      <w:r w:rsidRPr="00D541E6">
        <w:rPr>
          <w:rFonts w:ascii="Times" w:hAnsi="Times"/>
          <w:b/>
          <w:noProof/>
          <w:sz w:val="22"/>
          <w:szCs w:val="22"/>
          <w:lang w:val="en-GB"/>
        </w:rPr>
        <w:t>,</w:t>
      </w:r>
      <w:r w:rsidRPr="00D541E6">
        <w:rPr>
          <w:rFonts w:ascii="Times" w:hAnsi="Times"/>
          <w:noProof/>
          <w:sz w:val="22"/>
          <w:szCs w:val="22"/>
          <w:lang w:val="en-GB"/>
        </w:rPr>
        <w:t xml:space="preserve"> 28.</w:t>
      </w:r>
    </w:p>
    <w:p w14:paraId="10E4A569" w14:textId="6F6EEF05" w:rsidR="00816E7E" w:rsidRPr="00D541E6" w:rsidRDefault="00816E7E" w:rsidP="00625E1C">
      <w:pPr>
        <w:pStyle w:val="NormalWeb"/>
        <w:ind w:left="960" w:hanging="480"/>
        <w:rPr>
          <w:sz w:val="22"/>
          <w:szCs w:val="22"/>
        </w:rPr>
      </w:pPr>
      <w:r w:rsidRPr="00D541E6">
        <w:rPr>
          <w:sz w:val="22"/>
          <w:szCs w:val="22"/>
        </w:rPr>
        <w:t xml:space="preserve">Rubin, D. B. (2005). Causal </w:t>
      </w:r>
      <w:r w:rsidR="00D92409" w:rsidRPr="00D541E6">
        <w:rPr>
          <w:sz w:val="22"/>
          <w:szCs w:val="22"/>
        </w:rPr>
        <w:t>inference using potential o</w:t>
      </w:r>
      <w:r w:rsidRPr="00D541E6">
        <w:rPr>
          <w:sz w:val="22"/>
          <w:szCs w:val="22"/>
        </w:rPr>
        <w:t xml:space="preserve">utcomes. </w:t>
      </w:r>
      <w:r w:rsidRPr="00D541E6">
        <w:rPr>
          <w:i/>
          <w:iCs/>
          <w:sz w:val="22"/>
          <w:szCs w:val="22"/>
        </w:rPr>
        <w:t>Journal of the American Statistical Association</w:t>
      </w:r>
      <w:r w:rsidRPr="00D541E6">
        <w:rPr>
          <w:sz w:val="22"/>
          <w:szCs w:val="22"/>
        </w:rPr>
        <w:t xml:space="preserve">, </w:t>
      </w:r>
      <w:r w:rsidRPr="00D541E6">
        <w:rPr>
          <w:i/>
          <w:iCs/>
          <w:sz w:val="22"/>
          <w:szCs w:val="22"/>
        </w:rPr>
        <w:t>100</w:t>
      </w:r>
      <w:r w:rsidRPr="00D541E6">
        <w:rPr>
          <w:sz w:val="22"/>
          <w:szCs w:val="22"/>
        </w:rPr>
        <w:t xml:space="preserve">(469), 322–331. </w:t>
      </w:r>
    </w:p>
    <w:p w14:paraId="52ACA549" w14:textId="4889BBD9" w:rsidR="008E49BE" w:rsidRPr="00D541E6" w:rsidRDefault="00816E7E" w:rsidP="00625E1C">
      <w:pPr>
        <w:pStyle w:val="NormalWeb"/>
        <w:ind w:left="960" w:hanging="480"/>
        <w:rPr>
          <w:sz w:val="22"/>
          <w:szCs w:val="22"/>
        </w:rPr>
      </w:pPr>
      <w:r w:rsidRPr="00D541E6">
        <w:rPr>
          <w:sz w:val="22"/>
          <w:szCs w:val="22"/>
        </w:rPr>
        <w:t xml:space="preserve">Rothman, K. J., &amp; Greenland, S. (2005). Causation and causal inference in epidemiology. </w:t>
      </w:r>
      <w:r w:rsidRPr="00D541E6">
        <w:rPr>
          <w:i/>
          <w:iCs/>
          <w:sz w:val="22"/>
          <w:szCs w:val="22"/>
        </w:rPr>
        <w:t>American Journal of Public Health</w:t>
      </w:r>
      <w:r w:rsidRPr="00D541E6">
        <w:rPr>
          <w:sz w:val="22"/>
          <w:szCs w:val="22"/>
        </w:rPr>
        <w:t xml:space="preserve">, </w:t>
      </w:r>
      <w:r w:rsidRPr="00D541E6">
        <w:rPr>
          <w:i/>
          <w:iCs/>
          <w:sz w:val="22"/>
          <w:szCs w:val="22"/>
        </w:rPr>
        <w:t xml:space="preserve">95 </w:t>
      </w:r>
      <w:proofErr w:type="spellStart"/>
      <w:r w:rsidRPr="00D541E6">
        <w:rPr>
          <w:i/>
          <w:iCs/>
          <w:sz w:val="22"/>
          <w:szCs w:val="22"/>
        </w:rPr>
        <w:t>Suppl</w:t>
      </w:r>
      <w:proofErr w:type="spellEnd"/>
      <w:r w:rsidRPr="00D541E6">
        <w:rPr>
          <w:i/>
          <w:iCs/>
          <w:sz w:val="22"/>
          <w:szCs w:val="22"/>
        </w:rPr>
        <w:t xml:space="preserve"> 1</w:t>
      </w:r>
      <w:r w:rsidRPr="00D541E6">
        <w:rPr>
          <w:sz w:val="22"/>
          <w:szCs w:val="22"/>
        </w:rPr>
        <w:t xml:space="preserve">, S144-50. </w:t>
      </w:r>
    </w:p>
    <w:p w14:paraId="4E576390" w14:textId="77777777" w:rsidR="008859D0" w:rsidRPr="00D541E6" w:rsidRDefault="008859D0" w:rsidP="008859D0">
      <w:pPr>
        <w:pStyle w:val="NormalWeb"/>
        <w:ind w:left="960" w:hanging="480"/>
        <w:rPr>
          <w:sz w:val="22"/>
          <w:szCs w:val="22"/>
        </w:rPr>
      </w:pPr>
      <w:r w:rsidRPr="00D541E6">
        <w:rPr>
          <w:sz w:val="22"/>
          <w:szCs w:val="22"/>
        </w:rPr>
        <w:t xml:space="preserve">Clare, P. J., Dobbins, T. A., &amp; </w:t>
      </w:r>
      <w:proofErr w:type="spellStart"/>
      <w:r w:rsidRPr="00D541E6">
        <w:rPr>
          <w:sz w:val="22"/>
          <w:szCs w:val="22"/>
        </w:rPr>
        <w:t>Mattick</w:t>
      </w:r>
      <w:proofErr w:type="spellEnd"/>
      <w:r w:rsidRPr="00D541E6">
        <w:rPr>
          <w:sz w:val="22"/>
          <w:szCs w:val="22"/>
        </w:rPr>
        <w:t>, R. P. (2019). Causal models adjusting for time-varying confounding—a systematic review of the literature. International Journal of Epidemiology, 48(1), 254–265. https://doi.org/10.1093/ije/dyy218</w:t>
      </w:r>
    </w:p>
    <w:p w14:paraId="50BAA8ED" w14:textId="0FB803B9" w:rsidR="00DB61A1" w:rsidRPr="00D541E6" w:rsidRDefault="00DB61A1" w:rsidP="00DB61A1">
      <w:pPr>
        <w:pStyle w:val="NormalWeb"/>
        <w:ind w:left="960" w:hanging="480"/>
        <w:rPr>
          <w:sz w:val="22"/>
          <w:szCs w:val="22"/>
        </w:rPr>
      </w:pPr>
      <w:r w:rsidRPr="00D541E6">
        <w:rPr>
          <w:iCs/>
          <w:sz w:val="22"/>
          <w:szCs w:val="22"/>
        </w:rPr>
        <w:t>Robins, James M. (1999). Association, Causation, And Marginal Structural Models</w:t>
      </w:r>
      <w:r w:rsidR="00F14BD8" w:rsidRPr="00D541E6">
        <w:rPr>
          <w:iCs/>
          <w:sz w:val="22"/>
          <w:szCs w:val="22"/>
        </w:rPr>
        <w:t xml:space="preserve">. </w:t>
      </w:r>
      <w:proofErr w:type="spellStart"/>
      <w:r w:rsidRPr="00D541E6">
        <w:rPr>
          <w:i/>
          <w:iCs/>
          <w:sz w:val="22"/>
          <w:szCs w:val="22"/>
        </w:rPr>
        <w:t>Synthese</w:t>
      </w:r>
      <w:proofErr w:type="spellEnd"/>
      <w:r w:rsidRPr="00D541E6">
        <w:rPr>
          <w:sz w:val="22"/>
          <w:szCs w:val="22"/>
        </w:rPr>
        <w:t xml:space="preserve">. Kluwer Academic Publishers, 121(1/2), pp. 151–179. </w:t>
      </w:r>
      <w:proofErr w:type="spellStart"/>
      <w:r w:rsidRPr="00D541E6">
        <w:rPr>
          <w:sz w:val="22"/>
          <w:szCs w:val="22"/>
        </w:rPr>
        <w:t>doi</w:t>
      </w:r>
      <w:proofErr w:type="spellEnd"/>
      <w:r w:rsidRPr="00D541E6">
        <w:rPr>
          <w:sz w:val="22"/>
          <w:szCs w:val="22"/>
        </w:rPr>
        <w:t>: 10.1023/A:1005285815569.</w:t>
      </w:r>
    </w:p>
    <w:p w14:paraId="4D8F8B00" w14:textId="41A2FE81" w:rsidR="00F752DD" w:rsidRPr="00D541E6" w:rsidRDefault="00004246" w:rsidP="004A6700">
      <w:pPr>
        <w:pStyle w:val="NormalWeb"/>
        <w:ind w:left="960" w:hanging="480"/>
        <w:rPr>
          <w:iCs/>
          <w:sz w:val="22"/>
          <w:szCs w:val="22"/>
        </w:rPr>
      </w:pPr>
      <w:r w:rsidRPr="00D541E6">
        <w:rPr>
          <w:iCs/>
          <w:sz w:val="22"/>
          <w:szCs w:val="22"/>
        </w:rPr>
        <w:t xml:space="preserve">Robins, J. M., </w:t>
      </w:r>
      <w:proofErr w:type="spellStart"/>
      <w:r w:rsidRPr="00D541E6">
        <w:rPr>
          <w:iCs/>
          <w:sz w:val="22"/>
          <w:szCs w:val="22"/>
        </w:rPr>
        <w:t>Hernán</w:t>
      </w:r>
      <w:proofErr w:type="spellEnd"/>
      <w:r w:rsidRPr="00D541E6">
        <w:rPr>
          <w:iCs/>
          <w:sz w:val="22"/>
          <w:szCs w:val="22"/>
        </w:rPr>
        <w:t xml:space="preserve">, M. A., </w:t>
      </w:r>
      <w:r w:rsidRPr="00D541E6">
        <w:rPr>
          <w:sz w:val="22"/>
          <w:szCs w:val="22"/>
        </w:rPr>
        <w:t xml:space="preserve">&amp; </w:t>
      </w:r>
      <w:proofErr w:type="spellStart"/>
      <w:r w:rsidRPr="00D541E6">
        <w:rPr>
          <w:iCs/>
          <w:sz w:val="22"/>
          <w:szCs w:val="22"/>
        </w:rPr>
        <w:t>Brumback</w:t>
      </w:r>
      <w:proofErr w:type="spellEnd"/>
      <w:r w:rsidRPr="00D541E6">
        <w:rPr>
          <w:iCs/>
          <w:sz w:val="22"/>
          <w:szCs w:val="22"/>
        </w:rPr>
        <w:t xml:space="preserve">, B. (2000). </w:t>
      </w:r>
      <w:r w:rsidR="00625CC4" w:rsidRPr="00D541E6">
        <w:rPr>
          <w:iCs/>
          <w:sz w:val="22"/>
          <w:szCs w:val="22"/>
        </w:rPr>
        <w:t>Marginal structural models and causal inference in epidemiology.</w:t>
      </w:r>
      <w:r w:rsidRPr="00D541E6">
        <w:rPr>
          <w:iCs/>
          <w:sz w:val="22"/>
          <w:szCs w:val="22"/>
        </w:rPr>
        <w:t xml:space="preserve"> </w:t>
      </w:r>
      <w:r w:rsidR="00625CC4" w:rsidRPr="00D541E6">
        <w:rPr>
          <w:i/>
          <w:iCs/>
          <w:sz w:val="22"/>
          <w:szCs w:val="22"/>
        </w:rPr>
        <w:t>Epidemiology (Cambridge, Mass.)</w:t>
      </w:r>
      <w:r w:rsidR="00625CC4" w:rsidRPr="00D541E6">
        <w:rPr>
          <w:iCs/>
          <w:sz w:val="22"/>
          <w:szCs w:val="22"/>
        </w:rPr>
        <w:t>, 11(5), pp. 550–60. Available at: http://www.ncbi.nlm.nih.gov/pubmed/10955408.</w:t>
      </w:r>
    </w:p>
    <w:p w14:paraId="7A85C3BF" w14:textId="6A1DB4D1" w:rsidR="005F3E15" w:rsidRPr="00D541E6" w:rsidRDefault="007700E0" w:rsidP="00625E1C">
      <w:pPr>
        <w:pStyle w:val="ListParagraph"/>
        <w:numPr>
          <w:ilvl w:val="0"/>
          <w:numId w:val="12"/>
        </w:numPr>
        <w:rPr>
          <w:b/>
          <w:sz w:val="22"/>
          <w:szCs w:val="22"/>
        </w:rPr>
      </w:pPr>
      <w:r w:rsidRPr="00D541E6">
        <w:rPr>
          <w:b/>
          <w:sz w:val="22"/>
          <w:szCs w:val="22"/>
        </w:rPr>
        <w:t>Predictive models control</w:t>
      </w:r>
      <w:r w:rsidR="0021513A" w:rsidRPr="00D541E6">
        <w:rPr>
          <w:b/>
          <w:sz w:val="22"/>
          <w:szCs w:val="22"/>
        </w:rPr>
        <w:t>ling</w:t>
      </w:r>
      <w:r w:rsidRPr="00D541E6">
        <w:rPr>
          <w:b/>
          <w:sz w:val="22"/>
          <w:szCs w:val="22"/>
        </w:rPr>
        <w:t xml:space="preserve"> for </w:t>
      </w:r>
      <w:r w:rsidR="00B50825" w:rsidRPr="00D541E6">
        <w:rPr>
          <w:b/>
          <w:sz w:val="22"/>
          <w:szCs w:val="22"/>
        </w:rPr>
        <w:t>interventions</w:t>
      </w:r>
      <w:r w:rsidR="00B319B7" w:rsidRPr="00D541E6">
        <w:rPr>
          <w:b/>
          <w:sz w:val="22"/>
          <w:szCs w:val="22"/>
        </w:rPr>
        <w:t>,</w:t>
      </w:r>
      <w:r w:rsidR="00B50825" w:rsidRPr="00D541E6">
        <w:rPr>
          <w:b/>
          <w:sz w:val="22"/>
          <w:szCs w:val="22"/>
        </w:rPr>
        <w:t xml:space="preserve"> but </w:t>
      </w:r>
      <w:r w:rsidR="002741B8" w:rsidRPr="00D541E6">
        <w:rPr>
          <w:b/>
          <w:sz w:val="22"/>
          <w:szCs w:val="22"/>
          <w:lang w:eastAsia="zh-CN"/>
        </w:rPr>
        <w:t>not</w:t>
      </w:r>
      <w:r w:rsidR="00B50825" w:rsidRPr="00D541E6">
        <w:rPr>
          <w:b/>
          <w:sz w:val="22"/>
          <w:szCs w:val="22"/>
        </w:rPr>
        <w:t xml:space="preserve"> nece</w:t>
      </w:r>
      <w:r w:rsidR="001832C8" w:rsidRPr="00D541E6">
        <w:rPr>
          <w:b/>
          <w:sz w:val="22"/>
          <w:szCs w:val="22"/>
        </w:rPr>
        <w:t xml:space="preserve">ssarily </w:t>
      </w:r>
      <w:r w:rsidR="00325665">
        <w:rPr>
          <w:b/>
          <w:sz w:val="22"/>
          <w:szCs w:val="22"/>
        </w:rPr>
        <w:t xml:space="preserve">handling </w:t>
      </w:r>
      <w:r w:rsidR="004219F4">
        <w:rPr>
          <w:b/>
          <w:sz w:val="22"/>
          <w:szCs w:val="22"/>
        </w:rPr>
        <w:t>prediction</w:t>
      </w:r>
      <w:r w:rsidR="00325665">
        <w:rPr>
          <w:b/>
          <w:sz w:val="22"/>
          <w:szCs w:val="22"/>
        </w:rPr>
        <w:t>s</w:t>
      </w:r>
      <w:r w:rsidR="004219F4">
        <w:rPr>
          <w:b/>
          <w:sz w:val="22"/>
          <w:szCs w:val="22"/>
        </w:rPr>
        <w:t xml:space="preserve"> under hypothetical interventions</w:t>
      </w:r>
    </w:p>
    <w:p w14:paraId="3F1B1E0D" w14:textId="1747BFE2" w:rsidR="00A47A6F" w:rsidRPr="00D541E6" w:rsidRDefault="00710837" w:rsidP="00625E1C">
      <w:pPr>
        <w:pStyle w:val="NormalWeb"/>
        <w:ind w:left="960" w:hanging="480"/>
        <w:rPr>
          <w:sz w:val="22"/>
          <w:szCs w:val="22"/>
        </w:rPr>
      </w:pPr>
      <w:proofErr w:type="spellStart"/>
      <w:r w:rsidRPr="00D541E6">
        <w:rPr>
          <w:sz w:val="22"/>
          <w:szCs w:val="22"/>
        </w:rPr>
        <w:t>Alaa</w:t>
      </w:r>
      <w:proofErr w:type="spellEnd"/>
      <w:r w:rsidRPr="00D541E6">
        <w:rPr>
          <w:sz w:val="22"/>
          <w:szCs w:val="22"/>
        </w:rPr>
        <w:t xml:space="preserve">, A. M., Yoon, J., Hu, S., &amp; van der </w:t>
      </w:r>
      <w:proofErr w:type="spellStart"/>
      <w:r w:rsidRPr="00D541E6">
        <w:rPr>
          <w:sz w:val="22"/>
          <w:szCs w:val="22"/>
        </w:rPr>
        <w:t>Schaar</w:t>
      </w:r>
      <w:proofErr w:type="spellEnd"/>
      <w:r w:rsidRPr="00D541E6">
        <w:rPr>
          <w:sz w:val="22"/>
          <w:szCs w:val="22"/>
        </w:rPr>
        <w:t xml:space="preserve">, M. (2018). Personalized Risk Scoring for Critical Care Prognosis Using Mixtures of Gaussian Processes. </w:t>
      </w:r>
      <w:r w:rsidRPr="00D541E6">
        <w:rPr>
          <w:i/>
          <w:iCs/>
          <w:sz w:val="22"/>
          <w:szCs w:val="22"/>
        </w:rPr>
        <w:t>IEEE Transactions on Biomedical Engineering</w:t>
      </w:r>
      <w:r w:rsidRPr="00D541E6">
        <w:rPr>
          <w:sz w:val="22"/>
          <w:szCs w:val="22"/>
        </w:rPr>
        <w:t xml:space="preserve">, </w:t>
      </w:r>
      <w:r w:rsidRPr="00D541E6">
        <w:rPr>
          <w:i/>
          <w:iCs/>
          <w:sz w:val="22"/>
          <w:szCs w:val="22"/>
        </w:rPr>
        <w:t>65</w:t>
      </w:r>
      <w:r w:rsidRPr="00D541E6">
        <w:rPr>
          <w:sz w:val="22"/>
          <w:szCs w:val="22"/>
        </w:rPr>
        <w:t>(1), 207–218.</w:t>
      </w:r>
    </w:p>
    <w:p w14:paraId="5291B063" w14:textId="79872A7C" w:rsidR="0089536A" w:rsidRPr="00D541E6" w:rsidRDefault="0089536A" w:rsidP="00625E1C">
      <w:pPr>
        <w:pStyle w:val="NormalWeb"/>
        <w:ind w:left="960" w:hanging="480"/>
        <w:rPr>
          <w:sz w:val="22"/>
          <w:szCs w:val="22"/>
        </w:rPr>
      </w:pPr>
      <w:proofErr w:type="spellStart"/>
      <w:r w:rsidRPr="00D541E6">
        <w:rPr>
          <w:sz w:val="22"/>
          <w:szCs w:val="22"/>
        </w:rPr>
        <w:t>Groenwold</w:t>
      </w:r>
      <w:proofErr w:type="spellEnd"/>
      <w:r w:rsidRPr="00D541E6">
        <w:rPr>
          <w:sz w:val="22"/>
          <w:szCs w:val="22"/>
        </w:rPr>
        <w:t xml:space="preserve"> RHH, Moons KGM, Pajouheshnia R, Altman DG, Collins GS, </w:t>
      </w:r>
      <w:proofErr w:type="spellStart"/>
      <w:r w:rsidRPr="00D541E6">
        <w:rPr>
          <w:sz w:val="22"/>
          <w:szCs w:val="22"/>
        </w:rPr>
        <w:t>Debray</w:t>
      </w:r>
      <w:proofErr w:type="spellEnd"/>
      <w:r w:rsidRPr="00D541E6">
        <w:rPr>
          <w:sz w:val="22"/>
          <w:szCs w:val="22"/>
        </w:rPr>
        <w:t xml:space="preserve"> TPA, et al. Explicit inclusion of treatment in prognostic modelling was recommended in observational and randomised settings. J </w:t>
      </w:r>
      <w:proofErr w:type="spellStart"/>
      <w:r w:rsidRPr="00D541E6">
        <w:rPr>
          <w:sz w:val="22"/>
          <w:szCs w:val="22"/>
        </w:rPr>
        <w:t>Clin</w:t>
      </w:r>
      <w:proofErr w:type="spellEnd"/>
      <w:r w:rsidRPr="00D541E6">
        <w:rPr>
          <w:sz w:val="22"/>
          <w:szCs w:val="22"/>
        </w:rPr>
        <w:t xml:space="preserve"> Epidemiol. 2016.</w:t>
      </w:r>
    </w:p>
    <w:p w14:paraId="1069ED2B" w14:textId="3A28AAE5" w:rsidR="0089536A" w:rsidRPr="00D541E6" w:rsidRDefault="0089536A" w:rsidP="00625E1C">
      <w:pPr>
        <w:pStyle w:val="NormalWeb"/>
        <w:ind w:left="960" w:hanging="480"/>
        <w:rPr>
          <w:sz w:val="22"/>
          <w:szCs w:val="22"/>
        </w:rPr>
      </w:pPr>
      <w:r w:rsidRPr="00D541E6">
        <w:rPr>
          <w:sz w:val="22"/>
          <w:szCs w:val="22"/>
        </w:rPr>
        <w:t xml:space="preserve">Pajouheshnia R, </w:t>
      </w:r>
      <w:proofErr w:type="spellStart"/>
      <w:r w:rsidRPr="00D541E6">
        <w:rPr>
          <w:sz w:val="22"/>
          <w:szCs w:val="22"/>
        </w:rPr>
        <w:t>Peelen</w:t>
      </w:r>
      <w:proofErr w:type="spellEnd"/>
      <w:r w:rsidRPr="00D541E6">
        <w:rPr>
          <w:sz w:val="22"/>
          <w:szCs w:val="22"/>
        </w:rPr>
        <w:t xml:space="preserve"> LM, Moons KGM, </w:t>
      </w:r>
      <w:proofErr w:type="spellStart"/>
      <w:r w:rsidRPr="00D541E6">
        <w:rPr>
          <w:sz w:val="22"/>
          <w:szCs w:val="22"/>
        </w:rPr>
        <w:t>Reitsma</w:t>
      </w:r>
      <w:proofErr w:type="spellEnd"/>
      <w:r w:rsidRPr="00D541E6">
        <w:rPr>
          <w:sz w:val="22"/>
          <w:szCs w:val="22"/>
        </w:rPr>
        <w:t xml:space="preserve"> JB, </w:t>
      </w:r>
      <w:proofErr w:type="spellStart"/>
      <w:r w:rsidRPr="00D541E6">
        <w:rPr>
          <w:sz w:val="22"/>
          <w:szCs w:val="22"/>
        </w:rPr>
        <w:t>Groenwold</w:t>
      </w:r>
      <w:proofErr w:type="spellEnd"/>
      <w:r w:rsidRPr="00D541E6">
        <w:rPr>
          <w:sz w:val="22"/>
          <w:szCs w:val="22"/>
        </w:rPr>
        <w:t xml:space="preserve"> RHH. Accounting for treatment use when validating a prognostic model: a simulation study. BMC Med Res </w:t>
      </w:r>
      <w:proofErr w:type="spellStart"/>
      <w:r w:rsidRPr="00D541E6">
        <w:rPr>
          <w:sz w:val="22"/>
          <w:szCs w:val="22"/>
        </w:rPr>
        <w:t>Methodol</w:t>
      </w:r>
      <w:proofErr w:type="spellEnd"/>
      <w:r w:rsidRPr="00D541E6">
        <w:rPr>
          <w:sz w:val="22"/>
          <w:szCs w:val="22"/>
        </w:rPr>
        <w:t>. 2017;17(1):103</w:t>
      </w:r>
    </w:p>
    <w:p w14:paraId="0207020B" w14:textId="25FE7E09" w:rsidR="00D728E1" w:rsidRPr="00D541E6" w:rsidRDefault="00EC5515" w:rsidP="00625E1C">
      <w:pPr>
        <w:pStyle w:val="ListParagraph"/>
        <w:numPr>
          <w:ilvl w:val="0"/>
          <w:numId w:val="12"/>
        </w:numPr>
        <w:rPr>
          <w:sz w:val="22"/>
          <w:szCs w:val="22"/>
        </w:rPr>
      </w:pPr>
      <w:r>
        <w:rPr>
          <w:b/>
          <w:sz w:val="22"/>
          <w:szCs w:val="22"/>
        </w:rPr>
        <w:t>Predictions under</w:t>
      </w:r>
      <w:r w:rsidR="003D170A" w:rsidRPr="00D541E6">
        <w:rPr>
          <w:b/>
          <w:sz w:val="22"/>
          <w:szCs w:val="22"/>
        </w:rPr>
        <w:t xml:space="preserve"> </w:t>
      </w:r>
      <w:r w:rsidR="00BD3EE9" w:rsidRPr="00D541E6">
        <w:rPr>
          <w:b/>
          <w:sz w:val="22"/>
          <w:szCs w:val="22"/>
        </w:rPr>
        <w:t>discrete/</w:t>
      </w:r>
      <w:r w:rsidR="003A31AB" w:rsidRPr="00D541E6">
        <w:rPr>
          <w:b/>
          <w:sz w:val="22"/>
          <w:szCs w:val="22"/>
        </w:rPr>
        <w:t xml:space="preserve">continuous-time (discrete/continuous-valued) interventions, </w:t>
      </w:r>
      <w:r w:rsidR="003A31AB" w:rsidRPr="00D541E6">
        <w:rPr>
          <w:sz w:val="22"/>
          <w:szCs w:val="22"/>
        </w:rPr>
        <w:t xml:space="preserve">including those </w:t>
      </w:r>
      <w:r w:rsidR="0037034E" w:rsidRPr="00D541E6">
        <w:rPr>
          <w:sz w:val="22"/>
          <w:szCs w:val="22"/>
        </w:rPr>
        <w:t>not explicitly stated as statistical predictive model</w:t>
      </w:r>
      <w:r w:rsidR="000B20C3" w:rsidRPr="00D541E6">
        <w:rPr>
          <w:sz w:val="22"/>
          <w:szCs w:val="22"/>
        </w:rPr>
        <w:t>s</w:t>
      </w:r>
      <w:r w:rsidR="0037034E" w:rsidRPr="00D541E6">
        <w:rPr>
          <w:sz w:val="22"/>
          <w:szCs w:val="22"/>
        </w:rPr>
        <w:t xml:space="preserve"> but </w:t>
      </w:r>
      <w:r w:rsidR="00B7323D" w:rsidRPr="00D541E6">
        <w:rPr>
          <w:sz w:val="22"/>
          <w:szCs w:val="22"/>
          <w:lang w:eastAsia="zh-CN"/>
        </w:rPr>
        <w:t>indeed</w:t>
      </w:r>
      <w:r w:rsidR="00D01A9C" w:rsidRPr="00D541E6">
        <w:rPr>
          <w:sz w:val="22"/>
          <w:szCs w:val="22"/>
          <w:lang w:eastAsia="zh-CN"/>
        </w:rPr>
        <w:t xml:space="preserve"> </w:t>
      </w:r>
      <w:r w:rsidR="00826C4F" w:rsidRPr="00D541E6">
        <w:rPr>
          <w:sz w:val="22"/>
          <w:szCs w:val="22"/>
        </w:rPr>
        <w:t>developed for</w:t>
      </w:r>
      <w:r w:rsidR="0037034E" w:rsidRPr="00D541E6">
        <w:rPr>
          <w:sz w:val="22"/>
          <w:szCs w:val="22"/>
        </w:rPr>
        <w:t xml:space="preserve"> </w:t>
      </w:r>
      <w:r w:rsidR="00EE419E" w:rsidRPr="00D541E6">
        <w:rPr>
          <w:sz w:val="22"/>
          <w:szCs w:val="22"/>
        </w:rPr>
        <w:t xml:space="preserve">the </w:t>
      </w:r>
      <w:r w:rsidR="002837A3" w:rsidRPr="00D541E6">
        <w:rPr>
          <w:sz w:val="22"/>
          <w:szCs w:val="22"/>
        </w:rPr>
        <w:t>predictive</w:t>
      </w:r>
      <w:r w:rsidR="0037034E" w:rsidRPr="00D541E6">
        <w:rPr>
          <w:sz w:val="22"/>
          <w:szCs w:val="22"/>
        </w:rPr>
        <w:t xml:space="preserve"> purpose</w:t>
      </w:r>
    </w:p>
    <w:p w14:paraId="6AAB02BF" w14:textId="7D7DEBFA" w:rsidR="004879A8" w:rsidRPr="00D541E6" w:rsidRDefault="00D603D5" w:rsidP="00196561">
      <w:pPr>
        <w:pStyle w:val="NormalWeb"/>
        <w:ind w:left="960" w:hanging="480"/>
        <w:rPr>
          <w:sz w:val="22"/>
          <w:szCs w:val="22"/>
        </w:rPr>
      </w:pPr>
      <w:r w:rsidRPr="00D541E6">
        <w:rPr>
          <w:sz w:val="22"/>
          <w:szCs w:val="22"/>
        </w:rPr>
        <w:lastRenderedPageBreak/>
        <w:t xml:space="preserve">Sperrin, M., Martin, G. P., Pate, A., Van </w:t>
      </w:r>
      <w:proofErr w:type="spellStart"/>
      <w:r w:rsidRPr="00D541E6">
        <w:rPr>
          <w:sz w:val="22"/>
          <w:szCs w:val="22"/>
        </w:rPr>
        <w:t>Staa</w:t>
      </w:r>
      <w:proofErr w:type="spellEnd"/>
      <w:r w:rsidRPr="00D541E6">
        <w:rPr>
          <w:sz w:val="22"/>
          <w:szCs w:val="22"/>
        </w:rPr>
        <w:t xml:space="preserve">, T., Peek, N., &amp; Buchan, I. (2018). Using marginal structural models to adjust for treatment drop-in when developing clinical prediction models. </w:t>
      </w:r>
      <w:r w:rsidRPr="00D541E6">
        <w:rPr>
          <w:i/>
          <w:iCs/>
          <w:sz w:val="22"/>
          <w:szCs w:val="22"/>
        </w:rPr>
        <w:t>Statistics in Medicine</w:t>
      </w:r>
      <w:r w:rsidRPr="00D541E6">
        <w:rPr>
          <w:sz w:val="22"/>
          <w:szCs w:val="22"/>
        </w:rPr>
        <w:t xml:space="preserve">, </w:t>
      </w:r>
      <w:r w:rsidRPr="00D541E6">
        <w:rPr>
          <w:i/>
          <w:iCs/>
          <w:sz w:val="22"/>
          <w:szCs w:val="22"/>
        </w:rPr>
        <w:t>37</w:t>
      </w:r>
      <w:r w:rsidRPr="00D541E6">
        <w:rPr>
          <w:sz w:val="22"/>
          <w:szCs w:val="22"/>
        </w:rPr>
        <w:t xml:space="preserve">(28), 4142–4154. </w:t>
      </w:r>
    </w:p>
    <w:p w14:paraId="63DDEFEF" w14:textId="77777777" w:rsidR="00D603D5" w:rsidRPr="00D541E6" w:rsidRDefault="00D603D5" w:rsidP="00625E1C">
      <w:pPr>
        <w:pStyle w:val="NormalWeb"/>
        <w:ind w:left="960" w:hanging="480"/>
        <w:rPr>
          <w:sz w:val="22"/>
          <w:szCs w:val="22"/>
        </w:rPr>
      </w:pPr>
      <w:r w:rsidRPr="00D541E6">
        <w:rPr>
          <w:sz w:val="22"/>
          <w:szCs w:val="22"/>
        </w:rPr>
        <w:t xml:space="preserve">Schulam, P., &amp; Saria, S. (2017). Reliable Decision Support using Counterfactual Models. Advances in Neural Information Processing Systems 30 (NIPS 2017). </w:t>
      </w:r>
    </w:p>
    <w:p w14:paraId="5DBFB125" w14:textId="77777777" w:rsidR="00890C00" w:rsidRPr="00D541E6" w:rsidRDefault="00890C00" w:rsidP="00890C00">
      <w:pPr>
        <w:pStyle w:val="NormalWeb"/>
        <w:ind w:left="960" w:hanging="480"/>
        <w:rPr>
          <w:sz w:val="22"/>
          <w:szCs w:val="22"/>
        </w:rPr>
      </w:pPr>
    </w:p>
    <w:p w14:paraId="3BB86816" w14:textId="77777777" w:rsidR="00890C00" w:rsidRPr="00D541E6" w:rsidRDefault="00890C00" w:rsidP="00EC5E97">
      <w:pPr>
        <w:pStyle w:val="NormalWeb"/>
        <w:ind w:left="960" w:hanging="480"/>
        <w:rPr>
          <w:sz w:val="22"/>
          <w:szCs w:val="22"/>
        </w:rPr>
      </w:pPr>
    </w:p>
    <w:p w14:paraId="697EDC26" w14:textId="77777777" w:rsidR="007B16E7" w:rsidRPr="00D541E6" w:rsidRDefault="007B16E7" w:rsidP="00EC5E97">
      <w:pPr>
        <w:rPr>
          <w:rFonts w:asciiTheme="majorHAnsi" w:eastAsiaTheme="majorEastAsia" w:hAnsiTheme="majorHAnsi" w:cstheme="majorBidi"/>
          <w:i/>
          <w:color w:val="365F91" w:themeColor="accent1" w:themeShade="BF"/>
          <w:sz w:val="26"/>
          <w:szCs w:val="26"/>
        </w:rPr>
      </w:pPr>
      <w:r w:rsidRPr="00D541E6">
        <w:rPr>
          <w:i/>
          <w:color w:val="365F91" w:themeColor="accent1" w:themeShade="BF"/>
          <w:sz w:val="26"/>
          <w:szCs w:val="26"/>
        </w:rPr>
        <w:br w:type="page"/>
      </w:r>
    </w:p>
    <w:p w14:paraId="702E5E41" w14:textId="463E9249" w:rsidR="007938EE" w:rsidRPr="00D541E6" w:rsidRDefault="00FB4D49" w:rsidP="00625E1C">
      <w:pPr>
        <w:pStyle w:val="Heading3"/>
      </w:pPr>
      <w:r w:rsidRPr="00D541E6">
        <w:rPr>
          <w:i/>
          <w:color w:val="365F91" w:themeColor="accent1" w:themeShade="BF"/>
          <w:sz w:val="26"/>
          <w:szCs w:val="26"/>
        </w:rPr>
        <w:lastRenderedPageBreak/>
        <w:t xml:space="preserve">Known </w:t>
      </w:r>
      <w:r w:rsidR="00CA3110" w:rsidRPr="00D541E6">
        <w:rPr>
          <w:i/>
          <w:color w:val="365F91" w:themeColor="accent1" w:themeShade="BF"/>
          <w:sz w:val="26"/>
          <w:szCs w:val="26"/>
        </w:rPr>
        <w:t xml:space="preserve">research </w:t>
      </w:r>
      <w:r w:rsidRPr="00D541E6">
        <w:rPr>
          <w:i/>
          <w:color w:val="365F91" w:themeColor="accent1" w:themeShade="BF"/>
          <w:sz w:val="26"/>
          <w:szCs w:val="26"/>
        </w:rPr>
        <w:t>groups</w:t>
      </w:r>
    </w:p>
    <w:p w14:paraId="3DE2DC66" w14:textId="499EF61E" w:rsidR="007938EE" w:rsidRPr="00D541E6" w:rsidRDefault="007938EE" w:rsidP="00625E1C">
      <w:pPr>
        <w:rPr>
          <w:sz w:val="22"/>
          <w:szCs w:val="22"/>
        </w:rPr>
      </w:pPr>
      <w:r w:rsidRPr="00D541E6">
        <w:rPr>
          <w:sz w:val="22"/>
          <w:szCs w:val="22"/>
        </w:rPr>
        <w:t>We are</w:t>
      </w:r>
      <w:r w:rsidR="00034E09" w:rsidRPr="00D541E6">
        <w:rPr>
          <w:sz w:val="22"/>
          <w:szCs w:val="22"/>
        </w:rPr>
        <w:t xml:space="preserve"> </w:t>
      </w:r>
      <w:r w:rsidRPr="00D541E6">
        <w:rPr>
          <w:sz w:val="22"/>
          <w:szCs w:val="22"/>
        </w:rPr>
        <w:t xml:space="preserve">aware of several research groups that have published work </w:t>
      </w:r>
      <w:r w:rsidR="00144898" w:rsidRPr="00D541E6">
        <w:rPr>
          <w:sz w:val="22"/>
          <w:szCs w:val="22"/>
        </w:rPr>
        <w:t xml:space="preserve">on </w:t>
      </w:r>
      <w:r w:rsidR="00923322" w:rsidRPr="00D541E6">
        <w:rPr>
          <w:sz w:val="22"/>
          <w:szCs w:val="22"/>
        </w:rPr>
        <w:t xml:space="preserve">methods </w:t>
      </w:r>
      <w:r w:rsidR="00EC0FFE" w:rsidRPr="00D541E6">
        <w:rPr>
          <w:sz w:val="22"/>
          <w:szCs w:val="22"/>
        </w:rPr>
        <w:t xml:space="preserve">in </w:t>
      </w:r>
      <w:r w:rsidR="00672763" w:rsidRPr="00D541E6">
        <w:rPr>
          <w:sz w:val="22"/>
          <w:szCs w:val="22"/>
        </w:rPr>
        <w:t>related area</w:t>
      </w:r>
      <w:r w:rsidR="00EC0FFE" w:rsidRPr="00D541E6">
        <w:rPr>
          <w:sz w:val="22"/>
          <w:szCs w:val="22"/>
        </w:rPr>
        <w:t>s</w:t>
      </w:r>
      <w:r w:rsidR="008A67DA" w:rsidRPr="00D541E6">
        <w:rPr>
          <w:sz w:val="22"/>
          <w:szCs w:val="22"/>
        </w:rPr>
        <w:t>.</w:t>
      </w:r>
      <w:r w:rsidR="001902B2" w:rsidRPr="00D541E6">
        <w:rPr>
          <w:sz w:val="22"/>
          <w:szCs w:val="22"/>
        </w:rPr>
        <w:t xml:space="preserve"> </w:t>
      </w:r>
      <w:r w:rsidRPr="00D541E6">
        <w:rPr>
          <w:sz w:val="22"/>
          <w:szCs w:val="22"/>
        </w:rPr>
        <w:t xml:space="preserve">We will therefore manually search for any relevant </w:t>
      </w:r>
      <w:r w:rsidR="00A34C49" w:rsidRPr="00D541E6">
        <w:rPr>
          <w:sz w:val="22"/>
          <w:szCs w:val="22"/>
        </w:rPr>
        <w:t xml:space="preserve">recent </w:t>
      </w:r>
      <w:r w:rsidRPr="00D541E6">
        <w:rPr>
          <w:sz w:val="22"/>
          <w:szCs w:val="22"/>
        </w:rPr>
        <w:t xml:space="preserve">publications from these groups that we may not be aware of prior to conducting the review. </w:t>
      </w:r>
    </w:p>
    <w:p w14:paraId="4EE26EDD" w14:textId="35C50E56" w:rsidR="00EB1D36" w:rsidRPr="00D541E6" w:rsidRDefault="00EB1D36" w:rsidP="00625E1C">
      <w:pPr>
        <w:pStyle w:val="ListParagraph"/>
        <w:numPr>
          <w:ilvl w:val="0"/>
          <w:numId w:val="13"/>
        </w:numPr>
        <w:spacing w:after="160" w:line="259" w:lineRule="auto"/>
        <w:contextualSpacing/>
        <w:rPr>
          <w:sz w:val="22"/>
          <w:szCs w:val="22"/>
        </w:rPr>
      </w:pPr>
      <w:r w:rsidRPr="00D541E6">
        <w:rPr>
          <w:sz w:val="22"/>
          <w:szCs w:val="22"/>
        </w:rPr>
        <w:t>Miguel Hernan, James Robins</w:t>
      </w:r>
      <w:r w:rsidR="00D340DE" w:rsidRPr="00D541E6">
        <w:rPr>
          <w:sz w:val="22"/>
          <w:szCs w:val="22"/>
        </w:rPr>
        <w:t>, Judith Lok (</w:t>
      </w:r>
      <w:r w:rsidRPr="00D541E6">
        <w:rPr>
          <w:sz w:val="22"/>
          <w:szCs w:val="22"/>
        </w:rPr>
        <w:t>Harvard T.H. Chan School of Public Health</w:t>
      </w:r>
      <w:r w:rsidR="00D340DE" w:rsidRPr="00D541E6">
        <w:rPr>
          <w:sz w:val="22"/>
          <w:szCs w:val="22"/>
        </w:rPr>
        <w:t>): causality, counterfactuals, longitudinal data</w:t>
      </w:r>
    </w:p>
    <w:p w14:paraId="432E0767" w14:textId="4732B75B" w:rsidR="007938EE" w:rsidRPr="00D541E6" w:rsidRDefault="00946D78" w:rsidP="00625E1C">
      <w:pPr>
        <w:pStyle w:val="ListParagraph"/>
        <w:numPr>
          <w:ilvl w:val="0"/>
          <w:numId w:val="13"/>
        </w:numPr>
        <w:spacing w:after="160" w:line="259" w:lineRule="auto"/>
        <w:contextualSpacing/>
        <w:rPr>
          <w:sz w:val="22"/>
          <w:szCs w:val="22"/>
        </w:rPr>
      </w:pPr>
      <w:proofErr w:type="spellStart"/>
      <w:r w:rsidRPr="00D541E6">
        <w:rPr>
          <w:sz w:val="22"/>
          <w:szCs w:val="22"/>
        </w:rPr>
        <w:t>Suchi</w:t>
      </w:r>
      <w:proofErr w:type="spellEnd"/>
      <w:r w:rsidRPr="00D541E6">
        <w:rPr>
          <w:sz w:val="22"/>
          <w:szCs w:val="22"/>
        </w:rPr>
        <w:t xml:space="preserve"> Saria (JHU): counterfactual reasoning </w:t>
      </w:r>
    </w:p>
    <w:p w14:paraId="57DEC5CB" w14:textId="5CF14F5F" w:rsidR="007938EE" w:rsidRPr="00D541E6" w:rsidRDefault="00946D78" w:rsidP="00625E1C">
      <w:pPr>
        <w:pStyle w:val="ListParagraph"/>
        <w:numPr>
          <w:ilvl w:val="0"/>
          <w:numId w:val="13"/>
        </w:numPr>
        <w:spacing w:after="160" w:line="259" w:lineRule="auto"/>
        <w:contextualSpacing/>
        <w:rPr>
          <w:sz w:val="22"/>
          <w:szCs w:val="22"/>
        </w:rPr>
      </w:pPr>
      <w:r w:rsidRPr="00D541E6">
        <w:rPr>
          <w:sz w:val="22"/>
          <w:szCs w:val="22"/>
          <w:shd w:val="clear" w:color="auto" w:fill="FFFFFF"/>
        </w:rPr>
        <w:t xml:space="preserve">Mihaela van de </w:t>
      </w:r>
      <w:proofErr w:type="spellStart"/>
      <w:r w:rsidRPr="00D541E6">
        <w:rPr>
          <w:sz w:val="22"/>
          <w:szCs w:val="22"/>
          <w:shd w:val="clear" w:color="auto" w:fill="FFFFFF"/>
        </w:rPr>
        <w:t>Schaar</w:t>
      </w:r>
      <w:proofErr w:type="spellEnd"/>
      <w:r w:rsidRPr="00D541E6">
        <w:rPr>
          <w:sz w:val="22"/>
          <w:szCs w:val="22"/>
          <w:shd w:val="clear" w:color="auto" w:fill="FFFFFF"/>
        </w:rPr>
        <w:t xml:space="preserve"> </w:t>
      </w:r>
      <w:r w:rsidR="007938EE" w:rsidRPr="00D541E6">
        <w:rPr>
          <w:sz w:val="22"/>
          <w:szCs w:val="22"/>
          <w:shd w:val="clear" w:color="auto" w:fill="FFFFFF"/>
        </w:rPr>
        <w:t>(</w:t>
      </w:r>
      <w:r w:rsidR="002206DD" w:rsidRPr="00D541E6">
        <w:rPr>
          <w:sz w:val="22"/>
          <w:szCs w:val="22"/>
          <w:shd w:val="clear" w:color="auto" w:fill="FFFFFF"/>
        </w:rPr>
        <w:t>Cambridge</w:t>
      </w:r>
      <w:r w:rsidR="007938EE" w:rsidRPr="00D541E6">
        <w:rPr>
          <w:sz w:val="22"/>
          <w:szCs w:val="22"/>
          <w:shd w:val="clear" w:color="auto" w:fill="FFFFFF"/>
        </w:rPr>
        <w:t>)</w:t>
      </w:r>
      <w:r w:rsidRPr="00D541E6">
        <w:rPr>
          <w:sz w:val="22"/>
          <w:szCs w:val="22"/>
          <w:shd w:val="clear" w:color="auto" w:fill="FFFFFF"/>
        </w:rPr>
        <w:t>: prognosis, diagnosis, treatment</w:t>
      </w:r>
    </w:p>
    <w:p w14:paraId="1856F29C" w14:textId="164C8F79" w:rsidR="007938EE" w:rsidRPr="00D541E6" w:rsidRDefault="00E63BFF" w:rsidP="00625E1C">
      <w:pPr>
        <w:pStyle w:val="ListParagraph"/>
        <w:numPr>
          <w:ilvl w:val="0"/>
          <w:numId w:val="13"/>
        </w:numPr>
        <w:spacing w:after="160" w:line="259" w:lineRule="auto"/>
        <w:contextualSpacing/>
        <w:rPr>
          <w:sz w:val="22"/>
          <w:szCs w:val="22"/>
        </w:rPr>
      </w:pPr>
      <w:r w:rsidRPr="00D541E6">
        <w:rPr>
          <w:sz w:val="22"/>
          <w:szCs w:val="22"/>
          <w:shd w:val="clear" w:color="auto" w:fill="FFFFFF"/>
        </w:rPr>
        <w:t xml:space="preserve">Michael R. </w:t>
      </w:r>
      <w:proofErr w:type="spellStart"/>
      <w:r w:rsidRPr="00D541E6">
        <w:rPr>
          <w:sz w:val="22"/>
          <w:szCs w:val="22"/>
          <w:shd w:val="clear" w:color="auto" w:fill="FFFFFF"/>
        </w:rPr>
        <w:t>Kosorok</w:t>
      </w:r>
      <w:proofErr w:type="spellEnd"/>
      <w:r w:rsidRPr="00D541E6">
        <w:rPr>
          <w:sz w:val="22"/>
          <w:szCs w:val="22"/>
          <w:shd w:val="clear" w:color="auto" w:fill="FFFFFF"/>
        </w:rPr>
        <w:t xml:space="preserve"> </w:t>
      </w:r>
      <w:r w:rsidR="007938EE" w:rsidRPr="00D541E6">
        <w:rPr>
          <w:sz w:val="22"/>
          <w:szCs w:val="22"/>
          <w:shd w:val="clear" w:color="auto" w:fill="FFFFFF"/>
        </w:rPr>
        <w:t>(</w:t>
      </w:r>
      <w:r w:rsidR="00946D78" w:rsidRPr="00D541E6">
        <w:rPr>
          <w:sz w:val="22"/>
          <w:szCs w:val="22"/>
          <w:shd w:val="clear" w:color="auto" w:fill="FFFFFF"/>
        </w:rPr>
        <w:t>UNCC</w:t>
      </w:r>
      <w:r w:rsidR="007938EE" w:rsidRPr="00D541E6">
        <w:rPr>
          <w:sz w:val="22"/>
          <w:szCs w:val="22"/>
          <w:shd w:val="clear" w:color="auto" w:fill="FFFFFF"/>
        </w:rPr>
        <w:t>)</w:t>
      </w:r>
      <w:r w:rsidR="00805688" w:rsidRPr="00D541E6">
        <w:rPr>
          <w:sz w:val="22"/>
          <w:szCs w:val="22"/>
          <w:shd w:val="clear" w:color="auto" w:fill="FFFFFF"/>
        </w:rPr>
        <w:t xml:space="preserve">: </w:t>
      </w:r>
      <w:r w:rsidR="004F0085" w:rsidRPr="00D541E6">
        <w:rPr>
          <w:sz w:val="22"/>
          <w:szCs w:val="22"/>
        </w:rPr>
        <w:t xml:space="preserve">individualized treatment  </w:t>
      </w:r>
    </w:p>
    <w:p w14:paraId="71F776D9" w14:textId="77777777" w:rsidR="007808DE" w:rsidRPr="00D541E6" w:rsidRDefault="0000718A" w:rsidP="00625E1C">
      <w:pPr>
        <w:pStyle w:val="ListParagraph"/>
        <w:numPr>
          <w:ilvl w:val="0"/>
          <w:numId w:val="13"/>
        </w:numPr>
        <w:spacing w:after="160" w:line="259" w:lineRule="auto"/>
        <w:contextualSpacing/>
        <w:rPr>
          <w:sz w:val="22"/>
          <w:szCs w:val="22"/>
        </w:rPr>
      </w:pPr>
      <w:r w:rsidRPr="00D541E6">
        <w:rPr>
          <w:sz w:val="22"/>
          <w:szCs w:val="22"/>
        </w:rPr>
        <w:t>Susan A. Murphy (Harvard): adaptive interventions</w:t>
      </w:r>
      <w:r w:rsidR="00946D78" w:rsidRPr="00D541E6">
        <w:rPr>
          <w:sz w:val="22"/>
          <w:szCs w:val="22"/>
        </w:rPr>
        <w:t xml:space="preserve"> in informing clinical decision making</w:t>
      </w:r>
      <w:r w:rsidR="007808DE" w:rsidRPr="00D541E6">
        <w:t xml:space="preserve"> </w:t>
      </w:r>
    </w:p>
    <w:p w14:paraId="5ECBD715" w14:textId="77777777" w:rsidR="00861B6E" w:rsidRPr="00D541E6" w:rsidRDefault="00861B6E" w:rsidP="00625E1C">
      <w:pPr>
        <w:pStyle w:val="ListParagraph"/>
        <w:rPr>
          <w:i/>
          <w:color w:val="365F91" w:themeColor="accent1" w:themeShade="BF"/>
          <w:sz w:val="26"/>
          <w:szCs w:val="26"/>
        </w:rPr>
      </w:pPr>
    </w:p>
    <w:p w14:paraId="4D071D64" w14:textId="77777777" w:rsidR="00861B6E" w:rsidRPr="00D541E6" w:rsidRDefault="00861B6E" w:rsidP="00625E1C">
      <w:pPr>
        <w:pStyle w:val="Heading3"/>
        <w:rPr>
          <w:i/>
          <w:color w:val="365F91" w:themeColor="accent1" w:themeShade="BF"/>
          <w:sz w:val="26"/>
          <w:szCs w:val="26"/>
        </w:rPr>
      </w:pPr>
      <w:r w:rsidRPr="00D541E6">
        <w:rPr>
          <w:i/>
          <w:color w:val="365F91" w:themeColor="accent1" w:themeShade="BF"/>
          <w:sz w:val="26"/>
          <w:szCs w:val="26"/>
        </w:rPr>
        <w:t>Inclusion/Exclusion criteria</w:t>
      </w:r>
    </w:p>
    <w:p w14:paraId="4B0F942D" w14:textId="54254A9F" w:rsidR="00635327" w:rsidRPr="00D541E6" w:rsidRDefault="00D550F1" w:rsidP="00625E1C">
      <w:pPr>
        <w:pStyle w:val="Heading3"/>
        <w:rPr>
          <w:b/>
          <w:sz w:val="22"/>
          <w:szCs w:val="22"/>
        </w:rPr>
      </w:pPr>
      <w:r w:rsidRPr="00D541E6">
        <w:rPr>
          <w:b/>
          <w:sz w:val="22"/>
          <w:szCs w:val="22"/>
        </w:rPr>
        <w:t>Inclusion</w:t>
      </w:r>
    </w:p>
    <w:p w14:paraId="35EAF3A2" w14:textId="77777777" w:rsidR="00C3438E" w:rsidRPr="00D541E6" w:rsidRDefault="00635327" w:rsidP="00C3438E">
      <w:pPr>
        <w:pStyle w:val="ListParagraph"/>
        <w:numPr>
          <w:ilvl w:val="0"/>
          <w:numId w:val="20"/>
        </w:numPr>
        <w:rPr>
          <w:sz w:val="22"/>
          <w:szCs w:val="22"/>
        </w:rPr>
      </w:pPr>
      <w:r w:rsidRPr="00D541E6">
        <w:rPr>
          <w:sz w:val="22"/>
          <w:szCs w:val="22"/>
        </w:rPr>
        <w:t>Papers</w:t>
      </w:r>
      <w:r w:rsidR="00146D75" w:rsidRPr="00D541E6">
        <w:rPr>
          <w:rFonts w:ascii="Calibri" w:hAnsi="Calibri" w:cs="Calibri"/>
          <w:color w:val="000000"/>
          <w:lang w:eastAsia="zh-CN"/>
        </w:rPr>
        <w:t xml:space="preserve"> </w:t>
      </w:r>
      <w:r w:rsidR="00146D75" w:rsidRPr="00D541E6">
        <w:rPr>
          <w:sz w:val="22"/>
          <w:szCs w:val="22"/>
        </w:rPr>
        <w:t>considering causal effect estimation in the context of health outcome prediction, specifically to enable counterfactual prediction</w:t>
      </w:r>
      <w:r w:rsidR="00C3438E" w:rsidRPr="00D541E6">
        <w:t xml:space="preserve"> </w:t>
      </w:r>
    </w:p>
    <w:p w14:paraId="0ABF5055" w14:textId="77777777" w:rsidR="00C3438E" w:rsidRPr="00D541E6" w:rsidRDefault="00C3438E" w:rsidP="00C3438E">
      <w:pPr>
        <w:pStyle w:val="ListParagraph"/>
        <w:numPr>
          <w:ilvl w:val="0"/>
          <w:numId w:val="20"/>
        </w:numPr>
        <w:rPr>
          <w:sz w:val="22"/>
          <w:szCs w:val="22"/>
        </w:rPr>
      </w:pPr>
      <w:r w:rsidRPr="00D541E6">
        <w:rPr>
          <w:sz w:val="22"/>
          <w:szCs w:val="22"/>
        </w:rPr>
        <w:t>Original methodological research (e.g. peer reviewed methodological journal)</w:t>
      </w:r>
      <w:r w:rsidRPr="00D541E6">
        <w:t xml:space="preserve"> </w:t>
      </w:r>
    </w:p>
    <w:p w14:paraId="6DBB1428" w14:textId="19B68955" w:rsidR="00C3438E" w:rsidRPr="00D541E6" w:rsidRDefault="00C3438E" w:rsidP="00C3438E">
      <w:pPr>
        <w:pStyle w:val="ListParagraph"/>
        <w:numPr>
          <w:ilvl w:val="0"/>
          <w:numId w:val="20"/>
        </w:numPr>
        <w:rPr>
          <w:sz w:val="22"/>
          <w:szCs w:val="22"/>
        </w:rPr>
      </w:pPr>
      <w:r w:rsidRPr="00D541E6">
        <w:rPr>
          <w:sz w:val="22"/>
          <w:szCs w:val="22"/>
        </w:rPr>
        <w:t xml:space="preserve">Applied research, which did not develop methodology, but state-of-the-art methodology was employed to address relevant causal prediction questions. </w:t>
      </w:r>
    </w:p>
    <w:p w14:paraId="05EC1F07" w14:textId="51F1CD04" w:rsidR="00D550F1" w:rsidRPr="00D541E6" w:rsidRDefault="00D550F1" w:rsidP="00625E1C">
      <w:pPr>
        <w:pStyle w:val="Heading3"/>
        <w:rPr>
          <w:b/>
          <w:sz w:val="22"/>
          <w:szCs w:val="22"/>
        </w:rPr>
      </w:pPr>
      <w:r w:rsidRPr="00D541E6">
        <w:rPr>
          <w:b/>
          <w:sz w:val="22"/>
          <w:szCs w:val="22"/>
        </w:rPr>
        <w:t>Exclusion</w:t>
      </w:r>
    </w:p>
    <w:p w14:paraId="5093876A" w14:textId="77777777" w:rsidR="00635327" w:rsidRPr="00D541E6" w:rsidRDefault="00635327" w:rsidP="00EC5E97">
      <w:pPr>
        <w:pStyle w:val="ListParagraph"/>
        <w:numPr>
          <w:ilvl w:val="0"/>
          <w:numId w:val="20"/>
        </w:numPr>
        <w:rPr>
          <w:sz w:val="22"/>
          <w:szCs w:val="22"/>
        </w:rPr>
      </w:pPr>
      <w:r w:rsidRPr="00D541E6">
        <w:rPr>
          <w:sz w:val="22"/>
          <w:szCs w:val="22"/>
        </w:rPr>
        <w:t>Non-English articles</w:t>
      </w:r>
    </w:p>
    <w:p w14:paraId="46BEC313" w14:textId="0D2C84D8" w:rsidR="00635327" w:rsidRPr="00D541E6" w:rsidRDefault="00635327" w:rsidP="00EC5E97">
      <w:pPr>
        <w:pStyle w:val="ListParagraph"/>
        <w:numPr>
          <w:ilvl w:val="0"/>
          <w:numId w:val="20"/>
        </w:numPr>
        <w:rPr>
          <w:sz w:val="22"/>
          <w:szCs w:val="22"/>
        </w:rPr>
      </w:pPr>
      <w:r w:rsidRPr="00D541E6">
        <w:rPr>
          <w:sz w:val="22"/>
          <w:szCs w:val="22"/>
        </w:rPr>
        <w:t>Letters, comments, editorials</w:t>
      </w:r>
      <w:r w:rsidR="00CF4BF6" w:rsidRPr="00D541E6">
        <w:rPr>
          <w:sz w:val="22"/>
          <w:szCs w:val="22"/>
        </w:rPr>
        <w:t>,</w:t>
      </w:r>
      <w:r w:rsidR="00CF4BF6" w:rsidRPr="00D541E6">
        <w:rPr>
          <w:rFonts w:ascii="Calibri" w:hAnsi="Calibri" w:cs="Calibri"/>
          <w:color w:val="000000"/>
          <w:lang w:eastAsia="zh-CN"/>
        </w:rPr>
        <w:t xml:space="preserve"> </w:t>
      </w:r>
      <w:r w:rsidR="00CF4BF6" w:rsidRPr="00D541E6">
        <w:rPr>
          <w:sz w:val="22"/>
          <w:szCs w:val="22"/>
        </w:rPr>
        <w:t>and conference abstracts with no information to allow assessment of proposed methods</w:t>
      </w:r>
    </w:p>
    <w:p w14:paraId="0201CCC9" w14:textId="5C7C81DA" w:rsidR="00635327" w:rsidRPr="00D541E6" w:rsidRDefault="00635327" w:rsidP="00EC5E97">
      <w:pPr>
        <w:pStyle w:val="ListParagraph"/>
        <w:numPr>
          <w:ilvl w:val="0"/>
          <w:numId w:val="20"/>
        </w:numPr>
        <w:rPr>
          <w:sz w:val="22"/>
          <w:szCs w:val="22"/>
        </w:rPr>
      </w:pPr>
      <w:r w:rsidRPr="00D541E6">
        <w:rPr>
          <w:sz w:val="22"/>
          <w:szCs w:val="22"/>
        </w:rPr>
        <w:t>Methodology relating to a field other than medical/clinical prediction</w:t>
      </w:r>
    </w:p>
    <w:p w14:paraId="3512E3D7" w14:textId="509DE8BB" w:rsidR="00CF4BF6" w:rsidRPr="00D541E6" w:rsidRDefault="00CF4BF6" w:rsidP="00CF4BF6">
      <w:pPr>
        <w:pStyle w:val="ListParagraph"/>
        <w:numPr>
          <w:ilvl w:val="0"/>
          <w:numId w:val="20"/>
        </w:numPr>
        <w:rPr>
          <w:sz w:val="22"/>
          <w:szCs w:val="22"/>
        </w:rPr>
      </w:pPr>
      <w:r w:rsidRPr="00D541E6">
        <w:rPr>
          <w:sz w:val="22"/>
          <w:szCs w:val="22"/>
        </w:rPr>
        <w:t>We excluded the studies where the primary objective was calculation of conditional treatment effect, and clinical prediction models were used to infer individualized treatment effects</w:t>
      </w:r>
      <w:r w:rsidR="008913C6" w:rsidRPr="00D541E6">
        <w:rPr>
          <w:sz w:val="22"/>
          <w:szCs w:val="22"/>
        </w:rPr>
        <w:t>.</w:t>
      </w:r>
    </w:p>
    <w:p w14:paraId="0786FD65" w14:textId="77777777" w:rsidR="00D550F1" w:rsidRPr="00D541E6" w:rsidRDefault="00D550F1" w:rsidP="003F083E">
      <w:pPr>
        <w:pStyle w:val="ListParagraph"/>
        <w:ind w:firstLine="0"/>
      </w:pPr>
    </w:p>
    <w:p w14:paraId="0B0A0A20" w14:textId="4C2B6C5A" w:rsidR="00E67CE0" w:rsidRPr="00D541E6" w:rsidRDefault="00E67CE0" w:rsidP="00625E1C">
      <w:pPr>
        <w:pStyle w:val="Heading3"/>
        <w:rPr>
          <w:i/>
          <w:color w:val="365F91" w:themeColor="accent1" w:themeShade="BF"/>
          <w:sz w:val="26"/>
          <w:szCs w:val="26"/>
        </w:rPr>
      </w:pPr>
      <w:r w:rsidRPr="00D541E6">
        <w:rPr>
          <w:i/>
          <w:color w:val="365F91" w:themeColor="accent1" w:themeShade="BF"/>
          <w:sz w:val="26"/>
          <w:szCs w:val="26"/>
        </w:rPr>
        <w:t>Information sources</w:t>
      </w:r>
    </w:p>
    <w:p w14:paraId="30D731B0" w14:textId="77777777" w:rsidR="00E67CE0" w:rsidRPr="00D541E6" w:rsidRDefault="00E67CE0" w:rsidP="00EC5E97">
      <w:pPr>
        <w:spacing w:after="160" w:line="259" w:lineRule="auto"/>
        <w:rPr>
          <w:rFonts w:eastAsia="Calibri" w:cs="Times New Roman"/>
          <w:sz w:val="22"/>
          <w:szCs w:val="22"/>
        </w:rPr>
      </w:pPr>
      <w:r w:rsidRPr="00D541E6">
        <w:rPr>
          <w:rFonts w:eastAsia="Calibri" w:cs="Times New Roman"/>
          <w:sz w:val="22"/>
          <w:szCs w:val="22"/>
        </w:rPr>
        <w:t>We will use the above search terms to extract potentially relevant articles from:</w:t>
      </w:r>
    </w:p>
    <w:p w14:paraId="4A9A0D25" w14:textId="380F0AE1" w:rsidR="00E67CE0" w:rsidRPr="00D541E6" w:rsidRDefault="00E67CE0" w:rsidP="00EC5E97">
      <w:pPr>
        <w:numPr>
          <w:ilvl w:val="0"/>
          <w:numId w:val="20"/>
        </w:numPr>
        <w:spacing w:after="160" w:line="259" w:lineRule="auto"/>
        <w:contextualSpacing/>
        <w:rPr>
          <w:rFonts w:eastAsia="Calibri" w:cs="Times New Roman"/>
          <w:sz w:val="22"/>
          <w:szCs w:val="22"/>
        </w:rPr>
      </w:pPr>
      <w:r w:rsidRPr="00D541E6">
        <w:rPr>
          <w:rFonts w:eastAsia="Calibri" w:cs="Times New Roman"/>
          <w:sz w:val="22"/>
          <w:szCs w:val="22"/>
        </w:rPr>
        <w:t xml:space="preserve">MEDLINE (via Ovid) - </w:t>
      </w:r>
      <w:r w:rsidRPr="00D541E6">
        <w:rPr>
          <w:rFonts w:eastAsia="Calibri" w:cs="Times New Roman"/>
          <w:b/>
          <w:bCs/>
          <w:color w:val="0A0905"/>
          <w:sz w:val="22"/>
          <w:szCs w:val="22"/>
          <w:shd w:val="clear" w:color="auto" w:fill="FFFFFF"/>
        </w:rPr>
        <w:t xml:space="preserve">Ovid MEDLINE(R) and </w:t>
      </w:r>
      <w:proofErr w:type="spellStart"/>
      <w:r w:rsidRPr="00D541E6">
        <w:rPr>
          <w:rFonts w:eastAsia="Calibri" w:cs="Times New Roman"/>
          <w:b/>
          <w:bCs/>
          <w:color w:val="0A0905"/>
          <w:sz w:val="22"/>
          <w:szCs w:val="22"/>
          <w:shd w:val="clear" w:color="auto" w:fill="FFFFFF"/>
        </w:rPr>
        <w:t>Epub</w:t>
      </w:r>
      <w:proofErr w:type="spellEnd"/>
      <w:r w:rsidRPr="00D541E6">
        <w:rPr>
          <w:rFonts w:eastAsia="Calibri" w:cs="Times New Roman"/>
          <w:b/>
          <w:bCs/>
          <w:color w:val="0A0905"/>
          <w:sz w:val="22"/>
          <w:szCs w:val="22"/>
          <w:shd w:val="clear" w:color="auto" w:fill="FFFFFF"/>
        </w:rPr>
        <w:t xml:space="preserve"> Ahead of Print, In-Process &amp; Other Non-Indexed Citations, Daily and Versions</w:t>
      </w:r>
    </w:p>
    <w:p w14:paraId="12F726FA" w14:textId="77777777" w:rsidR="00E67CE0" w:rsidRPr="00D541E6" w:rsidRDefault="00E67CE0" w:rsidP="00EC5E97">
      <w:pPr>
        <w:numPr>
          <w:ilvl w:val="0"/>
          <w:numId w:val="20"/>
        </w:numPr>
        <w:spacing w:after="160" w:line="259" w:lineRule="auto"/>
        <w:contextualSpacing/>
        <w:rPr>
          <w:rFonts w:eastAsia="Calibri" w:cs="Times New Roman"/>
          <w:sz w:val="22"/>
          <w:szCs w:val="22"/>
        </w:rPr>
      </w:pPr>
      <w:proofErr w:type="spellStart"/>
      <w:r w:rsidRPr="00D541E6">
        <w:rPr>
          <w:rFonts w:eastAsia="Calibri" w:cs="Times New Roman"/>
          <w:sz w:val="22"/>
          <w:szCs w:val="22"/>
        </w:rPr>
        <w:t>Embase</w:t>
      </w:r>
      <w:proofErr w:type="spellEnd"/>
      <w:r w:rsidRPr="00D541E6">
        <w:rPr>
          <w:rFonts w:eastAsia="Calibri" w:cs="Times New Roman"/>
          <w:sz w:val="22"/>
          <w:szCs w:val="22"/>
        </w:rPr>
        <w:t xml:space="preserve"> (via Ovid)</w:t>
      </w:r>
    </w:p>
    <w:p w14:paraId="2E9EF2D4" w14:textId="1E22EA24" w:rsidR="00E67CE0" w:rsidRPr="00D541E6" w:rsidRDefault="00927EFA" w:rsidP="00EC5E97">
      <w:pPr>
        <w:numPr>
          <w:ilvl w:val="0"/>
          <w:numId w:val="20"/>
        </w:numPr>
        <w:spacing w:after="160" w:line="259" w:lineRule="auto"/>
        <w:contextualSpacing/>
        <w:rPr>
          <w:rFonts w:eastAsia="Calibri" w:cs="Times New Roman"/>
          <w:sz w:val="22"/>
          <w:szCs w:val="22"/>
        </w:rPr>
      </w:pPr>
      <w:r w:rsidRPr="00D541E6">
        <w:rPr>
          <w:rFonts w:eastAsia="Calibri" w:cs="Times New Roman"/>
          <w:sz w:val="22"/>
          <w:szCs w:val="22"/>
        </w:rPr>
        <w:t>Google Scholar</w:t>
      </w:r>
    </w:p>
    <w:p w14:paraId="1D582BB2" w14:textId="28E7F645" w:rsidR="00C71F40" w:rsidRPr="00D541E6" w:rsidRDefault="00506E2A" w:rsidP="00EC5E97">
      <w:pPr>
        <w:numPr>
          <w:ilvl w:val="0"/>
          <w:numId w:val="20"/>
        </w:numPr>
        <w:spacing w:after="160" w:line="259" w:lineRule="auto"/>
        <w:contextualSpacing/>
        <w:rPr>
          <w:rFonts w:eastAsia="Calibri" w:cs="Times New Roman"/>
          <w:sz w:val="22"/>
          <w:szCs w:val="22"/>
        </w:rPr>
      </w:pPr>
      <w:r w:rsidRPr="00D541E6">
        <w:rPr>
          <w:rFonts w:eastAsia="Calibri" w:cs="Times New Roman"/>
          <w:sz w:val="22"/>
          <w:szCs w:val="22"/>
        </w:rPr>
        <w:t>Non-</w:t>
      </w:r>
      <w:r w:rsidR="00F97C71" w:rsidRPr="00D541E6">
        <w:rPr>
          <w:rFonts w:eastAsia="Calibri" w:cs="Times New Roman"/>
          <w:sz w:val="22"/>
          <w:szCs w:val="22"/>
        </w:rPr>
        <w:t>exhaustive</w:t>
      </w:r>
      <w:r w:rsidRPr="00D541E6">
        <w:rPr>
          <w:rFonts w:eastAsia="Calibri" w:cs="Times New Roman"/>
          <w:sz w:val="22"/>
          <w:szCs w:val="22"/>
        </w:rPr>
        <w:t xml:space="preserve"> search with </w:t>
      </w:r>
      <w:r w:rsidR="0011076E" w:rsidRPr="00D541E6">
        <w:rPr>
          <w:rFonts w:eastAsia="Calibri" w:cs="Times New Roman"/>
          <w:sz w:val="22"/>
          <w:szCs w:val="22"/>
        </w:rPr>
        <w:t>t</w:t>
      </w:r>
      <w:r w:rsidR="00C71F40" w:rsidRPr="00D541E6">
        <w:rPr>
          <w:rFonts w:eastAsia="Calibri" w:cs="Times New Roman"/>
          <w:sz w:val="22"/>
          <w:szCs w:val="22"/>
        </w:rPr>
        <w:t>extbook</w:t>
      </w:r>
      <w:r w:rsidRPr="00D541E6">
        <w:rPr>
          <w:rFonts w:eastAsia="Calibri" w:cs="Times New Roman"/>
          <w:sz w:val="22"/>
          <w:szCs w:val="22"/>
        </w:rPr>
        <w:t>s</w:t>
      </w:r>
      <w:r w:rsidR="00C71F40" w:rsidRPr="00D541E6">
        <w:rPr>
          <w:rFonts w:eastAsia="Calibri" w:cs="Times New Roman"/>
          <w:sz w:val="22"/>
          <w:szCs w:val="22"/>
        </w:rPr>
        <w:t xml:space="preserve"> </w:t>
      </w:r>
      <w:r w:rsidRPr="00D541E6">
        <w:rPr>
          <w:rFonts w:eastAsia="Calibri" w:cs="Times New Roman"/>
          <w:sz w:val="22"/>
          <w:szCs w:val="22"/>
        </w:rPr>
        <w:t>&amp;</w:t>
      </w:r>
      <w:r w:rsidR="00C71F40" w:rsidRPr="00D541E6">
        <w:rPr>
          <w:rFonts w:eastAsia="Calibri" w:cs="Times New Roman"/>
          <w:sz w:val="22"/>
          <w:szCs w:val="22"/>
        </w:rPr>
        <w:t xml:space="preserve"> </w:t>
      </w:r>
      <w:r w:rsidR="0011076E" w:rsidRPr="00D541E6">
        <w:rPr>
          <w:rFonts w:eastAsia="Calibri" w:cs="Times New Roman"/>
          <w:sz w:val="22"/>
          <w:szCs w:val="22"/>
        </w:rPr>
        <w:t>s</w:t>
      </w:r>
      <w:r w:rsidR="00C71F40" w:rsidRPr="00D541E6">
        <w:rPr>
          <w:rFonts w:eastAsia="Calibri" w:cs="Times New Roman"/>
          <w:sz w:val="22"/>
          <w:szCs w:val="22"/>
        </w:rPr>
        <w:t>hallow literature</w:t>
      </w:r>
      <w:r w:rsidR="00C268D8" w:rsidRPr="00D541E6">
        <w:rPr>
          <w:rFonts w:eastAsia="Calibri" w:cs="Times New Roman"/>
          <w:sz w:val="22"/>
          <w:szCs w:val="22"/>
        </w:rPr>
        <w:t xml:space="preserve"> search</w:t>
      </w:r>
      <w:r w:rsidR="00603B3D" w:rsidRPr="00D541E6">
        <w:rPr>
          <w:rFonts w:eastAsia="Calibri" w:cs="Times New Roman"/>
          <w:sz w:val="22"/>
          <w:szCs w:val="22"/>
        </w:rPr>
        <w:t xml:space="preserve"> on broad causal inference methods</w:t>
      </w:r>
    </w:p>
    <w:p w14:paraId="1ED93D94" w14:textId="77777777" w:rsidR="00E54B6B" w:rsidRPr="00D541E6" w:rsidRDefault="00E54B6B" w:rsidP="00625E1C">
      <w:pPr>
        <w:spacing w:after="160" w:line="259" w:lineRule="auto"/>
        <w:contextualSpacing/>
        <w:rPr>
          <w:rFonts w:eastAsia="Calibri" w:cs="Times New Roman"/>
          <w:sz w:val="22"/>
          <w:szCs w:val="22"/>
        </w:rPr>
      </w:pPr>
    </w:p>
    <w:p w14:paraId="2C480222" w14:textId="1C07E7DA" w:rsidR="00861B6E" w:rsidRPr="00D541E6" w:rsidRDefault="00861B6E" w:rsidP="00625E1C">
      <w:pPr>
        <w:pStyle w:val="Heading4"/>
        <w:rPr>
          <w:sz w:val="22"/>
          <w:szCs w:val="22"/>
        </w:rPr>
      </w:pPr>
    </w:p>
    <w:p w14:paraId="60991F09" w14:textId="5047228F" w:rsidR="008E3227" w:rsidRPr="00D541E6" w:rsidRDefault="008E3227" w:rsidP="00625E1C">
      <w:pPr>
        <w:pStyle w:val="ListParagraph"/>
        <w:numPr>
          <w:ilvl w:val="0"/>
          <w:numId w:val="14"/>
        </w:numPr>
        <w:spacing w:after="160" w:line="259" w:lineRule="auto"/>
        <w:contextualSpacing/>
        <w:rPr>
          <w:sz w:val="22"/>
          <w:szCs w:val="22"/>
        </w:rPr>
      </w:pPr>
      <w:r w:rsidRPr="00D541E6">
        <w:rPr>
          <w:rFonts w:ascii="Calibri Light" w:eastAsia="DengXian Light" w:hAnsi="Calibri Light" w:cs="Times New Roman"/>
          <w:color w:val="1F4D78"/>
          <w:sz w:val="26"/>
          <w:szCs w:val="26"/>
        </w:rPr>
        <w:br w:type="page"/>
      </w:r>
    </w:p>
    <w:p w14:paraId="224EEFED" w14:textId="1D976603" w:rsidR="00340764" w:rsidRPr="00D541E6" w:rsidRDefault="00CD3498" w:rsidP="00CC2044">
      <w:pPr>
        <w:keepNext/>
        <w:keepLines/>
        <w:spacing w:before="40" w:line="276" w:lineRule="auto"/>
        <w:outlineLvl w:val="2"/>
        <w:rPr>
          <w:sz w:val="22"/>
          <w:szCs w:val="22"/>
        </w:rPr>
      </w:pPr>
      <w:r w:rsidRPr="00D541E6">
        <w:rPr>
          <w:rFonts w:ascii="Calibri" w:eastAsia="DengXian Light" w:hAnsi="Calibri" w:cs="Times New Roman"/>
          <w:i/>
          <w:color w:val="1F4D78"/>
          <w:sz w:val="26"/>
          <w:szCs w:val="26"/>
        </w:rPr>
        <w:lastRenderedPageBreak/>
        <w:t>Search Terms</w:t>
      </w:r>
    </w:p>
    <w:p w14:paraId="33718179" w14:textId="5DDFD4BD" w:rsidR="001D4312" w:rsidRPr="00D541E6" w:rsidRDefault="00713FF7" w:rsidP="001D4312">
      <w:pPr>
        <w:rPr>
          <w:sz w:val="22"/>
          <w:szCs w:val="22"/>
        </w:rPr>
      </w:pPr>
      <w:r w:rsidRPr="00D541E6">
        <w:rPr>
          <w:sz w:val="22"/>
          <w:szCs w:val="22"/>
        </w:rPr>
        <w:t xml:space="preserve">We </w:t>
      </w:r>
      <w:r w:rsidR="00F813CD" w:rsidRPr="00D541E6">
        <w:rPr>
          <w:sz w:val="22"/>
          <w:szCs w:val="22"/>
        </w:rPr>
        <w:t xml:space="preserve">have </w:t>
      </w:r>
      <w:r w:rsidRPr="00D541E6">
        <w:rPr>
          <w:sz w:val="22"/>
          <w:szCs w:val="22"/>
        </w:rPr>
        <w:t>know</w:t>
      </w:r>
      <w:r w:rsidR="00F813CD" w:rsidRPr="00D541E6">
        <w:rPr>
          <w:sz w:val="22"/>
          <w:szCs w:val="22"/>
        </w:rPr>
        <w:t>n</w:t>
      </w:r>
      <w:r w:rsidRPr="00D541E6">
        <w:rPr>
          <w:sz w:val="22"/>
          <w:szCs w:val="22"/>
        </w:rPr>
        <w:t xml:space="preserve"> </w:t>
      </w:r>
      <w:r w:rsidR="00C53418" w:rsidRPr="00D541E6">
        <w:rPr>
          <w:sz w:val="22"/>
          <w:szCs w:val="22"/>
        </w:rPr>
        <w:t xml:space="preserve">of common methods in causal inference </w:t>
      </w:r>
      <w:r w:rsidRPr="00D541E6">
        <w:rPr>
          <w:sz w:val="22"/>
          <w:szCs w:val="22"/>
        </w:rPr>
        <w:t>from prior knowledge</w:t>
      </w:r>
      <w:r w:rsidR="0074389A" w:rsidRPr="00D541E6">
        <w:rPr>
          <w:sz w:val="22"/>
          <w:szCs w:val="22"/>
        </w:rPr>
        <w:t>. These terms were extracted from textbooks</w:t>
      </w:r>
      <w:r w:rsidRPr="00D541E6">
        <w:rPr>
          <w:sz w:val="22"/>
          <w:szCs w:val="22"/>
        </w:rPr>
        <w:t xml:space="preserve"> and </w:t>
      </w:r>
      <w:r w:rsidR="00C53418" w:rsidRPr="00D541E6">
        <w:rPr>
          <w:sz w:val="22"/>
          <w:szCs w:val="22"/>
        </w:rPr>
        <w:t xml:space="preserve">known relevant </w:t>
      </w:r>
      <w:r w:rsidRPr="00D541E6">
        <w:rPr>
          <w:sz w:val="22"/>
          <w:szCs w:val="22"/>
        </w:rPr>
        <w:t>literatures</w:t>
      </w:r>
      <w:r w:rsidR="000129D3" w:rsidRPr="00D541E6">
        <w:rPr>
          <w:sz w:val="22"/>
          <w:szCs w:val="22"/>
        </w:rPr>
        <w:t xml:space="preserve"> and </w:t>
      </w:r>
      <w:r w:rsidR="005A713E" w:rsidRPr="00D541E6">
        <w:rPr>
          <w:sz w:val="22"/>
          <w:szCs w:val="22"/>
        </w:rPr>
        <w:t xml:space="preserve">we </w:t>
      </w:r>
      <w:r w:rsidR="000129D3" w:rsidRPr="00D541E6">
        <w:rPr>
          <w:sz w:val="22"/>
          <w:szCs w:val="22"/>
        </w:rPr>
        <w:t>use</w:t>
      </w:r>
      <w:r w:rsidR="0074389A" w:rsidRPr="00D541E6">
        <w:rPr>
          <w:sz w:val="22"/>
          <w:szCs w:val="22"/>
        </w:rPr>
        <w:t>d</w:t>
      </w:r>
      <w:r w:rsidR="005A713E" w:rsidRPr="00D541E6">
        <w:rPr>
          <w:sz w:val="22"/>
          <w:szCs w:val="22"/>
        </w:rPr>
        <w:t xml:space="preserve"> them</w:t>
      </w:r>
      <w:r w:rsidR="0074389A" w:rsidRPr="00D541E6">
        <w:rPr>
          <w:sz w:val="22"/>
          <w:szCs w:val="22"/>
        </w:rPr>
        <w:t xml:space="preserve"> for</w:t>
      </w:r>
      <w:r w:rsidR="000129D3" w:rsidRPr="00D541E6">
        <w:rPr>
          <w:sz w:val="22"/>
          <w:szCs w:val="22"/>
        </w:rPr>
        <w:t xml:space="preserve"> keyword search in the databases. </w:t>
      </w:r>
      <w:r w:rsidR="001D4312" w:rsidRPr="00D541E6">
        <w:rPr>
          <w:sz w:val="22"/>
          <w:szCs w:val="22"/>
        </w:rPr>
        <w:t xml:space="preserve">Grey terms were included in the initial attempt but removed from the final search as the resulted amount was not </w:t>
      </w:r>
      <w:r w:rsidR="004D0BA1" w:rsidRPr="00D541E6">
        <w:rPr>
          <w:sz w:val="22"/>
          <w:szCs w:val="22"/>
        </w:rPr>
        <w:t>manageable</w:t>
      </w:r>
      <w:r w:rsidR="001D4312" w:rsidRPr="00D541E6">
        <w:rPr>
          <w:sz w:val="22"/>
          <w:szCs w:val="22"/>
        </w:rPr>
        <w:t xml:space="preserve"> often due to the broadness of the terms</w:t>
      </w:r>
      <w:r w:rsidR="006E6B4D" w:rsidRPr="00D541E6">
        <w:rPr>
          <w:sz w:val="22"/>
          <w:szCs w:val="22"/>
        </w:rPr>
        <w:t xml:space="preserve">. We notice that </w:t>
      </w:r>
      <w:r w:rsidR="001D4312" w:rsidRPr="00D541E6">
        <w:rPr>
          <w:sz w:val="22"/>
          <w:szCs w:val="22"/>
        </w:rPr>
        <w:t>papers from the validation set were s</w:t>
      </w:r>
      <w:r w:rsidR="006E6B4D" w:rsidRPr="00D541E6">
        <w:rPr>
          <w:sz w:val="22"/>
          <w:szCs w:val="22"/>
        </w:rPr>
        <w:t>till found after removing these broad terms.</w:t>
      </w:r>
      <w:r w:rsidR="001D4312" w:rsidRPr="00D541E6">
        <w:rPr>
          <w:sz w:val="22"/>
          <w:szCs w:val="22"/>
        </w:rPr>
        <w:t xml:space="preserve"> </w:t>
      </w:r>
      <w:r w:rsidR="001D4312" w:rsidRPr="00D541E6">
        <w:rPr>
          <w:sz w:val="22"/>
          <w:szCs w:val="22"/>
          <w:lang w:eastAsia="zh-CN"/>
        </w:rPr>
        <w:t xml:space="preserve"> </w:t>
      </w:r>
    </w:p>
    <w:p w14:paraId="325E6CB4" w14:textId="0C57E937" w:rsidR="006E79B7" w:rsidRPr="00D541E6" w:rsidRDefault="006E79B7" w:rsidP="003D3405">
      <w:pPr>
        <w:spacing w:line="276" w:lineRule="auto"/>
        <w:rPr>
          <w:sz w:val="22"/>
          <w:szCs w:val="22"/>
        </w:rPr>
      </w:pPr>
    </w:p>
    <w:p w14:paraId="09B8809A" w14:textId="312CA045" w:rsidR="00AE11AE" w:rsidRPr="00D541E6" w:rsidRDefault="00AE11AE" w:rsidP="003D3405">
      <w:pPr>
        <w:spacing w:line="276" w:lineRule="auto"/>
        <w:rPr>
          <w:sz w:val="22"/>
          <w:szCs w:val="22"/>
        </w:rPr>
      </w:pPr>
    </w:p>
    <w:tbl>
      <w:tblPr>
        <w:tblW w:w="7737" w:type="dxa"/>
        <w:jc w:val="center"/>
        <w:tblLook w:val="04A0" w:firstRow="1" w:lastRow="0" w:firstColumn="1" w:lastColumn="0" w:noHBand="0" w:noVBand="1"/>
      </w:tblPr>
      <w:tblGrid>
        <w:gridCol w:w="6237"/>
        <w:gridCol w:w="1500"/>
      </w:tblGrid>
      <w:tr w:rsidR="003C5C4E" w:rsidRPr="00D541E6" w14:paraId="05848BA5" w14:textId="571B833B" w:rsidTr="003D3405">
        <w:trPr>
          <w:trHeight w:val="300"/>
          <w:jc w:val="center"/>
        </w:trPr>
        <w:tc>
          <w:tcPr>
            <w:tcW w:w="623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371D9908" w14:textId="180D4FB6" w:rsidR="003C5C4E" w:rsidRPr="00D541E6" w:rsidRDefault="00044D11" w:rsidP="00467B36">
            <w:pPr>
              <w:spacing w:line="276" w:lineRule="auto"/>
              <w:rPr>
                <w:rFonts w:ascii="Calibri" w:eastAsia="Times New Roman" w:hAnsi="Calibri" w:cs="Calibri"/>
                <w:b/>
                <w:bCs/>
                <w:color w:val="000000"/>
                <w:sz w:val="22"/>
                <w:szCs w:val="22"/>
                <w:lang w:eastAsia="en-GB"/>
              </w:rPr>
            </w:pPr>
            <w:r w:rsidRPr="00D541E6">
              <w:rPr>
                <w:rFonts w:ascii="Calibri" w:eastAsia="Times New Roman" w:hAnsi="Calibri" w:cs="Calibri"/>
                <w:b/>
                <w:bCs/>
                <w:color w:val="000000"/>
                <w:sz w:val="22"/>
                <w:szCs w:val="22"/>
                <w:lang w:eastAsia="en-GB"/>
              </w:rPr>
              <w:t xml:space="preserve">Table </w:t>
            </w:r>
            <w:r w:rsidR="00CA34AD" w:rsidRPr="00D541E6">
              <w:rPr>
                <w:rFonts w:ascii="Calibri" w:eastAsia="Times New Roman" w:hAnsi="Calibri" w:cs="Calibri"/>
                <w:b/>
                <w:bCs/>
                <w:color w:val="000000"/>
                <w:sz w:val="22"/>
                <w:szCs w:val="22"/>
                <w:lang w:eastAsia="en-GB"/>
              </w:rPr>
              <w:t>1</w:t>
            </w:r>
            <w:r w:rsidRPr="00D541E6">
              <w:rPr>
                <w:rFonts w:ascii="Calibri" w:eastAsia="Times New Roman" w:hAnsi="Calibri" w:cs="Calibri"/>
                <w:b/>
                <w:bCs/>
                <w:color w:val="000000"/>
                <w:sz w:val="22"/>
                <w:szCs w:val="22"/>
                <w:lang w:eastAsia="en-GB"/>
              </w:rPr>
              <w:t>.</w:t>
            </w:r>
            <w:r w:rsidR="007C05A6" w:rsidRPr="00D541E6">
              <w:rPr>
                <w:rFonts w:ascii="Calibri" w:eastAsia="Times New Roman" w:hAnsi="Calibri" w:cs="Calibri"/>
                <w:b/>
                <w:bCs/>
                <w:color w:val="000000"/>
                <w:sz w:val="22"/>
                <w:szCs w:val="22"/>
                <w:lang w:eastAsia="en-GB"/>
              </w:rPr>
              <w:t xml:space="preserve"> </w:t>
            </w:r>
            <w:r w:rsidR="002A4CFE" w:rsidRPr="00D541E6">
              <w:rPr>
                <w:rFonts w:ascii="Calibri" w:eastAsia="Times New Roman" w:hAnsi="Calibri" w:cs="Calibri"/>
                <w:b/>
                <w:bCs/>
                <w:color w:val="000000"/>
                <w:sz w:val="22"/>
                <w:szCs w:val="22"/>
                <w:lang w:eastAsia="en-GB"/>
              </w:rPr>
              <w:t xml:space="preserve">Causal </w:t>
            </w:r>
            <w:r w:rsidR="0049463B" w:rsidRPr="00D541E6">
              <w:rPr>
                <w:rFonts w:ascii="Calibri" w:eastAsia="Times New Roman" w:hAnsi="Calibri" w:cs="Calibri"/>
                <w:b/>
                <w:bCs/>
                <w:color w:val="000000"/>
                <w:sz w:val="22"/>
                <w:szCs w:val="22"/>
                <w:lang w:eastAsia="en-GB"/>
              </w:rPr>
              <w:t>method</w:t>
            </w:r>
            <w:r w:rsidR="002E12CB" w:rsidRPr="00D541E6">
              <w:rPr>
                <w:rFonts w:ascii="Calibri" w:eastAsia="Times New Roman" w:hAnsi="Calibri" w:cs="Calibri"/>
                <w:b/>
                <w:bCs/>
                <w:color w:val="000000"/>
                <w:sz w:val="22"/>
                <w:szCs w:val="22"/>
                <w:lang w:eastAsia="en-GB"/>
              </w:rPr>
              <w:t>s</w:t>
            </w:r>
            <w:r w:rsidR="003C5C4E" w:rsidRPr="00D541E6">
              <w:rPr>
                <w:rFonts w:ascii="Calibri" w:eastAsia="Times New Roman" w:hAnsi="Calibri" w:cs="Calibri"/>
                <w:b/>
                <w:bCs/>
                <w:color w:val="000000"/>
                <w:sz w:val="22"/>
                <w:szCs w:val="22"/>
                <w:lang w:eastAsia="en-GB"/>
              </w:rPr>
              <w:t xml:space="preserve">: </w:t>
            </w:r>
            <w:r w:rsidR="00A81E4B" w:rsidRPr="00D541E6">
              <w:rPr>
                <w:rFonts w:ascii="Calibri" w:eastAsia="Times New Roman" w:hAnsi="Calibri" w:cs="Calibri"/>
                <w:b/>
                <w:bCs/>
                <w:color w:val="000000"/>
                <w:sz w:val="22"/>
                <w:szCs w:val="22"/>
                <w:lang w:eastAsia="en-GB"/>
              </w:rPr>
              <w:t>common method</w:t>
            </w:r>
            <w:r w:rsidR="0031247A" w:rsidRPr="00D541E6">
              <w:rPr>
                <w:rFonts w:ascii="Calibri" w:eastAsia="Times New Roman" w:hAnsi="Calibri" w:cs="Calibri"/>
                <w:b/>
                <w:bCs/>
                <w:color w:val="000000"/>
                <w:sz w:val="22"/>
                <w:szCs w:val="22"/>
                <w:lang w:eastAsia="en-GB"/>
              </w:rPr>
              <w:t>s</w:t>
            </w:r>
            <w:r w:rsidR="00A81E4B" w:rsidRPr="00D541E6">
              <w:rPr>
                <w:rFonts w:ascii="Calibri" w:eastAsia="Times New Roman" w:hAnsi="Calibri" w:cs="Calibri"/>
                <w:b/>
                <w:bCs/>
                <w:color w:val="000000"/>
                <w:sz w:val="22"/>
                <w:szCs w:val="22"/>
                <w:lang w:eastAsia="en-GB"/>
              </w:rPr>
              <w:t xml:space="preserve"> used for causal inference</w:t>
            </w:r>
          </w:p>
        </w:tc>
        <w:tc>
          <w:tcPr>
            <w:tcW w:w="150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586651E" w14:textId="77777777" w:rsidR="003C5C4E" w:rsidRPr="00D541E6" w:rsidRDefault="003C5C4E" w:rsidP="003D3405">
            <w:pPr>
              <w:spacing w:line="276" w:lineRule="auto"/>
              <w:ind w:right="503"/>
              <w:rPr>
                <w:rFonts w:ascii="Calibri" w:eastAsia="Times New Roman" w:hAnsi="Calibri" w:cs="Calibri"/>
                <w:b/>
                <w:bCs/>
                <w:color w:val="000000"/>
                <w:sz w:val="22"/>
                <w:szCs w:val="22"/>
                <w:lang w:eastAsia="en-GB"/>
              </w:rPr>
            </w:pPr>
          </w:p>
        </w:tc>
      </w:tr>
      <w:tr w:rsidR="004857B8" w:rsidRPr="00D541E6" w14:paraId="70894049" w14:textId="77777777" w:rsidTr="00F95DE7">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C6F0849" w14:textId="75D22AFD" w:rsidR="00624800" w:rsidRPr="00D541E6" w:rsidRDefault="00624800" w:rsidP="003D3405">
            <w:pPr>
              <w:spacing w:line="276" w:lineRule="auto"/>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MEDLINE mesh</w:t>
            </w:r>
            <w:r w:rsidR="002D4267" w:rsidRPr="00D541E6">
              <w:rPr>
                <w:rFonts w:ascii="Calibri" w:eastAsia="Times New Roman" w:hAnsi="Calibri" w:cs="Calibri"/>
                <w:color w:val="7F7F7F" w:themeColor="text1" w:themeTint="80"/>
                <w:sz w:val="22"/>
                <w:szCs w:val="22"/>
                <w:lang w:eastAsia="en-GB"/>
              </w:rPr>
              <w:t xml:space="preserve"> search for ‘models’</w:t>
            </w:r>
            <w:r w:rsidR="00F533A9" w:rsidRPr="00D541E6">
              <w:rPr>
                <w:rFonts w:ascii="Calibri" w:eastAsia="Times New Roman" w:hAnsi="Calibri" w:cs="Calibri"/>
                <w:color w:val="7F7F7F" w:themeColor="text1" w:themeTint="80"/>
                <w:sz w:val="22"/>
                <w:szCs w:val="22"/>
                <w:lang w:eastAsia="en-GB"/>
              </w:rPr>
              <w:t>:</w:t>
            </w:r>
          </w:p>
          <w:p w14:paraId="13E57233" w14:textId="154DE530" w:rsidR="004857B8" w:rsidRPr="00D541E6" w:rsidRDefault="004857B8" w:rsidP="003D3405">
            <w:pPr>
              <w:spacing w:line="276" w:lineRule="auto"/>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models, statistical/ or logistic models/ or *</w:t>
            </w:r>
            <w:proofErr w:type="spellStart"/>
            <w:proofErr w:type="gramStart"/>
            <w:r w:rsidRPr="00D541E6">
              <w:rPr>
                <w:rFonts w:ascii="Calibri" w:eastAsia="Times New Roman" w:hAnsi="Calibri" w:cs="Calibri"/>
                <w:color w:val="7F7F7F" w:themeColor="text1" w:themeTint="80"/>
                <w:sz w:val="22"/>
                <w:szCs w:val="22"/>
                <w:lang w:eastAsia="en-GB"/>
              </w:rPr>
              <w:t>models,theoretical</w:t>
            </w:r>
            <w:proofErr w:type="spellEnd"/>
            <w:proofErr w:type="gramEnd"/>
            <w:r w:rsidRPr="00D541E6">
              <w:rPr>
                <w:rFonts w:ascii="Calibri" w:eastAsia="Times New Roman" w:hAnsi="Calibri" w:cs="Calibri"/>
                <w:color w:val="7F7F7F" w:themeColor="text1" w:themeTint="80"/>
                <w:sz w:val="22"/>
                <w:szCs w:val="22"/>
                <w:lang w:eastAsia="en-GB"/>
              </w:rPr>
              <w:t>/ or likelihood functions/</w:t>
            </w:r>
            <w:r w:rsidR="00DA1C73" w:rsidRPr="00D541E6">
              <w:rPr>
                <w:rFonts w:ascii="Calibri" w:eastAsia="Times New Roman" w:hAnsi="Calibri" w:cs="Calibri"/>
                <w:color w:val="7F7F7F" w:themeColor="text1" w:themeTint="80"/>
                <w:sz w:val="22"/>
                <w:szCs w:val="22"/>
                <w:lang w:eastAsia="en-GB"/>
              </w:rPr>
              <w:t xml:space="preserve"> or survival analysis/</w:t>
            </w:r>
          </w:p>
          <w:p w14:paraId="5A603A34" w14:textId="77777777" w:rsidR="002D4267" w:rsidRPr="00D541E6" w:rsidRDefault="00FB5393" w:rsidP="002D4267">
            <w:pPr>
              <w:spacing w:line="276" w:lineRule="auto"/>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 xml:space="preserve">EMBASE </w:t>
            </w:r>
            <w:r w:rsidR="002D4267" w:rsidRPr="00D541E6">
              <w:rPr>
                <w:rFonts w:ascii="Calibri" w:eastAsia="Times New Roman" w:hAnsi="Calibri" w:cs="Calibri"/>
                <w:color w:val="7F7F7F" w:themeColor="text1" w:themeTint="80"/>
                <w:sz w:val="22"/>
                <w:szCs w:val="22"/>
                <w:lang w:eastAsia="en-GB"/>
              </w:rPr>
              <w:t>mesh search for ‘models’:</w:t>
            </w:r>
          </w:p>
          <w:p w14:paraId="4C5A0D84" w14:textId="774CDA51" w:rsidR="00FB5393" w:rsidRPr="00D541E6" w:rsidRDefault="00FB5393" w:rsidP="003D3405">
            <w:pPr>
              <w:spacing w:line="276" w:lineRule="auto"/>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statistical model/ or *analytic method/ or statistical analysis/ or regression analysis/ or logistic regression analysis/ or maximum likelihood method/ or *theoretical model/</w:t>
            </w:r>
            <w:r w:rsidR="002301B9" w:rsidRPr="00D541E6">
              <w:rPr>
                <w:rFonts w:ascii="Calibri" w:eastAsia="Times New Roman" w:hAnsi="Calibri" w:cs="Calibri"/>
                <w:color w:val="7F7F7F" w:themeColor="text1" w:themeTint="80"/>
                <w:sz w:val="22"/>
                <w:szCs w:val="22"/>
                <w:lang w:eastAsia="en-GB"/>
              </w:rPr>
              <w:t xml:space="preserve"> or *survival/ or *survival rate/</w:t>
            </w:r>
          </w:p>
        </w:tc>
        <w:tc>
          <w:tcPr>
            <w:tcW w:w="1500" w:type="dxa"/>
            <w:tcBorders>
              <w:top w:val="nil"/>
              <w:left w:val="single" w:sz="4" w:space="0" w:color="auto"/>
              <w:bottom w:val="single" w:sz="4" w:space="0" w:color="auto"/>
              <w:right w:val="single" w:sz="4" w:space="0" w:color="auto"/>
            </w:tcBorders>
          </w:tcPr>
          <w:p w14:paraId="185A2173" w14:textId="77777777" w:rsidR="004857B8" w:rsidRPr="00D541E6" w:rsidRDefault="004857B8" w:rsidP="003D3405">
            <w:pPr>
              <w:spacing w:line="276" w:lineRule="auto"/>
              <w:ind w:right="503"/>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290496</w:t>
            </w:r>
          </w:p>
          <w:p w14:paraId="54C1F6D1" w14:textId="77777777" w:rsidR="005F66F9" w:rsidRPr="00D541E6" w:rsidRDefault="005F66F9" w:rsidP="003D3405">
            <w:pPr>
              <w:spacing w:line="276" w:lineRule="auto"/>
              <w:ind w:right="503"/>
              <w:rPr>
                <w:rFonts w:ascii="Calibri" w:eastAsia="Times New Roman" w:hAnsi="Calibri" w:cs="Calibri"/>
                <w:color w:val="7F7F7F" w:themeColor="text1" w:themeTint="80"/>
                <w:sz w:val="22"/>
                <w:szCs w:val="22"/>
                <w:lang w:eastAsia="en-GB"/>
              </w:rPr>
            </w:pPr>
          </w:p>
          <w:p w14:paraId="3026990D" w14:textId="77777777" w:rsidR="005F66F9" w:rsidRPr="00D541E6" w:rsidRDefault="005F66F9" w:rsidP="003D3405">
            <w:pPr>
              <w:spacing w:line="276" w:lineRule="auto"/>
              <w:ind w:right="503"/>
              <w:rPr>
                <w:rFonts w:ascii="Calibri" w:eastAsia="Times New Roman" w:hAnsi="Calibri" w:cs="Calibri"/>
                <w:color w:val="7F7F7F" w:themeColor="text1" w:themeTint="80"/>
                <w:sz w:val="22"/>
                <w:szCs w:val="22"/>
                <w:lang w:eastAsia="en-GB"/>
              </w:rPr>
            </w:pPr>
          </w:p>
          <w:p w14:paraId="3D85811B" w14:textId="77777777" w:rsidR="005F66F9" w:rsidRPr="00D541E6" w:rsidRDefault="005F66F9" w:rsidP="003D3405">
            <w:pPr>
              <w:spacing w:line="276" w:lineRule="auto"/>
              <w:ind w:right="503"/>
              <w:rPr>
                <w:rFonts w:ascii="Calibri" w:eastAsia="Times New Roman" w:hAnsi="Calibri" w:cs="Calibri"/>
                <w:color w:val="7F7F7F" w:themeColor="text1" w:themeTint="80"/>
                <w:sz w:val="22"/>
                <w:szCs w:val="22"/>
                <w:lang w:eastAsia="en-GB"/>
              </w:rPr>
            </w:pPr>
            <w:r w:rsidRPr="00D541E6">
              <w:rPr>
                <w:rFonts w:ascii="Calibri" w:eastAsia="Times New Roman" w:hAnsi="Calibri" w:cs="Calibri"/>
                <w:color w:val="7F7F7F" w:themeColor="text1" w:themeTint="80"/>
                <w:sz w:val="22"/>
                <w:szCs w:val="22"/>
                <w:lang w:eastAsia="en-GB"/>
              </w:rPr>
              <w:t>704509</w:t>
            </w:r>
          </w:p>
          <w:p w14:paraId="53CA5B7E" w14:textId="77777777" w:rsidR="005F66F9" w:rsidRPr="00D541E6" w:rsidRDefault="005F66F9" w:rsidP="003D3405">
            <w:pPr>
              <w:spacing w:line="276" w:lineRule="auto"/>
              <w:ind w:right="503"/>
              <w:rPr>
                <w:rFonts w:ascii="Calibri" w:eastAsia="Times New Roman" w:hAnsi="Calibri" w:cs="Calibri"/>
                <w:color w:val="7F7F7F" w:themeColor="text1" w:themeTint="80"/>
                <w:sz w:val="22"/>
                <w:szCs w:val="22"/>
                <w:lang w:eastAsia="en-GB"/>
              </w:rPr>
            </w:pPr>
          </w:p>
          <w:p w14:paraId="35C5638F" w14:textId="77777777" w:rsidR="005F66F9" w:rsidRPr="00D541E6" w:rsidRDefault="005F66F9" w:rsidP="003D3405">
            <w:pPr>
              <w:spacing w:line="276" w:lineRule="auto"/>
              <w:ind w:right="503"/>
              <w:rPr>
                <w:rFonts w:ascii="Calibri" w:eastAsia="Times New Roman" w:hAnsi="Calibri" w:cs="Calibri"/>
                <w:color w:val="7F7F7F" w:themeColor="text1" w:themeTint="80"/>
                <w:sz w:val="22"/>
                <w:szCs w:val="22"/>
                <w:lang w:eastAsia="en-GB"/>
              </w:rPr>
            </w:pPr>
          </w:p>
        </w:tc>
      </w:tr>
      <w:tr w:rsidR="008E05B9" w:rsidRPr="00D541E6" w14:paraId="63A7B84A" w14:textId="77777777" w:rsidTr="00764B3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143C451F" w14:textId="77777777" w:rsidR="008E05B9" w:rsidRPr="00D541E6" w:rsidRDefault="008E05B9" w:rsidP="00764B31">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(causal effects or causal graphical or causal inference) adj3 (method$ or model$)</w:t>
            </w:r>
          </w:p>
        </w:tc>
        <w:tc>
          <w:tcPr>
            <w:tcW w:w="1500" w:type="dxa"/>
            <w:tcBorders>
              <w:top w:val="nil"/>
              <w:left w:val="single" w:sz="4" w:space="0" w:color="auto"/>
              <w:bottom w:val="single" w:sz="4" w:space="0" w:color="auto"/>
              <w:right w:val="single" w:sz="4" w:space="0" w:color="auto"/>
            </w:tcBorders>
          </w:tcPr>
          <w:p w14:paraId="67347CE1" w14:textId="77777777" w:rsidR="008E05B9" w:rsidRPr="00D541E6" w:rsidRDefault="008E05B9" w:rsidP="00764B31">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326</w:t>
            </w:r>
          </w:p>
        </w:tc>
      </w:tr>
      <w:tr w:rsidR="00093AF5" w:rsidRPr="00D541E6" w14:paraId="4C8573B5" w14:textId="77777777" w:rsidTr="00980D5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2A187894" w14:textId="5B577FA6" w:rsidR="00093AF5" w:rsidRPr="00D541E6" w:rsidRDefault="00093AF5" w:rsidP="003D3405">
            <w:pPr>
              <w:spacing w:line="276" w:lineRule="auto"/>
              <w:rPr>
                <w:rFonts w:ascii="Calibri" w:eastAsia="Times New Roman" w:hAnsi="Calibri" w:cs="Calibri"/>
                <w:strike/>
                <w:color w:val="7F7F7F" w:themeColor="text1" w:themeTint="80"/>
                <w:sz w:val="22"/>
                <w:szCs w:val="22"/>
                <w:lang w:eastAsia="en-GB"/>
              </w:rPr>
            </w:pPr>
            <w:r w:rsidRPr="00D541E6">
              <w:rPr>
                <w:rFonts w:ascii="Calibri" w:eastAsia="Times New Roman" w:hAnsi="Calibri" w:cs="Calibri"/>
                <w:strike/>
                <w:color w:val="7F7F7F" w:themeColor="text1" w:themeTint="80"/>
                <w:sz w:val="22"/>
                <w:szCs w:val="22"/>
                <w:lang w:eastAsia="en-GB"/>
              </w:rPr>
              <w:t>structural equation model*</w:t>
            </w:r>
          </w:p>
        </w:tc>
        <w:tc>
          <w:tcPr>
            <w:tcW w:w="1500" w:type="dxa"/>
            <w:tcBorders>
              <w:top w:val="nil"/>
              <w:left w:val="single" w:sz="4" w:space="0" w:color="auto"/>
              <w:bottom w:val="single" w:sz="4" w:space="0" w:color="auto"/>
              <w:right w:val="single" w:sz="4" w:space="0" w:color="auto"/>
            </w:tcBorders>
          </w:tcPr>
          <w:p w14:paraId="07D68A54" w14:textId="46C8E0BD" w:rsidR="00093AF5" w:rsidRPr="00D541E6" w:rsidRDefault="00093AF5" w:rsidP="003D3405">
            <w:pPr>
              <w:spacing w:line="276" w:lineRule="auto"/>
              <w:ind w:right="503"/>
              <w:rPr>
                <w:rFonts w:ascii="Calibri" w:eastAsia="Times New Roman" w:hAnsi="Calibri" w:cs="Calibri"/>
                <w:strike/>
                <w:color w:val="7F7F7F" w:themeColor="text1" w:themeTint="80"/>
                <w:sz w:val="22"/>
                <w:szCs w:val="22"/>
                <w:lang w:eastAsia="en-GB"/>
              </w:rPr>
            </w:pPr>
            <w:r w:rsidRPr="00D541E6">
              <w:rPr>
                <w:rFonts w:ascii="Calibri" w:eastAsia="Times New Roman" w:hAnsi="Calibri" w:cs="Calibri"/>
                <w:strike/>
                <w:color w:val="7F7F7F" w:themeColor="text1" w:themeTint="80"/>
                <w:sz w:val="22"/>
                <w:szCs w:val="22"/>
                <w:lang w:eastAsia="en-GB"/>
              </w:rPr>
              <w:t>32412</w:t>
            </w:r>
          </w:p>
        </w:tc>
      </w:tr>
      <w:tr w:rsidR="00F23695" w:rsidRPr="00D541E6" w14:paraId="7809B8F5" w14:textId="77777777" w:rsidTr="00E5050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2658853" w14:textId="54D39D0D" w:rsidR="00F23695" w:rsidRPr="00D541E6" w:rsidRDefault="00F23695" w:rsidP="003D3405">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structural equation model</w:t>
            </w:r>
            <w:proofErr w:type="gramStart"/>
            <w:r w:rsidRPr="00D541E6">
              <w:rPr>
                <w:rFonts w:ascii="Calibri" w:eastAsia="Times New Roman" w:hAnsi="Calibri" w:cs="Calibri"/>
                <w:sz w:val="22"/>
                <w:szCs w:val="22"/>
                <w:lang w:eastAsia="en-GB"/>
              </w:rPr>
              <w:t>*.</w:t>
            </w:r>
            <w:proofErr w:type="spellStart"/>
            <w:r w:rsidRPr="00D541E6">
              <w:rPr>
                <w:rFonts w:ascii="Calibri" w:eastAsia="Times New Roman" w:hAnsi="Calibri" w:cs="Calibri"/>
                <w:sz w:val="22"/>
                <w:szCs w:val="22"/>
                <w:lang w:eastAsia="en-GB"/>
              </w:rPr>
              <w:t>ti</w:t>
            </w:r>
            <w:proofErr w:type="gramEnd"/>
            <w:r w:rsidR="00A46661" w:rsidRPr="00D541E6">
              <w:rPr>
                <w:rFonts w:ascii="Calibri" w:eastAsia="Times New Roman" w:hAnsi="Calibri" w:cs="Calibri"/>
                <w:sz w:val="22"/>
                <w:szCs w:val="22"/>
                <w:lang w:eastAsia="en-GB"/>
              </w:rPr>
              <w:t>,ab</w:t>
            </w:r>
            <w:proofErr w:type="spellEnd"/>
            <w:r w:rsidR="00A46661" w:rsidRPr="00D541E6">
              <w:rPr>
                <w:rFonts w:ascii="Calibri" w:eastAsia="Times New Roman" w:hAnsi="Calibri" w:cs="Calibri"/>
                <w:sz w:val="22"/>
                <w:szCs w:val="22"/>
                <w:lang w:eastAsia="en-GB"/>
              </w:rPr>
              <w:t>.</w:t>
            </w:r>
          </w:p>
        </w:tc>
        <w:tc>
          <w:tcPr>
            <w:tcW w:w="1500" w:type="dxa"/>
            <w:tcBorders>
              <w:top w:val="nil"/>
              <w:left w:val="single" w:sz="4" w:space="0" w:color="auto"/>
              <w:bottom w:val="single" w:sz="4" w:space="0" w:color="auto"/>
              <w:right w:val="single" w:sz="4" w:space="0" w:color="auto"/>
            </w:tcBorders>
          </w:tcPr>
          <w:p w14:paraId="3C2BD150" w14:textId="5D79A67A" w:rsidR="00F23695" w:rsidRPr="00D541E6" w:rsidRDefault="00A46661" w:rsidP="003D3405">
            <w:pPr>
              <w:spacing w:line="276" w:lineRule="auto"/>
              <w:ind w:right="503"/>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15108</w:t>
            </w:r>
          </w:p>
        </w:tc>
      </w:tr>
      <w:tr w:rsidR="00093AF5" w:rsidRPr="00D541E6" w14:paraId="35F86284" w14:textId="77777777" w:rsidTr="00980D5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4F350C72" w14:textId="42173C25" w:rsidR="00093AF5" w:rsidRPr="00D541E6" w:rsidRDefault="00093AF5" w:rsidP="003D3405">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structural model</w:t>
            </w:r>
            <w:proofErr w:type="gramStart"/>
            <w:r w:rsidRPr="00D541E6">
              <w:rPr>
                <w:rFonts w:ascii="Calibri" w:eastAsia="Times New Roman" w:hAnsi="Calibri" w:cs="Calibri"/>
                <w:sz w:val="22"/>
                <w:szCs w:val="22"/>
                <w:lang w:eastAsia="en-GB"/>
              </w:rPr>
              <w:t>*</w:t>
            </w:r>
            <w:r w:rsidR="00D772CC" w:rsidRPr="00D541E6">
              <w:rPr>
                <w:rFonts w:ascii="Calibri" w:eastAsia="Times New Roman" w:hAnsi="Calibri" w:cs="Calibri"/>
                <w:sz w:val="22"/>
                <w:szCs w:val="22"/>
                <w:lang w:eastAsia="en-GB"/>
              </w:rPr>
              <w:t>.</w:t>
            </w:r>
            <w:proofErr w:type="spellStart"/>
            <w:r w:rsidR="00D772CC" w:rsidRPr="00D541E6">
              <w:rPr>
                <w:rFonts w:ascii="Calibri" w:eastAsia="Times New Roman" w:hAnsi="Calibri" w:cs="Calibri"/>
                <w:sz w:val="22"/>
                <w:szCs w:val="22"/>
                <w:lang w:eastAsia="en-GB"/>
              </w:rPr>
              <w:t>ti</w:t>
            </w:r>
            <w:proofErr w:type="gramEnd"/>
            <w:r w:rsidR="00D772CC" w:rsidRPr="00D541E6">
              <w:rPr>
                <w:rFonts w:ascii="Calibri" w:eastAsia="Times New Roman" w:hAnsi="Calibri" w:cs="Calibri"/>
                <w:sz w:val="22"/>
                <w:szCs w:val="22"/>
                <w:lang w:eastAsia="en-GB"/>
              </w:rPr>
              <w:t>,ab</w:t>
            </w:r>
            <w:proofErr w:type="spellEnd"/>
            <w:r w:rsidR="00D772CC" w:rsidRPr="00D541E6">
              <w:rPr>
                <w:rFonts w:ascii="Calibri" w:eastAsia="Times New Roman" w:hAnsi="Calibri" w:cs="Calibri"/>
                <w:sz w:val="22"/>
                <w:szCs w:val="22"/>
                <w:lang w:eastAsia="en-GB"/>
              </w:rPr>
              <w:t>.</w:t>
            </w:r>
          </w:p>
        </w:tc>
        <w:tc>
          <w:tcPr>
            <w:tcW w:w="1500" w:type="dxa"/>
            <w:tcBorders>
              <w:top w:val="nil"/>
              <w:left w:val="single" w:sz="4" w:space="0" w:color="auto"/>
              <w:bottom w:val="single" w:sz="4" w:space="0" w:color="auto"/>
              <w:right w:val="single" w:sz="4" w:space="0" w:color="auto"/>
            </w:tcBorders>
          </w:tcPr>
          <w:p w14:paraId="412B5212" w14:textId="199D5AAE" w:rsidR="00093AF5" w:rsidRPr="00D541E6" w:rsidRDefault="00093AF5" w:rsidP="003D3405">
            <w:pPr>
              <w:spacing w:line="276" w:lineRule="auto"/>
              <w:ind w:right="503"/>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25765</w:t>
            </w:r>
          </w:p>
        </w:tc>
      </w:tr>
      <w:tr w:rsidR="00D76A19" w:rsidRPr="00D541E6" w14:paraId="5E09E0FD"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521E402" w14:textId="77777777" w:rsidR="00D76A19" w:rsidRPr="00D541E6" w:rsidRDefault="00D76A19"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structural nested model*</w:t>
            </w:r>
          </w:p>
        </w:tc>
        <w:tc>
          <w:tcPr>
            <w:tcW w:w="1500" w:type="dxa"/>
            <w:tcBorders>
              <w:top w:val="nil"/>
              <w:left w:val="single" w:sz="4" w:space="0" w:color="auto"/>
              <w:bottom w:val="single" w:sz="4" w:space="0" w:color="auto"/>
              <w:right w:val="single" w:sz="4" w:space="0" w:color="auto"/>
            </w:tcBorders>
          </w:tcPr>
          <w:p w14:paraId="10350B94" w14:textId="77777777" w:rsidR="00D76A19" w:rsidRPr="00D541E6" w:rsidRDefault="00D76A19"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68</w:t>
            </w:r>
          </w:p>
        </w:tc>
      </w:tr>
      <w:tr w:rsidR="00A624EB" w:rsidRPr="00D541E6" w14:paraId="46C85B59" w14:textId="77777777" w:rsidTr="00980D5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6AED32B4" w14:textId="248E7C34" w:rsidR="00A624EB" w:rsidRPr="00D541E6" w:rsidRDefault="00A624EB"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structural nested mean model*</w:t>
            </w:r>
          </w:p>
        </w:tc>
        <w:tc>
          <w:tcPr>
            <w:tcW w:w="1500" w:type="dxa"/>
            <w:tcBorders>
              <w:top w:val="nil"/>
              <w:left w:val="single" w:sz="4" w:space="0" w:color="auto"/>
              <w:bottom w:val="single" w:sz="4" w:space="0" w:color="auto"/>
              <w:right w:val="single" w:sz="4" w:space="0" w:color="auto"/>
            </w:tcBorders>
          </w:tcPr>
          <w:p w14:paraId="28BF1D00" w14:textId="01AC6F0A" w:rsidR="00A624EB" w:rsidRPr="00D541E6" w:rsidRDefault="00A624EB"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20</w:t>
            </w:r>
          </w:p>
        </w:tc>
      </w:tr>
      <w:tr w:rsidR="00FC5EC9" w:rsidRPr="00D541E6" w14:paraId="1D8815C3" w14:textId="77777777" w:rsidTr="003D3405">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5AFE54DA" w14:textId="77777777" w:rsidR="00FC5EC9" w:rsidRPr="00D541E6" w:rsidRDefault="00FC5EC9"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 xml:space="preserve">marginal structural model* </w:t>
            </w:r>
          </w:p>
        </w:tc>
        <w:tc>
          <w:tcPr>
            <w:tcW w:w="1500" w:type="dxa"/>
            <w:tcBorders>
              <w:top w:val="nil"/>
              <w:left w:val="single" w:sz="4" w:space="0" w:color="auto"/>
              <w:bottom w:val="single" w:sz="4" w:space="0" w:color="auto"/>
              <w:right w:val="single" w:sz="4" w:space="0" w:color="auto"/>
            </w:tcBorders>
          </w:tcPr>
          <w:p w14:paraId="6A0A05A9" w14:textId="2DE8EE42" w:rsidR="00FC5EC9" w:rsidRPr="00D541E6" w:rsidRDefault="00FC5EC9"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1467</w:t>
            </w:r>
          </w:p>
        </w:tc>
      </w:tr>
      <w:tr w:rsidR="002D18BD" w:rsidRPr="00D541E6" w14:paraId="14199A3F"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BE5710B" w14:textId="77777777" w:rsidR="002D18BD" w:rsidRPr="00D541E6" w:rsidRDefault="002D18BD"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sufficient-cause model*</w:t>
            </w:r>
          </w:p>
        </w:tc>
        <w:tc>
          <w:tcPr>
            <w:tcW w:w="1500" w:type="dxa"/>
            <w:tcBorders>
              <w:top w:val="nil"/>
              <w:left w:val="single" w:sz="4" w:space="0" w:color="auto"/>
              <w:bottom w:val="single" w:sz="4" w:space="0" w:color="auto"/>
              <w:right w:val="single" w:sz="4" w:space="0" w:color="auto"/>
            </w:tcBorders>
          </w:tcPr>
          <w:p w14:paraId="2C2EA26A" w14:textId="36D7CABB" w:rsidR="002D18BD" w:rsidRPr="00D541E6" w:rsidRDefault="00693743"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17</w:t>
            </w:r>
          </w:p>
        </w:tc>
      </w:tr>
      <w:tr w:rsidR="002D18BD" w:rsidRPr="00D541E6" w14:paraId="7AFDFDE1"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353F1F48" w14:textId="77777777" w:rsidR="002D18BD" w:rsidRPr="00D541E6" w:rsidRDefault="002D18BD"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counterfactual model*</w:t>
            </w:r>
          </w:p>
        </w:tc>
        <w:tc>
          <w:tcPr>
            <w:tcW w:w="1500" w:type="dxa"/>
            <w:tcBorders>
              <w:top w:val="nil"/>
              <w:left w:val="single" w:sz="4" w:space="0" w:color="auto"/>
              <w:bottom w:val="single" w:sz="4" w:space="0" w:color="auto"/>
              <w:right w:val="single" w:sz="4" w:space="0" w:color="auto"/>
            </w:tcBorders>
          </w:tcPr>
          <w:p w14:paraId="519FD011" w14:textId="15ACC095" w:rsidR="002D18BD" w:rsidRPr="00D541E6" w:rsidRDefault="00693743"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59</w:t>
            </w:r>
          </w:p>
        </w:tc>
      </w:tr>
      <w:tr w:rsidR="005408C5" w:rsidRPr="00D541E6" w14:paraId="274C9C6B"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B241AFE" w14:textId="4A160D63" w:rsidR="005408C5" w:rsidRPr="00D541E6" w:rsidRDefault="005408C5"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g-estimation OR g-computation OR g-formula OR g-method</w:t>
            </w:r>
            <w:r w:rsidR="00055F3A" w:rsidRPr="00D541E6">
              <w:rPr>
                <w:rFonts w:ascii="Calibri" w:eastAsia="Times New Roman" w:hAnsi="Calibri" w:cs="Calibri"/>
                <w:color w:val="000000"/>
                <w:sz w:val="22"/>
                <w:szCs w:val="22"/>
                <w:lang w:eastAsia="en-GB"/>
              </w:rPr>
              <w:t>$</w:t>
            </w:r>
          </w:p>
        </w:tc>
        <w:tc>
          <w:tcPr>
            <w:tcW w:w="1500" w:type="dxa"/>
            <w:tcBorders>
              <w:top w:val="nil"/>
              <w:left w:val="single" w:sz="4" w:space="0" w:color="auto"/>
              <w:bottom w:val="single" w:sz="4" w:space="0" w:color="auto"/>
              <w:right w:val="single" w:sz="4" w:space="0" w:color="auto"/>
            </w:tcBorders>
          </w:tcPr>
          <w:p w14:paraId="132C5885" w14:textId="77777777" w:rsidR="005408C5" w:rsidRPr="00D541E6" w:rsidRDefault="005408C5"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549</w:t>
            </w:r>
          </w:p>
        </w:tc>
      </w:tr>
      <w:tr w:rsidR="005408C5" w:rsidRPr="00D541E6" w14:paraId="2C92CBAA"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41196DE4" w14:textId="423E0898" w:rsidR="005408C5" w:rsidRPr="00D541E6" w:rsidRDefault="005408C5"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inverse probability weight* OR inverse probability</w:t>
            </w:r>
            <w:r w:rsidR="000E2071" w:rsidRPr="00D541E6">
              <w:rPr>
                <w:rFonts w:ascii="Calibri" w:eastAsia="Times New Roman" w:hAnsi="Calibri" w:cs="Calibri"/>
                <w:color w:val="000000"/>
                <w:sz w:val="22"/>
                <w:szCs w:val="22"/>
                <w:lang w:eastAsia="en-GB"/>
              </w:rPr>
              <w:t xml:space="preserve"> of</w:t>
            </w:r>
            <w:r w:rsidR="00E60476" w:rsidRPr="00D541E6">
              <w:rPr>
                <w:rFonts w:ascii="Calibri" w:eastAsia="Times New Roman" w:hAnsi="Calibri" w:cs="Calibri"/>
                <w:color w:val="000000"/>
                <w:sz w:val="22"/>
                <w:szCs w:val="22"/>
                <w:lang w:eastAsia="en-GB"/>
              </w:rPr>
              <w:t xml:space="preserve"> treatment</w:t>
            </w:r>
            <w:r w:rsidR="00A464F9" w:rsidRPr="00D541E6">
              <w:rPr>
                <w:rFonts w:ascii="Calibri" w:eastAsia="Times New Roman" w:hAnsi="Calibri" w:cs="Calibri"/>
                <w:color w:val="000000"/>
                <w:sz w:val="22"/>
                <w:szCs w:val="22"/>
                <w:lang w:eastAsia="en-GB"/>
              </w:rPr>
              <w:t xml:space="preserve"> OR IPTW</w:t>
            </w:r>
          </w:p>
        </w:tc>
        <w:tc>
          <w:tcPr>
            <w:tcW w:w="1500" w:type="dxa"/>
            <w:tcBorders>
              <w:top w:val="nil"/>
              <w:left w:val="single" w:sz="4" w:space="0" w:color="auto"/>
              <w:bottom w:val="single" w:sz="4" w:space="0" w:color="auto"/>
              <w:right w:val="single" w:sz="4" w:space="0" w:color="auto"/>
            </w:tcBorders>
          </w:tcPr>
          <w:p w14:paraId="0799A670" w14:textId="77777777" w:rsidR="005408C5" w:rsidRPr="00D541E6" w:rsidRDefault="005408C5"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2877</w:t>
            </w:r>
          </w:p>
        </w:tc>
      </w:tr>
      <w:tr w:rsidR="00F825E1" w:rsidRPr="00D541E6" w14:paraId="090ABC98" w14:textId="77777777" w:rsidTr="003D3405">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0102403F" w14:textId="0A0E68F5" w:rsidR="00F17CB8" w:rsidRPr="00D541E6" w:rsidRDefault="002B4B07"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 xml:space="preserve">(stratification </w:t>
            </w:r>
            <w:r w:rsidRPr="00D541E6">
              <w:rPr>
                <w:rFonts w:ascii="Calibri" w:eastAsia="Times New Roman" w:hAnsi="Calibri" w:cs="Calibri"/>
                <w:strike/>
                <w:color w:val="000000"/>
                <w:sz w:val="22"/>
                <w:szCs w:val="22"/>
                <w:lang w:eastAsia="en-GB"/>
              </w:rPr>
              <w:t>OR restriction</w:t>
            </w:r>
            <w:r w:rsidRPr="00D541E6">
              <w:rPr>
                <w:rFonts w:ascii="Calibri" w:eastAsia="Times New Roman" w:hAnsi="Calibri" w:cs="Calibri"/>
                <w:color w:val="000000"/>
                <w:sz w:val="22"/>
                <w:szCs w:val="22"/>
                <w:lang w:eastAsia="en-GB"/>
              </w:rPr>
              <w:t xml:space="preserve"> OR matching</w:t>
            </w:r>
            <w:r w:rsidR="006875D3" w:rsidRPr="00D541E6">
              <w:rPr>
                <w:rFonts w:ascii="Calibri" w:eastAsia="Times New Roman" w:hAnsi="Calibri" w:cs="Calibri"/>
                <w:color w:val="000000"/>
                <w:sz w:val="22"/>
                <w:szCs w:val="22"/>
                <w:lang w:eastAsia="en-GB"/>
              </w:rPr>
              <w:t xml:space="preserve"> OR </w:t>
            </w:r>
            <w:proofErr w:type="spellStart"/>
            <w:r w:rsidR="006875D3" w:rsidRPr="00D541E6">
              <w:rPr>
                <w:rFonts w:ascii="Calibri" w:eastAsia="Times New Roman" w:hAnsi="Calibri" w:cs="Calibri"/>
                <w:color w:val="000000"/>
                <w:sz w:val="22"/>
                <w:szCs w:val="22"/>
                <w:lang w:eastAsia="en-GB"/>
              </w:rPr>
              <w:t>standardi</w:t>
            </w:r>
            <w:r w:rsidR="00DA37C2" w:rsidRPr="00D541E6">
              <w:rPr>
                <w:rFonts w:ascii="Calibri" w:eastAsia="Times New Roman" w:hAnsi="Calibri" w:cs="Calibri"/>
                <w:color w:val="000000"/>
                <w:sz w:val="22"/>
                <w:szCs w:val="22"/>
                <w:lang w:eastAsia="en-GB"/>
              </w:rPr>
              <w:t>$</w:t>
            </w:r>
            <w:r w:rsidR="006875D3" w:rsidRPr="00D541E6">
              <w:rPr>
                <w:rFonts w:ascii="Calibri" w:eastAsia="Times New Roman" w:hAnsi="Calibri" w:cs="Calibri"/>
                <w:color w:val="000000"/>
                <w:sz w:val="22"/>
                <w:szCs w:val="22"/>
                <w:lang w:eastAsia="en-GB"/>
              </w:rPr>
              <w:t>ation</w:t>
            </w:r>
            <w:proofErr w:type="spellEnd"/>
            <w:r w:rsidRPr="00D541E6">
              <w:rPr>
                <w:rFonts w:ascii="Calibri" w:eastAsia="Times New Roman" w:hAnsi="Calibri" w:cs="Calibri"/>
                <w:color w:val="000000"/>
                <w:sz w:val="22"/>
                <w:szCs w:val="22"/>
                <w:lang w:eastAsia="en-GB"/>
              </w:rPr>
              <w:t xml:space="preserve">) </w:t>
            </w:r>
          </w:p>
          <w:p w14:paraId="13BC9C5D" w14:textId="4E676F74" w:rsidR="00F825E1" w:rsidRPr="00D541E6" w:rsidRDefault="00B07141" w:rsidP="003D3405">
            <w:pPr>
              <w:spacing w:line="276" w:lineRule="auto"/>
              <w:rPr>
                <w:rFonts w:ascii="Calibri" w:eastAsia="Times New Roman" w:hAnsi="Calibri" w:cs="Calibri"/>
                <w:strike/>
                <w:color w:val="000000"/>
                <w:sz w:val="22"/>
                <w:szCs w:val="22"/>
                <w:lang w:eastAsia="en-GB"/>
              </w:rPr>
            </w:pPr>
            <w:r w:rsidRPr="00D541E6">
              <w:rPr>
                <w:rFonts w:ascii="Calibri" w:eastAsia="Times New Roman" w:hAnsi="Calibri" w:cs="Calibri"/>
                <w:strike/>
                <w:color w:val="000000"/>
                <w:sz w:val="22"/>
                <w:szCs w:val="22"/>
                <w:lang w:eastAsia="en-GB"/>
              </w:rPr>
              <w:t>AND causal</w:t>
            </w:r>
          </w:p>
        </w:tc>
        <w:tc>
          <w:tcPr>
            <w:tcW w:w="1500" w:type="dxa"/>
            <w:tcBorders>
              <w:top w:val="nil"/>
              <w:left w:val="single" w:sz="4" w:space="0" w:color="auto"/>
              <w:bottom w:val="single" w:sz="4" w:space="0" w:color="auto"/>
              <w:right w:val="single" w:sz="4" w:space="0" w:color="auto"/>
            </w:tcBorders>
          </w:tcPr>
          <w:p w14:paraId="45C74765" w14:textId="7C0F9BC2" w:rsidR="00F825E1" w:rsidRPr="00D541E6" w:rsidRDefault="00C67C27"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5</w:t>
            </w:r>
            <w:r w:rsidR="00DB6190" w:rsidRPr="00D541E6">
              <w:rPr>
                <w:rFonts w:ascii="Calibri" w:eastAsia="Times New Roman" w:hAnsi="Calibri" w:cs="Calibri"/>
                <w:color w:val="000000"/>
                <w:sz w:val="22"/>
                <w:szCs w:val="22"/>
                <w:lang w:eastAsia="en-GB"/>
              </w:rPr>
              <w:t>542</w:t>
            </w:r>
          </w:p>
        </w:tc>
      </w:tr>
      <w:tr w:rsidR="00426455" w:rsidRPr="00D541E6" w14:paraId="0B59207B" w14:textId="77777777" w:rsidTr="003D3405">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center"/>
          </w:tcPr>
          <w:p w14:paraId="1ED193A1" w14:textId="2E6EECB5" w:rsidR="00426455" w:rsidRPr="00D541E6" w:rsidRDefault="00CA4BAF" w:rsidP="003D3405">
            <w:pPr>
              <w:spacing w:line="276" w:lineRule="auto"/>
              <w:rPr>
                <w:rFonts w:ascii="Calibri" w:eastAsia="Times New Roman" w:hAnsi="Calibri" w:cs="Calibri"/>
                <w:color w:val="000000"/>
                <w:sz w:val="22"/>
                <w:szCs w:val="22"/>
                <w:lang w:eastAsia="en-GB"/>
              </w:rPr>
            </w:pPr>
            <w:r w:rsidRPr="00D541E6">
              <w:t>(</w:t>
            </w:r>
            <w:r w:rsidRPr="00D541E6">
              <w:rPr>
                <w:rFonts w:ascii="Calibri" w:eastAsia="Times New Roman" w:hAnsi="Calibri" w:cs="Calibri"/>
                <w:color w:val="000000"/>
                <w:sz w:val="22"/>
                <w:szCs w:val="22"/>
                <w:lang w:eastAsia="en-GB"/>
              </w:rPr>
              <w:t>propensity score</w:t>
            </w:r>
            <w:r w:rsidR="005C4056" w:rsidRPr="00D541E6">
              <w:rPr>
                <w:rFonts w:ascii="Calibri" w:eastAsia="Times New Roman" w:hAnsi="Calibri" w:cs="Calibri"/>
                <w:color w:val="000000"/>
                <w:sz w:val="22"/>
                <w:szCs w:val="22"/>
                <w:lang w:eastAsia="en-GB"/>
              </w:rPr>
              <w:t>$</w:t>
            </w:r>
            <w:r w:rsidRPr="00D541E6">
              <w:rPr>
                <w:rFonts w:ascii="Calibri" w:eastAsia="Times New Roman" w:hAnsi="Calibri" w:cs="Calibri"/>
                <w:color w:val="000000"/>
                <w:sz w:val="22"/>
                <w:szCs w:val="22"/>
                <w:lang w:eastAsia="en-GB"/>
              </w:rPr>
              <w:t xml:space="preserve"> OR propensity model</w:t>
            </w:r>
            <w:r w:rsidR="005C4056" w:rsidRPr="00D541E6">
              <w:rPr>
                <w:rFonts w:ascii="Calibri" w:eastAsia="Times New Roman" w:hAnsi="Calibri" w:cs="Calibri"/>
                <w:color w:val="000000"/>
                <w:sz w:val="22"/>
                <w:szCs w:val="22"/>
                <w:lang w:eastAsia="en-GB"/>
              </w:rPr>
              <w:t>$</w:t>
            </w:r>
            <w:r w:rsidRPr="00D541E6">
              <w:rPr>
                <w:rFonts w:ascii="Calibri" w:hAnsi="Calibri"/>
              </w:rPr>
              <w:t>)</w:t>
            </w:r>
            <w:r w:rsidRPr="00D541E6">
              <w:rPr>
                <w:rFonts w:ascii="Calibri" w:hAnsi="Calibri"/>
                <w:sz w:val="22"/>
                <w:szCs w:val="22"/>
              </w:rPr>
              <w:t xml:space="preserve"> </w:t>
            </w:r>
            <w:r w:rsidRPr="00D541E6">
              <w:rPr>
                <w:rFonts w:ascii="Calibri" w:hAnsi="Calibri"/>
                <w:strike/>
                <w:sz w:val="22"/>
                <w:szCs w:val="22"/>
              </w:rPr>
              <w:t xml:space="preserve">AND </w:t>
            </w:r>
            <w:r w:rsidRPr="00D541E6">
              <w:rPr>
                <w:rFonts w:ascii="Calibri" w:hAnsi="Calibri"/>
                <w:strike/>
              </w:rPr>
              <w:t>causal</w:t>
            </w:r>
          </w:p>
        </w:tc>
        <w:tc>
          <w:tcPr>
            <w:tcW w:w="1500" w:type="dxa"/>
            <w:tcBorders>
              <w:top w:val="nil"/>
              <w:left w:val="single" w:sz="4" w:space="0" w:color="auto"/>
              <w:bottom w:val="single" w:sz="4" w:space="0" w:color="auto"/>
              <w:right w:val="single" w:sz="4" w:space="0" w:color="auto"/>
            </w:tcBorders>
            <w:vAlign w:val="center"/>
          </w:tcPr>
          <w:p w14:paraId="69195184" w14:textId="66813D20" w:rsidR="00426455" w:rsidRPr="00D541E6" w:rsidRDefault="00426455"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51394</w:t>
            </w:r>
          </w:p>
        </w:tc>
      </w:tr>
      <w:tr w:rsidR="008F6252" w:rsidRPr="00D541E6" w14:paraId="23C08897"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2A9F0084" w14:textId="77777777" w:rsidR="008F6252" w:rsidRPr="00D541E6" w:rsidRDefault="008F6252"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 xml:space="preserve">instrument* variable* </w:t>
            </w:r>
          </w:p>
        </w:tc>
        <w:tc>
          <w:tcPr>
            <w:tcW w:w="1500" w:type="dxa"/>
            <w:tcBorders>
              <w:top w:val="nil"/>
              <w:left w:val="single" w:sz="4" w:space="0" w:color="auto"/>
              <w:bottom w:val="single" w:sz="4" w:space="0" w:color="auto"/>
              <w:right w:val="single" w:sz="4" w:space="0" w:color="auto"/>
            </w:tcBorders>
          </w:tcPr>
          <w:p w14:paraId="30E3870B" w14:textId="77777777" w:rsidR="008F6252" w:rsidRPr="00D541E6" w:rsidRDefault="008F6252"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5257</w:t>
            </w:r>
          </w:p>
        </w:tc>
      </w:tr>
      <w:tr w:rsidR="008F6252" w:rsidRPr="00D541E6" w14:paraId="08D7BBB3"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2C44C94C" w14:textId="77777777" w:rsidR="008F6252" w:rsidRPr="00D541E6" w:rsidRDefault="008F6252"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causal forest*</w:t>
            </w:r>
          </w:p>
        </w:tc>
        <w:tc>
          <w:tcPr>
            <w:tcW w:w="1500" w:type="dxa"/>
            <w:tcBorders>
              <w:top w:val="nil"/>
              <w:left w:val="single" w:sz="4" w:space="0" w:color="auto"/>
              <w:bottom w:val="single" w:sz="4" w:space="0" w:color="auto"/>
              <w:right w:val="single" w:sz="4" w:space="0" w:color="auto"/>
            </w:tcBorders>
          </w:tcPr>
          <w:p w14:paraId="65EB242D" w14:textId="77777777" w:rsidR="008F6252" w:rsidRPr="00D541E6" w:rsidRDefault="008F6252"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7</w:t>
            </w:r>
          </w:p>
        </w:tc>
      </w:tr>
      <w:tr w:rsidR="00501801" w:rsidRPr="00D541E6" w14:paraId="16217E27"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DD7CC87" w14:textId="77777777" w:rsidR="00501801" w:rsidRPr="00D541E6" w:rsidRDefault="00501801"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 xml:space="preserve">double robust </w:t>
            </w:r>
            <w:proofErr w:type="spellStart"/>
            <w:r w:rsidRPr="00D541E6">
              <w:rPr>
                <w:rFonts w:ascii="Calibri" w:eastAsia="Times New Roman" w:hAnsi="Calibri" w:cs="Calibri"/>
                <w:color w:val="000000"/>
                <w:sz w:val="22"/>
                <w:szCs w:val="22"/>
                <w:lang w:eastAsia="en-GB"/>
              </w:rPr>
              <w:t>estimat</w:t>
            </w:r>
            <w:proofErr w:type="spellEnd"/>
            <w:r w:rsidRPr="00D541E6">
              <w:rPr>
                <w:rFonts w:ascii="Calibri" w:eastAsia="Times New Roman" w:hAnsi="Calibri" w:cs="Calibri"/>
                <w:color w:val="000000"/>
                <w:sz w:val="22"/>
                <w:szCs w:val="22"/>
                <w:lang w:eastAsia="en-GB"/>
              </w:rPr>
              <w:t>*</w:t>
            </w:r>
          </w:p>
        </w:tc>
        <w:tc>
          <w:tcPr>
            <w:tcW w:w="1500" w:type="dxa"/>
            <w:tcBorders>
              <w:top w:val="nil"/>
              <w:left w:val="single" w:sz="4" w:space="0" w:color="auto"/>
              <w:bottom w:val="single" w:sz="4" w:space="0" w:color="auto"/>
              <w:right w:val="single" w:sz="4" w:space="0" w:color="auto"/>
            </w:tcBorders>
          </w:tcPr>
          <w:p w14:paraId="3ACE445D" w14:textId="77777777" w:rsidR="00501801" w:rsidRPr="00D541E6" w:rsidRDefault="00501801"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73</w:t>
            </w:r>
          </w:p>
        </w:tc>
      </w:tr>
      <w:tr w:rsidR="00403D9D" w:rsidRPr="00D541E6" w14:paraId="52ED5D05" w14:textId="77777777" w:rsidTr="00D360F1">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1A7A0E33" w14:textId="46C3DC75" w:rsidR="00403D9D" w:rsidRPr="00D541E6" w:rsidRDefault="00403D9D"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targeted maximum likelihood OR TLME</w:t>
            </w:r>
          </w:p>
        </w:tc>
        <w:tc>
          <w:tcPr>
            <w:tcW w:w="1500" w:type="dxa"/>
            <w:tcBorders>
              <w:top w:val="nil"/>
              <w:left w:val="single" w:sz="4" w:space="0" w:color="auto"/>
              <w:bottom w:val="single" w:sz="4" w:space="0" w:color="auto"/>
              <w:right w:val="single" w:sz="4" w:space="0" w:color="auto"/>
            </w:tcBorders>
          </w:tcPr>
          <w:p w14:paraId="577F8A66" w14:textId="031F4999" w:rsidR="00403D9D" w:rsidRPr="00D541E6" w:rsidRDefault="00385643"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128</w:t>
            </w:r>
          </w:p>
        </w:tc>
      </w:tr>
      <w:tr w:rsidR="00360A23" w:rsidRPr="00D541E6" w14:paraId="67F5B86A" w14:textId="77777777" w:rsidTr="003D3405">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04B7858D" w14:textId="57B0E6E1" w:rsidR="00360A23" w:rsidRPr="00D541E6" w:rsidRDefault="00360A23"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Time-dependent confounding</w:t>
            </w:r>
            <w:r w:rsidR="00E83E28" w:rsidRPr="00D541E6">
              <w:rPr>
                <w:rFonts w:ascii="Calibri" w:eastAsia="Times New Roman" w:hAnsi="Calibri" w:cs="Calibri"/>
                <w:color w:val="000000"/>
                <w:sz w:val="22"/>
                <w:szCs w:val="22"/>
                <w:lang w:eastAsia="en-GB"/>
              </w:rPr>
              <w:t xml:space="preserve"> OR Time-dependent confounder</w:t>
            </w:r>
            <w:r w:rsidR="00F02D20" w:rsidRPr="00D541E6">
              <w:rPr>
                <w:rFonts w:ascii="Calibri" w:eastAsia="Times New Roman" w:hAnsi="Calibri" w:cs="Calibri"/>
                <w:color w:val="000000"/>
                <w:sz w:val="22"/>
                <w:szCs w:val="22"/>
                <w:lang w:eastAsia="en-GB"/>
              </w:rPr>
              <w:t>$</w:t>
            </w:r>
          </w:p>
        </w:tc>
        <w:tc>
          <w:tcPr>
            <w:tcW w:w="1500" w:type="dxa"/>
            <w:tcBorders>
              <w:top w:val="nil"/>
              <w:left w:val="single" w:sz="4" w:space="0" w:color="auto"/>
              <w:bottom w:val="single" w:sz="4" w:space="0" w:color="auto"/>
              <w:right w:val="single" w:sz="4" w:space="0" w:color="auto"/>
            </w:tcBorders>
          </w:tcPr>
          <w:p w14:paraId="0F8B2421" w14:textId="64F8A83E" w:rsidR="00360A23" w:rsidRPr="00D541E6" w:rsidRDefault="00236055"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297</w:t>
            </w:r>
          </w:p>
        </w:tc>
      </w:tr>
      <w:tr w:rsidR="00F10067" w:rsidRPr="00D541E6" w14:paraId="409C7E31" w14:textId="77777777" w:rsidTr="00980D5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9F977D0" w14:textId="3DCF8B7B" w:rsidR="00F10067" w:rsidRPr="00D541E6" w:rsidRDefault="00F10067"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time-varying treatments OR time-varying confounding OR time-varying confounder</w:t>
            </w:r>
            <w:r w:rsidR="009956A4" w:rsidRPr="00D541E6">
              <w:rPr>
                <w:rFonts w:ascii="Calibri" w:eastAsia="Times New Roman" w:hAnsi="Calibri" w:cs="Calibri"/>
                <w:color w:val="000000"/>
                <w:sz w:val="22"/>
                <w:szCs w:val="22"/>
                <w:lang w:eastAsia="en-GB"/>
              </w:rPr>
              <w:t>$</w:t>
            </w:r>
            <w:r w:rsidR="00034DCE" w:rsidRPr="00D541E6">
              <w:rPr>
                <w:rFonts w:ascii="Calibri" w:eastAsia="Times New Roman" w:hAnsi="Calibri" w:cs="Calibri"/>
                <w:color w:val="000000"/>
                <w:sz w:val="22"/>
                <w:szCs w:val="22"/>
                <w:lang w:eastAsia="en-GB"/>
              </w:rPr>
              <w:t xml:space="preserve"> OR treatment-confounder</w:t>
            </w:r>
          </w:p>
        </w:tc>
        <w:tc>
          <w:tcPr>
            <w:tcW w:w="1500" w:type="dxa"/>
            <w:tcBorders>
              <w:top w:val="nil"/>
              <w:left w:val="single" w:sz="4" w:space="0" w:color="auto"/>
              <w:bottom w:val="single" w:sz="4" w:space="0" w:color="auto"/>
              <w:right w:val="single" w:sz="4" w:space="0" w:color="auto"/>
            </w:tcBorders>
          </w:tcPr>
          <w:p w14:paraId="727654B4" w14:textId="0AA22E67" w:rsidR="00F10067" w:rsidRPr="00D541E6" w:rsidRDefault="00302EA7"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29</w:t>
            </w:r>
            <w:r w:rsidR="009956A4" w:rsidRPr="00D541E6">
              <w:rPr>
                <w:rFonts w:ascii="Calibri" w:eastAsia="Times New Roman" w:hAnsi="Calibri" w:cs="Calibri"/>
                <w:color w:val="000000"/>
                <w:sz w:val="22"/>
                <w:szCs w:val="22"/>
                <w:lang w:eastAsia="en-GB"/>
              </w:rPr>
              <w:t>5</w:t>
            </w:r>
          </w:p>
        </w:tc>
      </w:tr>
      <w:tr w:rsidR="008112C0" w:rsidRPr="00D541E6" w14:paraId="078EDC0E" w14:textId="77777777" w:rsidTr="003D3405">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688FC2E8" w14:textId="707B99B8" w:rsidR="008112C0" w:rsidRPr="00D541E6" w:rsidRDefault="00D97C58" w:rsidP="003D3405">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Treatment-confound</w:t>
            </w:r>
            <w:r w:rsidR="004328AD" w:rsidRPr="00D541E6">
              <w:rPr>
                <w:rFonts w:ascii="Calibri" w:eastAsia="Times New Roman" w:hAnsi="Calibri" w:cs="Calibri"/>
                <w:color w:val="000000"/>
                <w:sz w:val="22"/>
                <w:szCs w:val="22"/>
                <w:lang w:eastAsia="en-GB"/>
              </w:rPr>
              <w:t>er feedback</w:t>
            </w:r>
          </w:p>
        </w:tc>
        <w:tc>
          <w:tcPr>
            <w:tcW w:w="1500" w:type="dxa"/>
            <w:tcBorders>
              <w:top w:val="nil"/>
              <w:left w:val="single" w:sz="4" w:space="0" w:color="auto"/>
              <w:bottom w:val="single" w:sz="4" w:space="0" w:color="auto"/>
              <w:right w:val="single" w:sz="4" w:space="0" w:color="auto"/>
            </w:tcBorders>
          </w:tcPr>
          <w:p w14:paraId="6E35230F" w14:textId="50C50A00" w:rsidR="008112C0" w:rsidRPr="00D541E6" w:rsidRDefault="004328AD" w:rsidP="003D3405">
            <w:pPr>
              <w:spacing w:line="276" w:lineRule="auto"/>
              <w:ind w:right="503"/>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1</w:t>
            </w:r>
          </w:p>
        </w:tc>
      </w:tr>
      <w:tr w:rsidR="00E3042C" w:rsidRPr="00D541E6" w14:paraId="370F207E" w14:textId="77777777" w:rsidTr="00BF4249">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9EEBF69" w14:textId="77777777" w:rsidR="00BF4249" w:rsidRPr="00D541E6" w:rsidRDefault="00BF4249" w:rsidP="003D3405">
            <w:pPr>
              <w:spacing w:line="276" w:lineRule="auto"/>
              <w:rPr>
                <w:rFonts w:ascii="Calibri" w:eastAsia="Times New Roman" w:hAnsi="Calibri" w:cs="Calibri"/>
                <w:strike/>
                <w:color w:val="D9D9D9" w:themeColor="background1" w:themeShade="D9"/>
                <w:sz w:val="22"/>
                <w:szCs w:val="22"/>
                <w:lang w:eastAsia="en-GB"/>
              </w:rPr>
            </w:pPr>
            <w:r w:rsidRPr="00D541E6">
              <w:rPr>
                <w:rFonts w:ascii="Calibri" w:eastAsia="Times New Roman" w:hAnsi="Calibri" w:cs="Calibri"/>
                <w:strike/>
                <w:color w:val="808080" w:themeColor="background1" w:themeShade="80"/>
                <w:sz w:val="22"/>
                <w:szCs w:val="22"/>
                <w:lang w:eastAsia="en-GB"/>
              </w:rPr>
              <w:t>adjust* adj1 confound*</w:t>
            </w:r>
          </w:p>
        </w:tc>
        <w:tc>
          <w:tcPr>
            <w:tcW w:w="1500" w:type="dxa"/>
            <w:tcBorders>
              <w:top w:val="nil"/>
              <w:left w:val="single" w:sz="4" w:space="0" w:color="auto"/>
              <w:bottom w:val="single" w:sz="4" w:space="0" w:color="auto"/>
              <w:right w:val="single" w:sz="4" w:space="0" w:color="auto"/>
            </w:tcBorders>
          </w:tcPr>
          <w:p w14:paraId="573212FC" w14:textId="77777777" w:rsidR="00BF4249" w:rsidRPr="00D541E6" w:rsidRDefault="00BF4249" w:rsidP="003D3405">
            <w:pPr>
              <w:spacing w:line="276" w:lineRule="auto"/>
              <w:ind w:right="503"/>
              <w:rPr>
                <w:rFonts w:ascii="Calibri" w:eastAsia="Times New Roman" w:hAnsi="Calibri" w:cs="Calibri"/>
                <w:strike/>
                <w:color w:val="D9D9D9" w:themeColor="background1" w:themeShade="D9"/>
                <w:sz w:val="22"/>
                <w:szCs w:val="22"/>
                <w:lang w:eastAsia="en-GB"/>
              </w:rPr>
            </w:pPr>
            <w:r w:rsidRPr="00D541E6">
              <w:rPr>
                <w:rFonts w:ascii="Calibri" w:eastAsia="Times New Roman" w:hAnsi="Calibri" w:cs="Calibri"/>
                <w:strike/>
                <w:color w:val="D9D9D9" w:themeColor="background1" w:themeShade="D9"/>
                <w:sz w:val="22"/>
                <w:szCs w:val="22"/>
                <w:lang w:eastAsia="en-GB"/>
              </w:rPr>
              <w:t>2721</w:t>
            </w:r>
          </w:p>
        </w:tc>
      </w:tr>
    </w:tbl>
    <w:p w14:paraId="1FB63F4A" w14:textId="77777777" w:rsidR="00DD3863" w:rsidRPr="00D541E6" w:rsidRDefault="00DD3863" w:rsidP="003D3405">
      <w:pPr>
        <w:rPr>
          <w:rFonts w:ascii="Calibri" w:eastAsia="Times New Roman" w:hAnsi="Calibri" w:cs="Calibri"/>
          <w:color w:val="000000"/>
          <w:sz w:val="12"/>
          <w:szCs w:val="12"/>
          <w:lang w:eastAsia="en-GB"/>
        </w:rPr>
      </w:pPr>
    </w:p>
    <w:p w14:paraId="386374F6" w14:textId="77777777" w:rsidR="00365B38" w:rsidRPr="00D541E6" w:rsidRDefault="00365B38" w:rsidP="008C7E7C">
      <w:pPr>
        <w:rPr>
          <w:sz w:val="22"/>
          <w:szCs w:val="22"/>
        </w:rPr>
      </w:pPr>
    </w:p>
    <w:p w14:paraId="7DC2AD94" w14:textId="481FCED8" w:rsidR="008C7E7C" w:rsidRPr="00D541E6" w:rsidRDefault="008C7E7C" w:rsidP="008C7E7C">
      <w:pPr>
        <w:rPr>
          <w:sz w:val="22"/>
          <w:szCs w:val="22"/>
        </w:rPr>
      </w:pPr>
      <w:r w:rsidRPr="00D541E6">
        <w:rPr>
          <w:sz w:val="22"/>
          <w:szCs w:val="22"/>
        </w:rPr>
        <w:t xml:space="preserve">We </w:t>
      </w:r>
      <w:r w:rsidR="00C579A9" w:rsidRPr="00D541E6">
        <w:rPr>
          <w:sz w:val="22"/>
          <w:szCs w:val="22"/>
        </w:rPr>
        <w:t>filter</w:t>
      </w:r>
      <w:r w:rsidRPr="00D541E6">
        <w:rPr>
          <w:sz w:val="22"/>
          <w:szCs w:val="22"/>
        </w:rPr>
        <w:t xml:space="preserve"> results from Search 1 using two </w:t>
      </w:r>
      <w:r w:rsidR="00C579A9" w:rsidRPr="00D541E6">
        <w:rPr>
          <w:sz w:val="22"/>
          <w:szCs w:val="22"/>
        </w:rPr>
        <w:t xml:space="preserve">filters. </w:t>
      </w:r>
    </w:p>
    <w:p w14:paraId="110FC456" w14:textId="77777777" w:rsidR="00441342" w:rsidRPr="00D541E6" w:rsidRDefault="00441342" w:rsidP="007040F5">
      <w:pPr>
        <w:pStyle w:val="Heading3"/>
        <w:rPr>
          <w:b/>
          <w:sz w:val="22"/>
          <w:szCs w:val="22"/>
        </w:rPr>
      </w:pPr>
    </w:p>
    <w:p w14:paraId="013403F2" w14:textId="77777777" w:rsidR="007040F5" w:rsidRPr="00D541E6" w:rsidRDefault="007040F5" w:rsidP="007040F5">
      <w:pPr>
        <w:pStyle w:val="Heading3"/>
        <w:rPr>
          <w:b/>
          <w:sz w:val="22"/>
          <w:szCs w:val="22"/>
        </w:rPr>
      </w:pPr>
      <w:r w:rsidRPr="00D541E6">
        <w:rPr>
          <w:b/>
          <w:sz w:val="22"/>
          <w:szCs w:val="22"/>
        </w:rPr>
        <w:t>Filter 1: Causal framework</w:t>
      </w:r>
    </w:p>
    <w:p w14:paraId="43881A3B" w14:textId="6039E487" w:rsidR="007040F5" w:rsidRPr="00D541E6" w:rsidRDefault="0077284D" w:rsidP="007040F5">
      <w:pPr>
        <w:spacing w:line="276" w:lineRule="auto"/>
        <w:rPr>
          <w:sz w:val="22"/>
          <w:szCs w:val="22"/>
        </w:rPr>
      </w:pPr>
      <w:r w:rsidRPr="00D541E6">
        <w:rPr>
          <w:sz w:val="22"/>
          <w:szCs w:val="22"/>
        </w:rPr>
        <w:t xml:space="preserve">This filter is to </w:t>
      </w:r>
      <w:r w:rsidR="007040F5" w:rsidRPr="00D541E6">
        <w:rPr>
          <w:sz w:val="22"/>
          <w:szCs w:val="22"/>
        </w:rPr>
        <w:t xml:space="preserve">search for general articles </w:t>
      </w:r>
      <w:r w:rsidR="00CA20D8" w:rsidRPr="00D541E6">
        <w:rPr>
          <w:sz w:val="22"/>
          <w:szCs w:val="22"/>
        </w:rPr>
        <w:t>within the scope of</w:t>
      </w:r>
      <w:r w:rsidR="007040F5" w:rsidRPr="00D541E6">
        <w:rPr>
          <w:sz w:val="22"/>
          <w:szCs w:val="22"/>
        </w:rPr>
        <w:t xml:space="preserve"> causality and causal inference. </w:t>
      </w:r>
    </w:p>
    <w:p w14:paraId="57630F91" w14:textId="77777777" w:rsidR="007040F5" w:rsidRPr="00D541E6" w:rsidRDefault="007040F5" w:rsidP="007040F5">
      <w:pPr>
        <w:spacing w:line="276" w:lineRule="auto"/>
        <w:rPr>
          <w:sz w:val="22"/>
          <w:szCs w:val="22"/>
        </w:rPr>
      </w:pPr>
    </w:p>
    <w:tbl>
      <w:tblPr>
        <w:tblW w:w="7960" w:type="dxa"/>
        <w:jc w:val="center"/>
        <w:tblLook w:val="04A0" w:firstRow="1" w:lastRow="0" w:firstColumn="1" w:lastColumn="0" w:noHBand="0" w:noVBand="1"/>
      </w:tblPr>
      <w:tblGrid>
        <w:gridCol w:w="6237"/>
        <w:gridCol w:w="1723"/>
      </w:tblGrid>
      <w:tr w:rsidR="007040F5" w:rsidRPr="00D541E6" w14:paraId="5E0C7FE9" w14:textId="77777777" w:rsidTr="008C7E7C">
        <w:trPr>
          <w:trHeight w:val="300"/>
          <w:jc w:val="center"/>
        </w:trPr>
        <w:tc>
          <w:tcPr>
            <w:tcW w:w="6237" w:type="dxa"/>
            <w:tcBorders>
              <w:top w:val="single" w:sz="4" w:space="0" w:color="auto"/>
              <w:left w:val="single" w:sz="4" w:space="0" w:color="auto"/>
              <w:bottom w:val="single" w:sz="4" w:space="0" w:color="auto"/>
              <w:right w:val="single" w:sz="4" w:space="0" w:color="auto"/>
            </w:tcBorders>
            <w:shd w:val="clear" w:color="auto" w:fill="95B3D7" w:themeFill="accent1" w:themeFillTint="99"/>
            <w:noWrap/>
            <w:vAlign w:val="bottom"/>
            <w:hideMark/>
          </w:tcPr>
          <w:p w14:paraId="0E591395" w14:textId="1385864E" w:rsidR="007040F5" w:rsidRPr="00D541E6" w:rsidRDefault="007040F5" w:rsidP="00545851">
            <w:pPr>
              <w:spacing w:line="276" w:lineRule="auto"/>
              <w:rPr>
                <w:rFonts w:ascii="Calibri" w:eastAsia="Times New Roman" w:hAnsi="Calibri" w:cs="Calibri"/>
                <w:b/>
                <w:bCs/>
                <w:color w:val="000000"/>
                <w:sz w:val="22"/>
                <w:szCs w:val="22"/>
                <w:lang w:eastAsia="en-GB"/>
              </w:rPr>
            </w:pPr>
            <w:r w:rsidRPr="00D541E6">
              <w:rPr>
                <w:rFonts w:ascii="Calibri" w:eastAsia="Times New Roman" w:hAnsi="Calibri" w:cs="Calibri"/>
                <w:b/>
                <w:bCs/>
                <w:color w:val="000000"/>
                <w:sz w:val="22"/>
                <w:szCs w:val="22"/>
                <w:lang w:eastAsia="en-GB"/>
              </w:rPr>
              <w:t xml:space="preserve">Table </w:t>
            </w:r>
            <w:r w:rsidR="00441342" w:rsidRPr="00D541E6">
              <w:rPr>
                <w:rFonts w:ascii="Calibri" w:eastAsia="Times New Roman" w:hAnsi="Calibri" w:cs="Calibri"/>
                <w:b/>
                <w:bCs/>
                <w:color w:val="000000"/>
                <w:sz w:val="22"/>
                <w:szCs w:val="22"/>
                <w:lang w:eastAsia="en-GB"/>
              </w:rPr>
              <w:t>2</w:t>
            </w:r>
            <w:r w:rsidRPr="00D541E6">
              <w:rPr>
                <w:rFonts w:ascii="Calibri" w:eastAsia="Times New Roman" w:hAnsi="Calibri" w:cs="Calibri"/>
                <w:b/>
                <w:bCs/>
                <w:color w:val="000000"/>
                <w:sz w:val="22"/>
                <w:szCs w:val="22"/>
                <w:lang w:eastAsia="en-GB"/>
              </w:rPr>
              <w:t>. Causal Aspect Filters: general papers on causal inference and potential outcome (counterfactual</w:t>
            </w:r>
            <w:r w:rsidR="00545851" w:rsidRPr="00D541E6">
              <w:rPr>
                <w:rFonts w:ascii="Calibri" w:eastAsia="Times New Roman" w:hAnsi="Calibri" w:cs="Calibri"/>
                <w:b/>
                <w:bCs/>
                <w:color w:val="000000"/>
                <w:sz w:val="22"/>
                <w:szCs w:val="22"/>
                <w:lang w:eastAsia="en-GB"/>
              </w:rPr>
              <w:t>)</w:t>
            </w:r>
            <w:r w:rsidRPr="00D541E6">
              <w:rPr>
                <w:rFonts w:ascii="Calibri" w:eastAsia="Times New Roman" w:hAnsi="Calibri" w:cs="Calibri"/>
                <w:b/>
                <w:bCs/>
                <w:color w:val="000000"/>
                <w:sz w:val="22"/>
                <w:szCs w:val="22"/>
                <w:lang w:eastAsia="en-GB"/>
              </w:rPr>
              <w:t xml:space="preserve"> framework; all combined using OR operation</w:t>
            </w:r>
          </w:p>
        </w:tc>
        <w:tc>
          <w:tcPr>
            <w:tcW w:w="172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50EFCF" w14:textId="77777777" w:rsidR="007040F5" w:rsidRPr="00D541E6" w:rsidRDefault="007040F5" w:rsidP="008C7E7C">
            <w:pPr>
              <w:spacing w:line="276" w:lineRule="auto"/>
              <w:ind w:right="503"/>
              <w:rPr>
                <w:rFonts w:ascii="Calibri" w:eastAsia="Times New Roman" w:hAnsi="Calibri" w:cs="Calibri"/>
                <w:b/>
                <w:bCs/>
                <w:color w:val="000000"/>
                <w:sz w:val="22"/>
                <w:szCs w:val="22"/>
                <w:lang w:eastAsia="en-GB"/>
              </w:rPr>
            </w:pPr>
          </w:p>
        </w:tc>
      </w:tr>
      <w:tr w:rsidR="007040F5" w:rsidRPr="00D541E6" w14:paraId="46E8A5A3"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2093F1D3" w14:textId="77777777" w:rsidR="007040F5" w:rsidRPr="00D541E6" w:rsidRDefault="007040F5" w:rsidP="008C7E7C">
            <w:pPr>
              <w:spacing w:line="276" w:lineRule="auto"/>
              <w:rPr>
                <w:rFonts w:ascii="Calibri" w:eastAsia="Times New Roman" w:hAnsi="Calibri" w:cs="Calibri"/>
                <w:b/>
                <w:sz w:val="22"/>
                <w:szCs w:val="22"/>
                <w:lang w:eastAsia="en-GB"/>
              </w:rPr>
            </w:pPr>
            <w:r w:rsidRPr="00D541E6">
              <w:rPr>
                <w:rFonts w:ascii="Calibri" w:eastAsia="Times New Roman" w:hAnsi="Calibri" w:cs="Calibri"/>
                <w:b/>
                <w:sz w:val="22"/>
                <w:szCs w:val="22"/>
                <w:lang w:eastAsia="en-GB"/>
              </w:rPr>
              <w:t xml:space="preserve">MEDLINE mesh: </w:t>
            </w:r>
          </w:p>
          <w:p w14:paraId="66B0FFDF"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causality</w:t>
            </w:r>
            <w:proofErr w:type="gramStart"/>
            <w:r w:rsidRPr="00D541E6">
              <w:rPr>
                <w:rFonts w:ascii="Calibri" w:eastAsia="Times New Roman" w:hAnsi="Calibri" w:cs="Calibri"/>
                <w:sz w:val="22"/>
                <w:szCs w:val="22"/>
                <w:lang w:eastAsia="en-GB"/>
              </w:rPr>
              <w:t>/  OR</w:t>
            </w:r>
            <w:proofErr w:type="gramEnd"/>
            <w:r w:rsidRPr="00D541E6">
              <w:rPr>
                <w:rFonts w:ascii="Calibri" w:eastAsia="Times New Roman" w:hAnsi="Calibri" w:cs="Calibri"/>
                <w:sz w:val="22"/>
                <w:szCs w:val="22"/>
                <w:lang w:eastAsia="en-GB"/>
              </w:rPr>
              <w:t xml:space="preserve"> precipitating factors/  OR "confounding factors (epidemiology)"/ OR *epidemiologic methods/  OR epidemiologic factors/  OR </w:t>
            </w:r>
            <w:proofErr w:type="spellStart"/>
            <w:r w:rsidRPr="00D541E6">
              <w:rPr>
                <w:rFonts w:ascii="Calibri" w:eastAsia="Times New Roman" w:hAnsi="Calibri" w:cs="Calibri"/>
                <w:sz w:val="22"/>
                <w:szCs w:val="22"/>
                <w:lang w:eastAsia="en-GB"/>
              </w:rPr>
              <w:t>exp</w:t>
            </w:r>
            <w:proofErr w:type="spellEnd"/>
            <w:r w:rsidRPr="00D541E6">
              <w:rPr>
                <w:rFonts w:ascii="Calibri" w:eastAsia="Times New Roman" w:hAnsi="Calibri" w:cs="Calibri"/>
                <w:sz w:val="22"/>
                <w:szCs w:val="22"/>
                <w:lang w:eastAsia="en-GB"/>
              </w:rPr>
              <w:t xml:space="preserve"> effect modifier, epidemiologic/ </w:t>
            </w:r>
          </w:p>
          <w:p w14:paraId="2F54EE25" w14:textId="77777777" w:rsidR="007040F5" w:rsidRPr="00D541E6" w:rsidRDefault="007040F5" w:rsidP="008C7E7C">
            <w:pPr>
              <w:spacing w:line="276" w:lineRule="auto"/>
              <w:rPr>
                <w:rFonts w:ascii="Calibri" w:eastAsia="Times New Roman" w:hAnsi="Calibri" w:cs="Calibri"/>
                <w:b/>
                <w:sz w:val="22"/>
                <w:szCs w:val="22"/>
                <w:lang w:eastAsia="en-GB"/>
              </w:rPr>
            </w:pPr>
            <w:proofErr w:type="spellStart"/>
            <w:r w:rsidRPr="00D541E6">
              <w:rPr>
                <w:rFonts w:ascii="Calibri" w:eastAsia="Times New Roman" w:hAnsi="Calibri" w:cs="Calibri"/>
                <w:b/>
                <w:sz w:val="22"/>
                <w:szCs w:val="22"/>
                <w:lang w:eastAsia="en-GB"/>
              </w:rPr>
              <w:t>Embase</w:t>
            </w:r>
            <w:proofErr w:type="spellEnd"/>
            <w:r w:rsidRPr="00D541E6">
              <w:rPr>
                <w:rFonts w:ascii="Calibri" w:eastAsia="Times New Roman" w:hAnsi="Calibri" w:cs="Calibri"/>
                <w:b/>
                <w:sz w:val="22"/>
                <w:szCs w:val="22"/>
                <w:lang w:eastAsia="en-GB"/>
              </w:rPr>
              <w:t xml:space="preserve"> mesh:</w:t>
            </w:r>
          </w:p>
          <w:p w14:paraId="6840DD00"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 xml:space="preserve">*epidemiology/ or *confounding variable/ or *epidemiologic data/ or *causal attributes/ or causal </w:t>
            </w:r>
            <w:proofErr w:type="spellStart"/>
            <w:r w:rsidRPr="00D541E6">
              <w:rPr>
                <w:rFonts w:ascii="Calibri" w:eastAsia="Times New Roman" w:hAnsi="Calibri" w:cs="Calibri"/>
                <w:sz w:val="22"/>
                <w:szCs w:val="22"/>
                <w:lang w:eastAsia="en-GB"/>
              </w:rPr>
              <w:t>modeling</w:t>
            </w:r>
            <w:proofErr w:type="spellEnd"/>
            <w:r w:rsidRPr="00D541E6">
              <w:rPr>
                <w:rFonts w:ascii="Calibri" w:eastAsia="Times New Roman" w:hAnsi="Calibri" w:cs="Calibri"/>
                <w:sz w:val="22"/>
                <w:szCs w:val="22"/>
                <w:lang w:eastAsia="en-GB"/>
              </w:rPr>
              <w:t>/ or "causal inference test"/</w:t>
            </w:r>
          </w:p>
        </w:tc>
        <w:tc>
          <w:tcPr>
            <w:tcW w:w="1723" w:type="dxa"/>
            <w:tcBorders>
              <w:top w:val="nil"/>
              <w:left w:val="single" w:sz="4" w:space="0" w:color="auto"/>
              <w:bottom w:val="single" w:sz="4" w:space="0" w:color="auto"/>
              <w:right w:val="single" w:sz="4" w:space="0" w:color="auto"/>
            </w:tcBorders>
          </w:tcPr>
          <w:p w14:paraId="1B6B47DB" w14:textId="77777777" w:rsidR="007040F5" w:rsidRPr="00D541E6" w:rsidRDefault="007040F5" w:rsidP="008C7E7C">
            <w:pPr>
              <w:spacing w:line="276" w:lineRule="auto"/>
              <w:ind w:right="503"/>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3184217</w:t>
            </w:r>
          </w:p>
          <w:p w14:paraId="7DB063E3" w14:textId="77777777" w:rsidR="007040F5" w:rsidRPr="00D541E6" w:rsidRDefault="007040F5" w:rsidP="008C7E7C">
            <w:pPr>
              <w:spacing w:line="276" w:lineRule="auto"/>
              <w:ind w:right="503"/>
              <w:rPr>
                <w:rFonts w:ascii="Calibri" w:eastAsia="Times New Roman" w:hAnsi="Calibri" w:cs="Calibri"/>
                <w:sz w:val="22"/>
                <w:szCs w:val="22"/>
                <w:lang w:eastAsia="zh-CN"/>
              </w:rPr>
            </w:pPr>
          </w:p>
          <w:p w14:paraId="72F4F8AB" w14:textId="77777777" w:rsidR="007040F5" w:rsidRPr="00D541E6" w:rsidRDefault="007040F5" w:rsidP="008C7E7C">
            <w:pPr>
              <w:spacing w:line="276" w:lineRule="auto"/>
              <w:ind w:right="503"/>
              <w:rPr>
                <w:rFonts w:ascii="Calibri" w:eastAsia="Times New Roman" w:hAnsi="Calibri" w:cs="Calibri"/>
                <w:sz w:val="22"/>
                <w:szCs w:val="22"/>
                <w:lang w:eastAsia="zh-CN"/>
              </w:rPr>
            </w:pPr>
          </w:p>
          <w:p w14:paraId="3AF4A60B" w14:textId="77777777" w:rsidR="007040F5" w:rsidRPr="00D541E6" w:rsidRDefault="007040F5" w:rsidP="008C7E7C">
            <w:pPr>
              <w:spacing w:line="276" w:lineRule="auto"/>
              <w:ind w:right="503"/>
              <w:rPr>
                <w:rFonts w:ascii="Calibri" w:eastAsia="Times New Roman" w:hAnsi="Calibri" w:cs="Calibri"/>
                <w:sz w:val="22"/>
                <w:szCs w:val="22"/>
                <w:lang w:eastAsia="zh-CN"/>
              </w:rPr>
            </w:pPr>
          </w:p>
          <w:p w14:paraId="5692B974" w14:textId="77777777" w:rsidR="007040F5" w:rsidRPr="00D541E6" w:rsidRDefault="007040F5" w:rsidP="008C7E7C">
            <w:pPr>
              <w:spacing w:line="276" w:lineRule="auto"/>
              <w:ind w:right="503"/>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45060</w:t>
            </w:r>
          </w:p>
          <w:p w14:paraId="55E17F97" w14:textId="77777777" w:rsidR="007040F5" w:rsidRPr="00D541E6" w:rsidRDefault="007040F5" w:rsidP="008C7E7C">
            <w:pPr>
              <w:spacing w:line="276" w:lineRule="auto"/>
              <w:ind w:right="503"/>
              <w:rPr>
                <w:rFonts w:ascii="Calibri" w:eastAsia="Times New Roman" w:hAnsi="Calibri" w:cs="Calibri"/>
                <w:sz w:val="22"/>
                <w:szCs w:val="22"/>
                <w:lang w:eastAsia="zh-CN"/>
              </w:rPr>
            </w:pPr>
          </w:p>
        </w:tc>
      </w:tr>
      <w:tr w:rsidR="007040F5" w:rsidRPr="00D541E6" w14:paraId="1988D822"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662739A0"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w:t>
            </w:r>
            <w:proofErr w:type="spellStart"/>
            <w:r w:rsidRPr="00D541E6">
              <w:rPr>
                <w:rFonts w:ascii="Calibri" w:eastAsia="Times New Roman" w:hAnsi="Calibri" w:cs="Calibri"/>
                <w:sz w:val="22"/>
                <w:szCs w:val="22"/>
                <w:lang w:eastAsia="en-GB"/>
              </w:rPr>
              <w:t>causalit</w:t>
            </w:r>
            <w:proofErr w:type="spellEnd"/>
            <w:r w:rsidRPr="00D541E6">
              <w:rPr>
                <w:rFonts w:ascii="Calibri" w:eastAsia="Times New Roman" w:hAnsi="Calibri" w:cs="Calibri"/>
                <w:sz w:val="22"/>
                <w:szCs w:val="22"/>
                <w:lang w:eastAsia="en-GB"/>
              </w:rPr>
              <w:t>*</w:t>
            </w:r>
            <w:proofErr w:type="gramStart"/>
            <w:r w:rsidRPr="00D541E6">
              <w:rPr>
                <w:rFonts w:ascii="Calibri" w:eastAsia="Times New Roman" w:hAnsi="Calibri" w:cs="Calibri"/>
                <w:sz w:val="22"/>
                <w:szCs w:val="22"/>
                <w:lang w:eastAsia="en-GB"/>
              </w:rPr>
              <w:t>).</w:t>
            </w:r>
            <w:proofErr w:type="spellStart"/>
            <w:r w:rsidRPr="00D541E6">
              <w:rPr>
                <w:rFonts w:ascii="Calibri" w:eastAsia="Times New Roman" w:hAnsi="Calibri" w:cs="Calibri"/>
                <w:sz w:val="22"/>
                <w:szCs w:val="22"/>
                <w:lang w:eastAsia="en-GB"/>
              </w:rPr>
              <w:t>ti</w:t>
            </w:r>
            <w:proofErr w:type="gramEnd"/>
            <w:r w:rsidRPr="00D541E6">
              <w:rPr>
                <w:rFonts w:ascii="Calibri" w:eastAsia="Times New Roman" w:hAnsi="Calibri" w:cs="Calibri"/>
                <w:sz w:val="22"/>
                <w:szCs w:val="22"/>
                <w:lang w:eastAsia="en-GB"/>
              </w:rPr>
              <w:t>,ab</w:t>
            </w:r>
            <w:proofErr w:type="spellEnd"/>
            <w:r w:rsidRPr="00D541E6">
              <w:rPr>
                <w:rFonts w:ascii="Calibri" w:eastAsia="Times New Roman" w:hAnsi="Calibri" w:cs="Calibri"/>
                <w:sz w:val="22"/>
                <w:szCs w:val="22"/>
                <w:lang w:eastAsia="en-GB"/>
              </w:rPr>
              <w:t>. OR causal inference OR causal effect* OR causation  OR causal model*</w:t>
            </w:r>
          </w:p>
        </w:tc>
        <w:tc>
          <w:tcPr>
            <w:tcW w:w="1723" w:type="dxa"/>
            <w:tcBorders>
              <w:top w:val="nil"/>
              <w:left w:val="single" w:sz="4" w:space="0" w:color="auto"/>
              <w:bottom w:val="single" w:sz="4" w:space="0" w:color="auto"/>
              <w:right w:val="single" w:sz="4" w:space="0" w:color="auto"/>
            </w:tcBorders>
          </w:tcPr>
          <w:p w14:paraId="09DAA00C" w14:textId="77777777" w:rsidR="007040F5" w:rsidRPr="00D541E6" w:rsidRDefault="007040F5" w:rsidP="008C7E7C">
            <w:pPr>
              <w:spacing w:line="276" w:lineRule="auto"/>
              <w:ind w:right="503"/>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72158</w:t>
            </w:r>
          </w:p>
          <w:p w14:paraId="233A9592" w14:textId="77777777" w:rsidR="007040F5" w:rsidRPr="00D541E6" w:rsidRDefault="007040F5" w:rsidP="008C7E7C">
            <w:pPr>
              <w:spacing w:line="276" w:lineRule="auto"/>
              <w:ind w:right="503"/>
              <w:rPr>
                <w:rFonts w:ascii="Calibri" w:eastAsia="Times New Roman" w:hAnsi="Calibri" w:cs="Calibri"/>
                <w:sz w:val="22"/>
                <w:szCs w:val="22"/>
                <w:lang w:eastAsia="zh-CN"/>
              </w:rPr>
            </w:pPr>
          </w:p>
        </w:tc>
      </w:tr>
      <w:tr w:rsidR="007040F5" w:rsidRPr="00D541E6" w14:paraId="632CA4DB"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31D85EE1" w14:textId="77777777" w:rsidR="007040F5" w:rsidRPr="00D541E6" w:rsidRDefault="007040F5" w:rsidP="008C7E7C">
            <w:pPr>
              <w:spacing w:line="276" w:lineRule="auto"/>
              <w:rPr>
                <w:rFonts w:ascii="Calibri" w:eastAsia="Times New Roman" w:hAnsi="Calibri" w:cs="Calibri"/>
                <w:strike/>
                <w:color w:val="A6A6A6" w:themeColor="background1" w:themeShade="A6"/>
                <w:sz w:val="22"/>
                <w:szCs w:val="22"/>
                <w:lang w:eastAsia="en-GB"/>
              </w:rPr>
            </w:pPr>
            <w:proofErr w:type="spellStart"/>
            <w:r w:rsidRPr="00D541E6">
              <w:rPr>
                <w:rFonts w:ascii="Calibri" w:eastAsia="Times New Roman" w:hAnsi="Calibri" w:cs="Calibri"/>
                <w:strike/>
                <w:color w:val="A6A6A6" w:themeColor="background1" w:themeShade="A6"/>
                <w:sz w:val="22"/>
                <w:szCs w:val="22"/>
                <w:lang w:eastAsia="en-GB"/>
              </w:rPr>
              <w:t>causalit</w:t>
            </w:r>
            <w:proofErr w:type="spellEnd"/>
            <w:r w:rsidRPr="00D541E6">
              <w:rPr>
                <w:rFonts w:ascii="Calibri" w:eastAsia="Times New Roman" w:hAnsi="Calibri" w:cs="Calibri"/>
                <w:strike/>
                <w:color w:val="A6A6A6" w:themeColor="background1" w:themeShade="A6"/>
                <w:sz w:val="22"/>
                <w:szCs w:val="22"/>
                <w:lang w:eastAsia="en-GB"/>
              </w:rPr>
              <w:t>*</w:t>
            </w:r>
          </w:p>
        </w:tc>
        <w:tc>
          <w:tcPr>
            <w:tcW w:w="1723" w:type="dxa"/>
            <w:tcBorders>
              <w:top w:val="nil"/>
              <w:left w:val="single" w:sz="4" w:space="0" w:color="auto"/>
              <w:bottom w:val="single" w:sz="4" w:space="0" w:color="auto"/>
              <w:right w:val="single" w:sz="4" w:space="0" w:color="auto"/>
            </w:tcBorders>
          </w:tcPr>
          <w:p w14:paraId="54BC9F00" w14:textId="77777777" w:rsidR="007040F5" w:rsidRPr="00D541E6" w:rsidRDefault="007040F5" w:rsidP="008C7E7C">
            <w:pPr>
              <w:spacing w:line="276" w:lineRule="auto"/>
              <w:ind w:right="503"/>
              <w:rPr>
                <w:rFonts w:ascii="Calibri" w:eastAsia="Times New Roman" w:hAnsi="Calibri" w:cs="Calibri"/>
                <w:strike/>
                <w:color w:val="A6A6A6" w:themeColor="background1" w:themeShade="A6"/>
                <w:sz w:val="22"/>
                <w:szCs w:val="22"/>
                <w:lang w:eastAsia="zh-CN"/>
              </w:rPr>
            </w:pPr>
            <w:r w:rsidRPr="00D541E6">
              <w:rPr>
                <w:rFonts w:ascii="Calibri" w:eastAsia="Times New Roman" w:hAnsi="Calibri" w:cs="Calibri"/>
                <w:strike/>
                <w:color w:val="A6A6A6" w:themeColor="background1" w:themeShade="A6"/>
                <w:sz w:val="22"/>
                <w:szCs w:val="22"/>
                <w:lang w:eastAsia="zh-CN"/>
              </w:rPr>
              <w:t>50408</w:t>
            </w:r>
          </w:p>
        </w:tc>
      </w:tr>
      <w:tr w:rsidR="007040F5" w:rsidRPr="00D541E6" w14:paraId="5AAEC97E"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42BD47F1" w14:textId="77777777" w:rsidR="007040F5" w:rsidRPr="00D541E6" w:rsidRDefault="007040F5" w:rsidP="008C7E7C">
            <w:pPr>
              <w:spacing w:line="276" w:lineRule="auto"/>
              <w:rPr>
                <w:rFonts w:ascii="Calibri" w:eastAsia="Times New Roman" w:hAnsi="Calibri" w:cs="Calibri"/>
                <w:strike/>
                <w:color w:val="A6A6A6" w:themeColor="background1" w:themeShade="A6"/>
                <w:sz w:val="22"/>
                <w:szCs w:val="22"/>
                <w:lang w:eastAsia="en-GB"/>
              </w:rPr>
            </w:pPr>
            <w:proofErr w:type="spellStart"/>
            <w:r w:rsidRPr="00D541E6">
              <w:rPr>
                <w:rFonts w:ascii="Calibri" w:eastAsia="Times New Roman" w:hAnsi="Calibri" w:cs="Calibri"/>
                <w:strike/>
                <w:color w:val="A6A6A6" w:themeColor="background1" w:themeShade="A6"/>
                <w:sz w:val="22"/>
                <w:szCs w:val="22"/>
                <w:lang w:eastAsia="en-GB"/>
              </w:rPr>
              <w:t>causalit</w:t>
            </w:r>
            <w:proofErr w:type="spellEnd"/>
            <w:proofErr w:type="gramStart"/>
            <w:r w:rsidRPr="00D541E6">
              <w:rPr>
                <w:rFonts w:ascii="Calibri" w:eastAsia="Times New Roman" w:hAnsi="Calibri" w:cs="Calibri"/>
                <w:strike/>
                <w:color w:val="A6A6A6" w:themeColor="background1" w:themeShade="A6"/>
                <w:sz w:val="22"/>
                <w:szCs w:val="22"/>
                <w:lang w:eastAsia="en-GB"/>
              </w:rPr>
              <w:t>*.</w:t>
            </w:r>
            <w:proofErr w:type="spellStart"/>
            <w:r w:rsidRPr="00D541E6">
              <w:rPr>
                <w:rFonts w:ascii="Calibri" w:eastAsia="Times New Roman" w:hAnsi="Calibri" w:cs="Calibri"/>
                <w:strike/>
                <w:color w:val="A6A6A6" w:themeColor="background1" w:themeShade="A6"/>
                <w:sz w:val="22"/>
                <w:szCs w:val="22"/>
                <w:lang w:eastAsia="en-GB"/>
              </w:rPr>
              <w:t>ti</w:t>
            </w:r>
            <w:proofErr w:type="gramEnd"/>
            <w:r w:rsidRPr="00D541E6">
              <w:rPr>
                <w:rFonts w:ascii="Calibri" w:eastAsia="Times New Roman" w:hAnsi="Calibri" w:cs="Calibri"/>
                <w:strike/>
                <w:color w:val="A6A6A6" w:themeColor="background1" w:themeShade="A6"/>
                <w:sz w:val="22"/>
                <w:szCs w:val="22"/>
                <w:lang w:eastAsia="en-GB"/>
              </w:rPr>
              <w:t>,ab</w:t>
            </w:r>
            <w:proofErr w:type="spellEnd"/>
            <w:r w:rsidRPr="00D541E6">
              <w:rPr>
                <w:rFonts w:ascii="Calibri" w:eastAsia="Times New Roman" w:hAnsi="Calibri" w:cs="Calibri"/>
                <w:strike/>
                <w:color w:val="A6A6A6" w:themeColor="background1" w:themeShade="A6"/>
                <w:sz w:val="22"/>
                <w:szCs w:val="22"/>
                <w:lang w:eastAsia="en-GB"/>
              </w:rPr>
              <w:t>.</w:t>
            </w:r>
          </w:p>
        </w:tc>
        <w:tc>
          <w:tcPr>
            <w:tcW w:w="1723" w:type="dxa"/>
            <w:tcBorders>
              <w:top w:val="nil"/>
              <w:left w:val="single" w:sz="4" w:space="0" w:color="auto"/>
              <w:bottom w:val="single" w:sz="4" w:space="0" w:color="auto"/>
              <w:right w:val="single" w:sz="4" w:space="0" w:color="auto"/>
            </w:tcBorders>
          </w:tcPr>
          <w:p w14:paraId="727DAEFB" w14:textId="77777777" w:rsidR="007040F5" w:rsidRPr="00D541E6" w:rsidRDefault="007040F5" w:rsidP="008C7E7C">
            <w:pPr>
              <w:spacing w:line="276" w:lineRule="auto"/>
              <w:ind w:right="503"/>
              <w:rPr>
                <w:rFonts w:ascii="Calibri" w:eastAsia="Times New Roman" w:hAnsi="Calibri" w:cs="Calibri"/>
                <w:strike/>
                <w:color w:val="A6A6A6" w:themeColor="background1" w:themeShade="A6"/>
                <w:sz w:val="22"/>
                <w:szCs w:val="22"/>
                <w:lang w:eastAsia="zh-CN"/>
              </w:rPr>
            </w:pPr>
            <w:r w:rsidRPr="00D541E6">
              <w:rPr>
                <w:rFonts w:ascii="Calibri" w:eastAsia="Times New Roman" w:hAnsi="Calibri" w:cs="Calibri"/>
                <w:strike/>
                <w:color w:val="A6A6A6" w:themeColor="background1" w:themeShade="A6"/>
                <w:sz w:val="22"/>
                <w:szCs w:val="22"/>
                <w:lang w:eastAsia="zh-CN"/>
              </w:rPr>
              <w:t>14610</w:t>
            </w:r>
          </w:p>
        </w:tc>
      </w:tr>
      <w:tr w:rsidR="007040F5" w:rsidRPr="00D541E6" w14:paraId="4A42C3CF"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7E74DFC7" w14:textId="77777777" w:rsidR="007040F5" w:rsidRPr="00D541E6" w:rsidRDefault="007040F5" w:rsidP="008C7E7C">
            <w:pPr>
              <w:spacing w:line="276" w:lineRule="auto"/>
              <w:rPr>
                <w:rFonts w:ascii="Calibri" w:eastAsia="Times New Roman" w:hAnsi="Calibri" w:cs="Calibri"/>
                <w:color w:val="000000"/>
                <w:sz w:val="22"/>
                <w:szCs w:val="22"/>
                <w:lang w:eastAsia="en-GB"/>
              </w:rPr>
            </w:pPr>
            <w:r w:rsidRPr="00D541E6">
              <w:rPr>
                <w:sz w:val="22"/>
                <w:szCs w:val="22"/>
              </w:rPr>
              <w:t>counterfactual*</w:t>
            </w:r>
          </w:p>
        </w:tc>
        <w:tc>
          <w:tcPr>
            <w:tcW w:w="1723" w:type="dxa"/>
            <w:tcBorders>
              <w:top w:val="nil"/>
              <w:left w:val="single" w:sz="4" w:space="0" w:color="auto"/>
              <w:bottom w:val="single" w:sz="4" w:space="0" w:color="auto"/>
              <w:right w:val="single" w:sz="4" w:space="0" w:color="auto"/>
            </w:tcBorders>
          </w:tcPr>
          <w:p w14:paraId="64B9E2E8" w14:textId="77777777" w:rsidR="007040F5" w:rsidRPr="00D541E6" w:rsidRDefault="007040F5" w:rsidP="008C7E7C">
            <w:pPr>
              <w:spacing w:line="276" w:lineRule="auto"/>
              <w:ind w:right="503"/>
              <w:rPr>
                <w:sz w:val="22"/>
                <w:szCs w:val="22"/>
                <w:lang w:eastAsia="zh-CN"/>
              </w:rPr>
            </w:pPr>
            <w:r w:rsidRPr="00D541E6">
              <w:rPr>
                <w:sz w:val="22"/>
                <w:szCs w:val="22"/>
                <w:lang w:eastAsia="zh-CN"/>
              </w:rPr>
              <w:t>3051</w:t>
            </w:r>
          </w:p>
        </w:tc>
      </w:tr>
      <w:tr w:rsidR="007040F5" w:rsidRPr="00D541E6" w14:paraId="2160EBEA"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hideMark/>
          </w:tcPr>
          <w:p w14:paraId="7E5EBAC1" w14:textId="77777777" w:rsidR="007040F5" w:rsidRPr="00D541E6" w:rsidRDefault="007040F5" w:rsidP="008C7E7C">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p</w:t>
            </w:r>
            <w:r w:rsidRPr="00D541E6">
              <w:rPr>
                <w:sz w:val="22"/>
                <w:szCs w:val="22"/>
              </w:rPr>
              <w:t xml:space="preserve">otential outcome* </w:t>
            </w:r>
          </w:p>
        </w:tc>
        <w:tc>
          <w:tcPr>
            <w:tcW w:w="1723" w:type="dxa"/>
            <w:tcBorders>
              <w:top w:val="nil"/>
              <w:left w:val="single" w:sz="4" w:space="0" w:color="auto"/>
              <w:bottom w:val="single" w:sz="4" w:space="0" w:color="auto"/>
              <w:right w:val="single" w:sz="4" w:space="0" w:color="auto"/>
            </w:tcBorders>
          </w:tcPr>
          <w:p w14:paraId="132F8729" w14:textId="77777777" w:rsidR="007040F5" w:rsidRPr="00D541E6" w:rsidRDefault="007040F5" w:rsidP="008C7E7C">
            <w:pPr>
              <w:spacing w:line="276" w:lineRule="auto"/>
              <w:ind w:right="503"/>
              <w:rPr>
                <w:rFonts w:ascii="Calibri" w:eastAsia="Times New Roman" w:hAnsi="Calibri" w:cs="Calibri"/>
                <w:color w:val="000000"/>
                <w:sz w:val="22"/>
                <w:szCs w:val="22"/>
                <w:lang w:eastAsia="zh-CN"/>
              </w:rPr>
            </w:pPr>
            <w:r w:rsidRPr="00D541E6">
              <w:rPr>
                <w:rFonts w:ascii="Calibri" w:eastAsia="Times New Roman" w:hAnsi="Calibri" w:cs="Calibri"/>
                <w:color w:val="000000"/>
                <w:sz w:val="22"/>
                <w:szCs w:val="22"/>
                <w:lang w:eastAsia="zh-CN"/>
              </w:rPr>
              <w:t>3631</w:t>
            </w:r>
          </w:p>
        </w:tc>
      </w:tr>
      <w:tr w:rsidR="007040F5" w:rsidRPr="00D541E6" w14:paraId="01FC9B93"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1E473671" w14:textId="77777777" w:rsidR="007040F5" w:rsidRPr="00D541E6" w:rsidRDefault="007040F5" w:rsidP="008C7E7C">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what if reasoning</w:t>
            </w:r>
          </w:p>
        </w:tc>
        <w:tc>
          <w:tcPr>
            <w:tcW w:w="1723" w:type="dxa"/>
            <w:tcBorders>
              <w:top w:val="nil"/>
              <w:left w:val="single" w:sz="4" w:space="0" w:color="auto"/>
              <w:bottom w:val="single" w:sz="4" w:space="0" w:color="auto"/>
              <w:right w:val="single" w:sz="4" w:space="0" w:color="auto"/>
            </w:tcBorders>
          </w:tcPr>
          <w:p w14:paraId="2D005D00" w14:textId="77777777" w:rsidR="007040F5" w:rsidRPr="00D541E6" w:rsidRDefault="007040F5" w:rsidP="008C7E7C">
            <w:pPr>
              <w:spacing w:line="276" w:lineRule="auto"/>
              <w:ind w:right="503"/>
              <w:rPr>
                <w:rFonts w:ascii="Calibri" w:eastAsia="Times New Roman" w:hAnsi="Calibri" w:cs="Calibri"/>
                <w:color w:val="000000"/>
                <w:sz w:val="22"/>
                <w:szCs w:val="22"/>
                <w:lang w:eastAsia="zh-CN"/>
              </w:rPr>
            </w:pPr>
            <w:r w:rsidRPr="00D541E6">
              <w:rPr>
                <w:rFonts w:ascii="Calibri" w:eastAsia="Times New Roman" w:hAnsi="Calibri" w:cs="Calibri"/>
                <w:color w:val="000000"/>
                <w:sz w:val="22"/>
                <w:szCs w:val="22"/>
                <w:lang w:eastAsia="zh-CN"/>
              </w:rPr>
              <w:t>1</w:t>
            </w:r>
          </w:p>
        </w:tc>
      </w:tr>
      <w:tr w:rsidR="007040F5" w:rsidRPr="00D541E6" w14:paraId="4A9F1522"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2E91052" w14:textId="77777777" w:rsidR="007040F5" w:rsidRPr="00D541E6" w:rsidRDefault="007040F5" w:rsidP="008C7E7C">
            <w:pPr>
              <w:spacing w:line="276" w:lineRule="auto"/>
              <w:rPr>
                <w:rFonts w:ascii="Calibri" w:eastAsia="Times New Roman" w:hAnsi="Calibri" w:cs="Calibri"/>
                <w:color w:val="000000"/>
                <w:sz w:val="22"/>
                <w:szCs w:val="22"/>
                <w:lang w:eastAsia="en-GB"/>
              </w:rPr>
            </w:pPr>
            <w:r w:rsidRPr="00D541E6">
              <w:rPr>
                <w:rFonts w:ascii="Calibri" w:eastAsia="Times New Roman" w:hAnsi="Calibri" w:cs="Calibri"/>
                <w:color w:val="000000"/>
                <w:sz w:val="22"/>
                <w:szCs w:val="22"/>
                <w:lang w:eastAsia="en-GB"/>
              </w:rPr>
              <w:t>causal intervention$</w:t>
            </w:r>
          </w:p>
        </w:tc>
        <w:tc>
          <w:tcPr>
            <w:tcW w:w="1723" w:type="dxa"/>
            <w:tcBorders>
              <w:top w:val="nil"/>
              <w:left w:val="single" w:sz="4" w:space="0" w:color="auto"/>
              <w:bottom w:val="single" w:sz="4" w:space="0" w:color="auto"/>
              <w:right w:val="single" w:sz="4" w:space="0" w:color="auto"/>
            </w:tcBorders>
          </w:tcPr>
          <w:p w14:paraId="5224034A" w14:textId="77777777" w:rsidR="007040F5" w:rsidRPr="00D541E6" w:rsidRDefault="007040F5" w:rsidP="008C7E7C">
            <w:pPr>
              <w:spacing w:line="276" w:lineRule="auto"/>
              <w:ind w:right="503"/>
              <w:rPr>
                <w:rFonts w:ascii="Calibri" w:eastAsia="Times New Roman" w:hAnsi="Calibri" w:cs="Calibri"/>
                <w:color w:val="000000"/>
                <w:sz w:val="22"/>
                <w:szCs w:val="22"/>
                <w:lang w:eastAsia="zh-CN"/>
              </w:rPr>
            </w:pPr>
            <w:r w:rsidRPr="00D541E6">
              <w:rPr>
                <w:rFonts w:ascii="Calibri" w:eastAsia="Times New Roman" w:hAnsi="Calibri" w:cs="Calibri"/>
                <w:color w:val="000000"/>
                <w:sz w:val="22"/>
                <w:szCs w:val="22"/>
                <w:lang w:eastAsia="zh-CN"/>
              </w:rPr>
              <w:t>106</w:t>
            </w:r>
          </w:p>
        </w:tc>
      </w:tr>
      <w:tr w:rsidR="007040F5" w:rsidRPr="00D541E6" w14:paraId="6127FE82"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3FA9EBB"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treatment$ intervention$</w:t>
            </w:r>
          </w:p>
        </w:tc>
        <w:tc>
          <w:tcPr>
            <w:tcW w:w="1723" w:type="dxa"/>
            <w:tcBorders>
              <w:top w:val="nil"/>
              <w:left w:val="single" w:sz="4" w:space="0" w:color="auto"/>
              <w:bottom w:val="single" w:sz="4" w:space="0" w:color="auto"/>
              <w:right w:val="single" w:sz="4" w:space="0" w:color="auto"/>
            </w:tcBorders>
          </w:tcPr>
          <w:p w14:paraId="50A83C8E" w14:textId="77777777" w:rsidR="007040F5" w:rsidRPr="00D541E6" w:rsidRDefault="007040F5" w:rsidP="008C7E7C">
            <w:pPr>
              <w:spacing w:line="276" w:lineRule="auto"/>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4137</w:t>
            </w:r>
          </w:p>
        </w:tc>
      </w:tr>
      <w:tr w:rsidR="007040F5" w:rsidRPr="00D541E6" w14:paraId="2A4074F6"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565BA2C8"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clinical intervention$</w:t>
            </w:r>
          </w:p>
        </w:tc>
        <w:tc>
          <w:tcPr>
            <w:tcW w:w="1723" w:type="dxa"/>
            <w:tcBorders>
              <w:top w:val="nil"/>
              <w:left w:val="single" w:sz="4" w:space="0" w:color="auto"/>
              <w:bottom w:val="single" w:sz="4" w:space="0" w:color="auto"/>
              <w:right w:val="single" w:sz="4" w:space="0" w:color="auto"/>
            </w:tcBorders>
          </w:tcPr>
          <w:p w14:paraId="1480BF88" w14:textId="77777777" w:rsidR="007040F5" w:rsidRPr="00D541E6" w:rsidRDefault="007040F5" w:rsidP="008C7E7C">
            <w:pPr>
              <w:spacing w:line="276" w:lineRule="auto"/>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7141</w:t>
            </w:r>
          </w:p>
        </w:tc>
      </w:tr>
      <w:tr w:rsidR="007040F5" w:rsidRPr="00D541E6" w14:paraId="6DBDEB1B"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05D3CFD2" w14:textId="77777777" w:rsidR="007040F5" w:rsidRPr="00D541E6" w:rsidRDefault="007040F5" w:rsidP="008C7E7C">
            <w:pPr>
              <w:spacing w:line="276" w:lineRule="auto"/>
              <w:rPr>
                <w:rFonts w:ascii="Calibri" w:eastAsia="Times New Roman" w:hAnsi="Calibri" w:cs="Calibri"/>
                <w:sz w:val="22"/>
                <w:szCs w:val="22"/>
                <w:lang w:eastAsia="en-GB"/>
              </w:rPr>
            </w:pPr>
            <w:r w:rsidRPr="00D541E6">
              <w:rPr>
                <w:rFonts w:ascii="Calibri" w:eastAsia="Times New Roman" w:hAnsi="Calibri" w:cs="Calibri"/>
                <w:sz w:val="22"/>
                <w:szCs w:val="22"/>
                <w:lang w:eastAsia="en-GB"/>
              </w:rPr>
              <w:t>treatment drop-in</w:t>
            </w:r>
          </w:p>
        </w:tc>
        <w:tc>
          <w:tcPr>
            <w:tcW w:w="1723" w:type="dxa"/>
            <w:tcBorders>
              <w:top w:val="nil"/>
              <w:left w:val="single" w:sz="4" w:space="0" w:color="auto"/>
              <w:bottom w:val="single" w:sz="4" w:space="0" w:color="auto"/>
              <w:right w:val="single" w:sz="4" w:space="0" w:color="auto"/>
            </w:tcBorders>
          </w:tcPr>
          <w:p w14:paraId="29D86596" w14:textId="77777777" w:rsidR="007040F5" w:rsidRPr="00D541E6" w:rsidRDefault="007040F5" w:rsidP="008C7E7C">
            <w:pPr>
              <w:spacing w:line="276" w:lineRule="auto"/>
              <w:rPr>
                <w:rFonts w:ascii="Calibri" w:eastAsia="Times New Roman" w:hAnsi="Calibri" w:cs="Calibri"/>
                <w:sz w:val="22"/>
                <w:szCs w:val="22"/>
                <w:lang w:eastAsia="zh-CN"/>
              </w:rPr>
            </w:pPr>
            <w:r w:rsidRPr="00D541E6">
              <w:rPr>
                <w:rFonts w:ascii="Calibri" w:eastAsia="Times New Roman" w:hAnsi="Calibri" w:cs="Calibri"/>
                <w:sz w:val="22"/>
                <w:szCs w:val="22"/>
                <w:lang w:eastAsia="zh-CN"/>
              </w:rPr>
              <w:t>10</w:t>
            </w:r>
          </w:p>
        </w:tc>
      </w:tr>
      <w:tr w:rsidR="007040F5" w:rsidRPr="00D541E6" w14:paraId="4DC7174B" w14:textId="77777777" w:rsidTr="008C7E7C">
        <w:trPr>
          <w:trHeight w:val="300"/>
          <w:jc w:val="center"/>
        </w:trPr>
        <w:tc>
          <w:tcPr>
            <w:tcW w:w="6237" w:type="dxa"/>
            <w:tcBorders>
              <w:top w:val="nil"/>
              <w:left w:val="single" w:sz="4" w:space="0" w:color="auto"/>
              <w:bottom w:val="single" w:sz="4" w:space="0" w:color="auto"/>
              <w:right w:val="single" w:sz="4" w:space="0" w:color="auto"/>
            </w:tcBorders>
            <w:shd w:val="clear" w:color="auto" w:fill="auto"/>
            <w:noWrap/>
            <w:vAlign w:val="bottom"/>
          </w:tcPr>
          <w:p w14:paraId="29F14CD1" w14:textId="77777777" w:rsidR="007040F5" w:rsidRPr="00D541E6" w:rsidRDefault="007040F5" w:rsidP="008C7E7C">
            <w:pPr>
              <w:spacing w:line="276" w:lineRule="auto"/>
              <w:rPr>
                <w:rFonts w:ascii="Calibri" w:eastAsia="Times New Roman" w:hAnsi="Calibri" w:cs="Calibri"/>
                <w:strike/>
                <w:color w:val="808080" w:themeColor="background1" w:themeShade="80"/>
                <w:sz w:val="22"/>
                <w:szCs w:val="22"/>
                <w:lang w:eastAsia="en-GB"/>
              </w:rPr>
            </w:pPr>
            <w:r w:rsidRPr="00D541E6">
              <w:rPr>
                <w:rFonts w:ascii="Calibri" w:eastAsia="Times New Roman" w:hAnsi="Calibri" w:cs="Calibri"/>
                <w:strike/>
                <w:color w:val="808080" w:themeColor="background1" w:themeShade="80"/>
                <w:sz w:val="22"/>
                <w:szCs w:val="22"/>
                <w:lang w:eastAsia="en-GB"/>
              </w:rPr>
              <w:t>treatment effect*</w:t>
            </w:r>
          </w:p>
        </w:tc>
        <w:tc>
          <w:tcPr>
            <w:tcW w:w="1723" w:type="dxa"/>
            <w:tcBorders>
              <w:top w:val="nil"/>
              <w:left w:val="single" w:sz="4" w:space="0" w:color="auto"/>
              <w:bottom w:val="single" w:sz="4" w:space="0" w:color="auto"/>
              <w:right w:val="single" w:sz="4" w:space="0" w:color="auto"/>
            </w:tcBorders>
          </w:tcPr>
          <w:p w14:paraId="291CB7E2" w14:textId="77777777" w:rsidR="007040F5" w:rsidRPr="00D541E6" w:rsidRDefault="007040F5" w:rsidP="008C7E7C">
            <w:pPr>
              <w:spacing w:line="276" w:lineRule="auto"/>
              <w:rPr>
                <w:rFonts w:ascii="Calibri" w:eastAsia="Times New Roman" w:hAnsi="Calibri" w:cs="Calibri"/>
                <w:strike/>
                <w:color w:val="808080" w:themeColor="background1" w:themeShade="80"/>
                <w:sz w:val="22"/>
                <w:szCs w:val="22"/>
                <w:lang w:eastAsia="zh-CN"/>
              </w:rPr>
            </w:pPr>
            <w:r w:rsidRPr="00D541E6">
              <w:rPr>
                <w:rFonts w:ascii="Calibri" w:eastAsia="Times New Roman" w:hAnsi="Calibri" w:cs="Calibri"/>
                <w:strike/>
                <w:color w:val="808080" w:themeColor="background1" w:themeShade="80"/>
                <w:sz w:val="22"/>
                <w:szCs w:val="22"/>
                <w:lang w:eastAsia="zh-CN"/>
              </w:rPr>
              <w:t>83808</w:t>
            </w:r>
          </w:p>
        </w:tc>
      </w:tr>
    </w:tbl>
    <w:p w14:paraId="31F782B0" w14:textId="77777777" w:rsidR="005A1581" w:rsidRPr="00D541E6" w:rsidRDefault="005A1581" w:rsidP="003D3405">
      <w:pPr>
        <w:rPr>
          <w:sz w:val="22"/>
          <w:szCs w:val="22"/>
        </w:rPr>
      </w:pPr>
    </w:p>
    <w:p w14:paraId="27CB04A6" w14:textId="6E8B74D0" w:rsidR="00DF3DF5" w:rsidRPr="00D541E6" w:rsidRDefault="00E9143D" w:rsidP="001C5201">
      <w:pPr>
        <w:rPr>
          <w:sz w:val="22"/>
          <w:szCs w:val="22"/>
        </w:rPr>
      </w:pPr>
      <w:r w:rsidRPr="00D541E6">
        <w:rPr>
          <w:sz w:val="22"/>
          <w:szCs w:val="22"/>
        </w:rPr>
        <w:t>Note that we a</w:t>
      </w:r>
      <w:r w:rsidR="00356229" w:rsidRPr="00D541E6">
        <w:rPr>
          <w:sz w:val="22"/>
          <w:szCs w:val="22"/>
        </w:rPr>
        <w:t>re interested in building rigor</w:t>
      </w:r>
      <w:r w:rsidRPr="00D541E6">
        <w:rPr>
          <w:sz w:val="22"/>
          <w:szCs w:val="22"/>
        </w:rPr>
        <w:t xml:space="preserve">ous </w:t>
      </w:r>
      <w:r w:rsidR="0085464B" w:rsidRPr="00D541E6">
        <w:rPr>
          <w:sz w:val="22"/>
          <w:szCs w:val="22"/>
        </w:rPr>
        <w:t xml:space="preserve">clinical predictive models. </w:t>
      </w:r>
      <w:r w:rsidR="00DF3DF5" w:rsidRPr="00D541E6">
        <w:rPr>
          <w:sz w:val="22"/>
          <w:szCs w:val="22"/>
        </w:rPr>
        <w:t xml:space="preserve">A series of search strings specifically designed for use in reviews of clinical prediction research were proposed by Geersing </w:t>
      </w:r>
      <w:r w:rsidR="00DF3DF5" w:rsidRPr="00D541E6">
        <w:rPr>
          <w:i/>
          <w:sz w:val="22"/>
          <w:szCs w:val="22"/>
        </w:rPr>
        <w:t>et al.</w:t>
      </w:r>
      <w:r w:rsidR="00DF3DF5" w:rsidRPr="00D541E6">
        <w:rPr>
          <w:sz w:val="22"/>
          <w:szCs w:val="22"/>
        </w:rPr>
        <w:t xml:space="preserve">  </w:t>
      </w:r>
      <w:r w:rsidR="00DF3DF5" w:rsidRPr="00D541E6">
        <w:rPr>
          <w:i/>
          <w:sz w:val="22"/>
          <w:szCs w:val="22"/>
        </w:rPr>
        <w:t>Geersing string</w:t>
      </w:r>
      <w:r w:rsidR="00DF3DF5" w:rsidRPr="00D541E6">
        <w:rPr>
          <w:sz w:val="22"/>
          <w:szCs w:val="22"/>
        </w:rPr>
        <w:t xml:space="preserve"> is based on the search terms proposed by Ingui et al. and includes an additional update which has been shown to provide excellent sensitivity in picking up articles related to clinical prediction model development. We therefore anticipate that it should provide a comprehensive means of finding papers related to methodological development in CPMs and will use them as filtering terms combined (AND) with </w:t>
      </w:r>
      <w:r w:rsidR="008D0A7D" w:rsidRPr="00D541E6">
        <w:rPr>
          <w:sz w:val="22"/>
          <w:szCs w:val="22"/>
        </w:rPr>
        <w:t>Search 1 results.</w:t>
      </w:r>
    </w:p>
    <w:p w14:paraId="011828D6" w14:textId="77777777" w:rsidR="008D0A7D" w:rsidRPr="00D541E6" w:rsidRDefault="008D0A7D" w:rsidP="007040F5">
      <w:pPr>
        <w:pStyle w:val="Heading3"/>
        <w:rPr>
          <w:b/>
          <w:sz w:val="22"/>
          <w:szCs w:val="22"/>
        </w:rPr>
      </w:pPr>
    </w:p>
    <w:p w14:paraId="327E22AE" w14:textId="103607C4" w:rsidR="00DF3DF5" w:rsidRPr="00D541E6" w:rsidRDefault="007040F5" w:rsidP="004168AD">
      <w:pPr>
        <w:pStyle w:val="Heading3"/>
        <w:rPr>
          <w:b/>
          <w:sz w:val="22"/>
          <w:szCs w:val="22"/>
        </w:rPr>
      </w:pPr>
      <w:r w:rsidRPr="00D541E6">
        <w:rPr>
          <w:b/>
          <w:sz w:val="22"/>
          <w:szCs w:val="22"/>
        </w:rPr>
        <w:t>Filter 2: Clinical predictive model</w:t>
      </w:r>
      <w:r w:rsidR="004168AD" w:rsidRPr="00D541E6">
        <w:rPr>
          <w:b/>
          <w:sz w:val="22"/>
          <w:szCs w:val="22"/>
        </w:rPr>
        <w:t>s</w:t>
      </w:r>
      <w:r w:rsidRPr="00D541E6">
        <w:rPr>
          <w:b/>
          <w:sz w:val="22"/>
          <w:szCs w:val="22"/>
        </w:rPr>
        <w:t xml:space="preserve"> filter</w:t>
      </w:r>
    </w:p>
    <w:p w14:paraId="263D6D4B" w14:textId="77777777" w:rsidR="007040F5" w:rsidRPr="00D541E6" w:rsidRDefault="007040F5" w:rsidP="001C5201">
      <w:pPr>
        <w:rPr>
          <w:sz w:val="22"/>
          <w:szCs w:val="22"/>
        </w:rPr>
      </w:pPr>
    </w:p>
    <w:tbl>
      <w:tblPr>
        <w:tblW w:w="0" w:type="auto"/>
        <w:jc w:val="center"/>
        <w:tblLook w:val="04A0" w:firstRow="1" w:lastRow="0" w:firstColumn="1" w:lastColumn="0" w:noHBand="0" w:noVBand="1"/>
      </w:tblPr>
      <w:tblGrid>
        <w:gridCol w:w="8300"/>
      </w:tblGrid>
      <w:tr w:rsidR="00DF3DF5" w:rsidRPr="00D541E6" w14:paraId="617DCFA7" w14:textId="77777777" w:rsidTr="000E0A1E">
        <w:trPr>
          <w:jc w:val="center"/>
        </w:trPr>
        <w:tc>
          <w:tcPr>
            <w:tcW w:w="8516" w:type="dxa"/>
            <w:shd w:val="clear" w:color="auto" w:fill="95B3D7" w:themeFill="accent1" w:themeFillTint="99"/>
          </w:tcPr>
          <w:p w14:paraId="2C0546E7" w14:textId="4C6997ED" w:rsidR="00DF3DF5" w:rsidRPr="00D541E6" w:rsidRDefault="00E5586B" w:rsidP="001C5201">
            <w:pPr>
              <w:spacing w:after="160" w:line="259" w:lineRule="auto"/>
              <w:rPr>
                <w:rFonts w:asciiTheme="majorHAnsi" w:hAnsiTheme="majorHAnsi"/>
                <w:b/>
              </w:rPr>
            </w:pPr>
            <w:r w:rsidRPr="00D541E6">
              <w:rPr>
                <w:rFonts w:asciiTheme="majorHAnsi" w:hAnsiTheme="majorHAnsi"/>
                <w:b/>
              </w:rPr>
              <w:t xml:space="preserve">Table 3. </w:t>
            </w:r>
            <w:r w:rsidR="00DF3DF5" w:rsidRPr="00D541E6">
              <w:rPr>
                <w:rFonts w:asciiTheme="majorHAnsi" w:hAnsiTheme="majorHAnsi"/>
                <w:b/>
              </w:rPr>
              <w:t xml:space="preserve">CPM FILTER: </w:t>
            </w:r>
            <w:r w:rsidR="00DF3DF5" w:rsidRPr="00D541E6">
              <w:rPr>
                <w:rFonts w:asciiTheme="majorHAnsi" w:hAnsiTheme="majorHAnsi"/>
              </w:rPr>
              <w:t>Ingui CPM Search Strategy (Rows 1-5) + Geersing Update (</w:t>
            </w:r>
            <w:r w:rsidR="0078172E" w:rsidRPr="00D541E6">
              <w:rPr>
                <w:rFonts w:asciiTheme="majorHAnsi" w:hAnsiTheme="majorHAnsi"/>
              </w:rPr>
              <w:t>Row 6</w:t>
            </w:r>
            <w:r w:rsidR="00DF3DF5" w:rsidRPr="00D541E6">
              <w:rPr>
                <w:rFonts w:asciiTheme="majorHAnsi" w:hAnsiTheme="majorHAnsi"/>
              </w:rPr>
              <w:t xml:space="preserve">) </w:t>
            </w:r>
          </w:p>
        </w:tc>
      </w:tr>
      <w:tr w:rsidR="00DF3DF5" w:rsidRPr="00D541E6" w14:paraId="76E82672" w14:textId="77777777" w:rsidTr="000E0A1E">
        <w:trPr>
          <w:jc w:val="center"/>
        </w:trPr>
        <w:tc>
          <w:tcPr>
            <w:tcW w:w="8516" w:type="dxa"/>
          </w:tcPr>
          <w:p w14:paraId="32941B4D" w14:textId="77777777" w:rsidR="00DF3DF5" w:rsidRPr="00D541E6" w:rsidRDefault="00DF3DF5" w:rsidP="001C5201">
            <w:pPr>
              <w:keepNext/>
              <w:rPr>
                <w:rFonts w:asciiTheme="majorHAnsi" w:eastAsiaTheme="majorEastAsia" w:hAnsiTheme="majorHAnsi" w:cstheme="majorBidi"/>
                <w:i/>
                <w:iCs/>
              </w:rPr>
            </w:pPr>
            <w:r w:rsidRPr="00D541E6">
              <w:rPr>
                <w:rFonts w:asciiTheme="majorHAnsi" w:hAnsiTheme="majorHAnsi"/>
              </w:rPr>
              <w:lastRenderedPageBreak/>
              <w:t xml:space="preserve">(Validat$ OR Predict$.ti. OR Rule$) </w:t>
            </w:r>
          </w:p>
        </w:tc>
      </w:tr>
      <w:tr w:rsidR="00DF3DF5" w:rsidRPr="00D541E6" w14:paraId="0575C24E" w14:textId="77777777" w:rsidTr="000E0A1E">
        <w:trPr>
          <w:jc w:val="center"/>
        </w:trPr>
        <w:tc>
          <w:tcPr>
            <w:tcW w:w="8516" w:type="dxa"/>
          </w:tcPr>
          <w:p w14:paraId="4317DC93" w14:textId="77777777" w:rsidR="00DF3DF5" w:rsidRPr="00D541E6" w:rsidRDefault="00DF3DF5" w:rsidP="001C5201">
            <w:pPr>
              <w:keepNext/>
              <w:rPr>
                <w:rFonts w:asciiTheme="majorHAnsi" w:hAnsiTheme="majorHAnsi"/>
              </w:rPr>
            </w:pPr>
            <w:r w:rsidRPr="00D541E6">
              <w:rPr>
                <w:rFonts w:asciiTheme="majorHAnsi" w:hAnsiTheme="majorHAnsi"/>
              </w:rPr>
              <w:t xml:space="preserve">(Predict$ AND (Outcome$ OR Risk$ OR Model$)) </w:t>
            </w:r>
          </w:p>
        </w:tc>
      </w:tr>
      <w:tr w:rsidR="00DF3DF5" w:rsidRPr="00D541E6" w14:paraId="0AF31485" w14:textId="77777777" w:rsidTr="000E0A1E">
        <w:trPr>
          <w:jc w:val="center"/>
        </w:trPr>
        <w:tc>
          <w:tcPr>
            <w:tcW w:w="8516" w:type="dxa"/>
          </w:tcPr>
          <w:p w14:paraId="11ABE814" w14:textId="77777777" w:rsidR="00DF3DF5" w:rsidRPr="00D541E6" w:rsidRDefault="00DF3DF5" w:rsidP="001C5201">
            <w:pPr>
              <w:keepNext/>
              <w:rPr>
                <w:rFonts w:asciiTheme="majorHAnsi" w:hAnsiTheme="majorHAnsi"/>
              </w:rPr>
            </w:pPr>
            <w:r w:rsidRPr="00D541E6">
              <w:rPr>
                <w:rFonts w:asciiTheme="majorHAnsi" w:hAnsiTheme="majorHAnsi"/>
              </w:rPr>
              <w:t xml:space="preserve">((History OR Variable$ OR Criteria OR </w:t>
            </w:r>
            <w:proofErr w:type="spellStart"/>
            <w:r w:rsidRPr="00D541E6">
              <w:rPr>
                <w:rFonts w:asciiTheme="majorHAnsi" w:hAnsiTheme="majorHAnsi"/>
              </w:rPr>
              <w:t>Scor</w:t>
            </w:r>
            <w:proofErr w:type="spellEnd"/>
            <w:r w:rsidRPr="00D541E6">
              <w:rPr>
                <w:rFonts w:asciiTheme="majorHAnsi" w:hAnsiTheme="majorHAnsi"/>
              </w:rPr>
              <w:t xml:space="preserve">$ OR Characteristic$ OR Finding$ OR Factor$) AND (Predict$ OR Model$ OR Decision$ OR </w:t>
            </w:r>
            <w:proofErr w:type="spellStart"/>
            <w:r w:rsidRPr="00D541E6">
              <w:rPr>
                <w:rFonts w:asciiTheme="majorHAnsi" w:hAnsiTheme="majorHAnsi"/>
              </w:rPr>
              <w:t>Identif</w:t>
            </w:r>
            <w:proofErr w:type="spellEnd"/>
            <w:r w:rsidRPr="00D541E6">
              <w:rPr>
                <w:rFonts w:asciiTheme="majorHAnsi" w:hAnsiTheme="majorHAnsi"/>
              </w:rPr>
              <w:t xml:space="preserve">$ OR </w:t>
            </w:r>
            <w:proofErr w:type="spellStart"/>
            <w:r w:rsidRPr="00D541E6">
              <w:rPr>
                <w:rFonts w:asciiTheme="majorHAnsi" w:hAnsiTheme="majorHAnsi"/>
              </w:rPr>
              <w:t>Prognos</w:t>
            </w:r>
            <w:proofErr w:type="spellEnd"/>
            <w:r w:rsidRPr="00D541E6">
              <w:rPr>
                <w:rFonts w:asciiTheme="majorHAnsi" w:hAnsiTheme="majorHAnsi"/>
              </w:rPr>
              <w:t xml:space="preserve">$)) </w:t>
            </w:r>
          </w:p>
        </w:tc>
      </w:tr>
      <w:tr w:rsidR="00DF3DF5" w:rsidRPr="00D541E6" w14:paraId="4A19FC71" w14:textId="77777777" w:rsidTr="000E0A1E">
        <w:trPr>
          <w:jc w:val="center"/>
        </w:trPr>
        <w:tc>
          <w:tcPr>
            <w:tcW w:w="8516" w:type="dxa"/>
          </w:tcPr>
          <w:p w14:paraId="2A66F035" w14:textId="77777777" w:rsidR="00DF3DF5" w:rsidRPr="00D541E6" w:rsidRDefault="00DF3DF5" w:rsidP="001C5201">
            <w:pPr>
              <w:keepNext/>
              <w:rPr>
                <w:rFonts w:asciiTheme="majorHAnsi" w:hAnsiTheme="majorHAnsi"/>
              </w:rPr>
            </w:pPr>
            <w:r w:rsidRPr="00D541E6">
              <w:rPr>
                <w:rFonts w:asciiTheme="majorHAnsi" w:hAnsiTheme="majorHAnsi"/>
              </w:rPr>
              <w:t xml:space="preserve">(Decision$ AND (Model$ OR Clinical$ OR Logistic Models)) </w:t>
            </w:r>
          </w:p>
        </w:tc>
      </w:tr>
      <w:tr w:rsidR="00DF3DF5" w:rsidRPr="00D541E6" w14:paraId="4276DCC0" w14:textId="77777777" w:rsidTr="000E0A1E">
        <w:trPr>
          <w:jc w:val="center"/>
        </w:trPr>
        <w:tc>
          <w:tcPr>
            <w:tcW w:w="8516" w:type="dxa"/>
          </w:tcPr>
          <w:p w14:paraId="61F65710" w14:textId="77777777" w:rsidR="00DF3DF5" w:rsidRPr="00D541E6" w:rsidRDefault="00DF3DF5" w:rsidP="001C5201">
            <w:pPr>
              <w:keepNext/>
              <w:rPr>
                <w:rFonts w:asciiTheme="majorHAnsi" w:hAnsiTheme="majorHAnsi"/>
              </w:rPr>
            </w:pPr>
            <w:r w:rsidRPr="00D541E6">
              <w:rPr>
                <w:rFonts w:asciiTheme="majorHAnsi" w:hAnsiTheme="majorHAnsi"/>
              </w:rPr>
              <w:t xml:space="preserve">(Prognostic AND (History OR Variable$ OR Criteria OR </w:t>
            </w:r>
            <w:proofErr w:type="spellStart"/>
            <w:r w:rsidRPr="00D541E6">
              <w:rPr>
                <w:rFonts w:asciiTheme="majorHAnsi" w:hAnsiTheme="majorHAnsi"/>
              </w:rPr>
              <w:t>Scor</w:t>
            </w:r>
            <w:proofErr w:type="spellEnd"/>
            <w:r w:rsidRPr="00D541E6">
              <w:rPr>
                <w:rFonts w:asciiTheme="majorHAnsi" w:hAnsiTheme="majorHAnsi"/>
              </w:rPr>
              <w:t>$ OR Characteristic$ OR Finding$ OR Factor$ OR Model$))</w:t>
            </w:r>
          </w:p>
        </w:tc>
      </w:tr>
      <w:tr w:rsidR="00DF3DF5" w:rsidRPr="00D541E6" w14:paraId="39E019EF" w14:textId="77777777" w:rsidTr="000E0A1E">
        <w:tblPrEx>
          <w:jc w:val="left"/>
        </w:tblPrEx>
        <w:tc>
          <w:tcPr>
            <w:tcW w:w="8516" w:type="dxa"/>
            <w:shd w:val="clear" w:color="auto" w:fill="F2F2F2" w:themeFill="background1" w:themeFillShade="F2"/>
          </w:tcPr>
          <w:p w14:paraId="64FF86B7" w14:textId="77777777" w:rsidR="00DF3DF5" w:rsidRPr="00D541E6" w:rsidRDefault="00DF3DF5" w:rsidP="001C5201">
            <w:pPr>
              <w:keepNext/>
              <w:rPr>
                <w:rFonts w:asciiTheme="majorHAnsi" w:hAnsiTheme="majorHAnsi"/>
              </w:rPr>
            </w:pPr>
            <w:r w:rsidRPr="00D541E6">
              <w:rPr>
                <w:rFonts w:asciiTheme="majorHAnsi" w:hAnsiTheme="majorHAnsi"/>
              </w:rPr>
              <w:t xml:space="preserve">Stratification OR ROC Curve OR Discrimination OR Discriminate OR c-statistic OR c statistic OR Area under the curve OR AUC OR Calibration OR </w:t>
            </w:r>
            <w:r w:rsidRPr="00D541E6">
              <w:rPr>
                <w:rFonts w:asciiTheme="majorHAnsi" w:hAnsiTheme="majorHAnsi"/>
                <w:strike/>
              </w:rPr>
              <w:t>Indices</w:t>
            </w:r>
            <w:r w:rsidRPr="00D541E6">
              <w:rPr>
                <w:rFonts w:asciiTheme="majorHAnsi" w:hAnsiTheme="majorHAnsi"/>
              </w:rPr>
              <w:t xml:space="preserve"> OR Algorithm OR Multivariable</w:t>
            </w:r>
          </w:p>
        </w:tc>
      </w:tr>
    </w:tbl>
    <w:p w14:paraId="17D44F2A" w14:textId="77777777" w:rsidR="0028490B" w:rsidRPr="00D541E6" w:rsidRDefault="0028490B" w:rsidP="001C5201">
      <w:pPr>
        <w:spacing w:line="276" w:lineRule="auto"/>
        <w:rPr>
          <w:sz w:val="22"/>
          <w:szCs w:val="22"/>
        </w:rPr>
      </w:pPr>
    </w:p>
    <w:p w14:paraId="77A06282" w14:textId="4EA17494" w:rsidR="00665DB8" w:rsidRPr="00D541E6" w:rsidRDefault="00665DB8" w:rsidP="00B70B52">
      <w:pPr>
        <w:rPr>
          <w:rFonts w:ascii="Calibri" w:eastAsia="DengXian Light" w:hAnsi="Calibri" w:cs="Times New Roman"/>
          <w:i/>
          <w:color w:val="1F4D78"/>
          <w:sz w:val="26"/>
          <w:szCs w:val="26"/>
        </w:rPr>
      </w:pPr>
    </w:p>
    <w:p w14:paraId="6C94D0DF" w14:textId="77777777" w:rsidR="009B218D" w:rsidRPr="00D541E6" w:rsidRDefault="009B218D">
      <w:pPr>
        <w:rPr>
          <w:rFonts w:asciiTheme="majorHAnsi" w:eastAsiaTheme="majorEastAsia" w:hAnsiTheme="majorHAnsi" w:cstheme="majorBidi"/>
          <w:color w:val="365F91" w:themeColor="accent1" w:themeShade="BF"/>
          <w:sz w:val="32"/>
          <w:szCs w:val="32"/>
        </w:rPr>
      </w:pPr>
      <w:r w:rsidRPr="00D541E6">
        <w:br w:type="page"/>
      </w:r>
    </w:p>
    <w:p w14:paraId="41FFA984" w14:textId="75A24097" w:rsidR="00D26A9D" w:rsidRPr="00D541E6" w:rsidRDefault="00D26A9D" w:rsidP="00D26A9D">
      <w:pPr>
        <w:pStyle w:val="Heading1"/>
      </w:pPr>
      <w:r w:rsidRPr="00D541E6">
        <w:lastRenderedPageBreak/>
        <w:t xml:space="preserve">Extended Results </w:t>
      </w:r>
    </w:p>
    <w:p w14:paraId="08170D3D" w14:textId="77777777" w:rsidR="00D26A9D" w:rsidRPr="00D541E6" w:rsidRDefault="00D26A9D" w:rsidP="00D26A9D"/>
    <w:p w14:paraId="7763A04B" w14:textId="5E9849B6" w:rsidR="00D26A9D" w:rsidRPr="00D541E6" w:rsidRDefault="00315954" w:rsidP="00D541E6">
      <w:pPr>
        <w:pStyle w:val="Heading2"/>
        <w:rPr>
          <w:rFonts w:ascii="Calibri" w:hAnsi="Calibri"/>
          <w:lang w:eastAsia="zh-CN"/>
        </w:rPr>
      </w:pPr>
      <w:r>
        <w:t xml:space="preserve">E.1 </w:t>
      </w:r>
      <w:r w:rsidR="00D26A9D" w:rsidRPr="00D541E6">
        <w:t>Combining causal effects measured from external information</w:t>
      </w:r>
    </w:p>
    <w:p w14:paraId="3A2FAD9F" w14:textId="77777777" w:rsidR="003A276E"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Three papers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{"citationItems":[{"id":"ITEM-1","itemData":{"DOI":"10.1186/s13058-017-0852-3","ISSN":"1465-542X","author":[{"dropping-particle":"","family":"Candido dos Reis","given":"Francisco J.","non-dropping-particle":"","parse-names":false,"suffix":""},{"dropping-particle":"","family":"Wishart","given":"Gordon C.","non-dropping-particle":"","parse-names":false,"suffix":""},{"dropping-particle":"","family":"Dicks","given":"Ed M.","non-dropping-particle":"","parse-names":false,"suffix":""},{"dropping-particle":"","family":"Greenberg","given":"David","non-dropping-particle":"","parse-names":false,"suffix":""},{"dropping-particle":"","family":"Rashbass","given":"Jem","non-dropping-particle":"","parse-names":false,"suffix":""},{"dropping-particle":"","family":"Schmidt","given":"Marjanka K.","non-dropping-particle":"","parse-names":false,"suffix":""},{"dropping-particle":"","family":"Broek","given":"Alexandra J.","non-dropping-particle":"van den","parse-names":false,"suffix":""},{"dropping-particle":"","family":"Ellis","given":"Ian O.","non-dropping-particle":"","parse-names":false,"suffix":""},{"dropping-particle":"","family":"Green","given":"Andrew","non-dropping-particle":"","parse-names":false,"suffix":""},{"dropping-particle":"","family":"Rakha","given":"Emad","non-dropping-particle":"","parse-names":false,"suffix":""},{"dropping-particle":"","family":"Maishman","given":"Tom","non-dropping-particle":"","parse-names":false,"suffix":""},{"dropping-particle":"","family":"Eccles","given":"Diana M.","non-dropping-particle":"","parse-names":false,"suffix":""},{"dropping-particle":"","family":"Pharoah","given":"Paul D. P.","non-dropping-particle":"","parse-names":false,"suffix":""}],"container-title":"Breast Cancer Research","id":"ITEM-1","issue":"1","issued":{"date-parts":[["2017","12","22"]]},"title":"An updated PREDICT breast cancer prognostication and treatment benefit prediction model with independent validation","type":"article-journal","volume":"19:58"},"uris":["http://www.mendeley.com/documents/?uuid=47e4ab94-d326-30ef-94fd-3e457e0ef523"]},{"id":"ITEM-2","itemData":{"DOI":"10.1016/S0140-6736(19)32519-X","ISSN":"1474547X","PMID":"31810609","abstract":"Background: The relevance of blood lipid concentrations to long-term incidence of cardiovascular disease and the relevance of lipid-lowering therapy for cardiovascular disease outcomes is unclear. We investigated the cardiovascular disease risk associated with the full spectrum of bloodstream non-HDL cholesterol concentrations. We also created an easy-to-use tool to estimate the long-term probabilities for a cardiovascular disease event associated with non-HDL cholesterol and modelled its risk reduction by lipid-lowering treatment. Methods: In this risk-evaluation and risk-modelling study, we used Multinational Cardiovascular Risk Consortium data from 19 countries across Europe, Australia, and North America. Individuals without prevalent cardiovascular disease at baseline and with robust available data on cardiovascular disease outcomes were included. The primary composite endpoint of atherosclerotic cardiovascular disease was defined as the occurrence of the coronary heart disease event or ischaemic stroke. Sex-specific multivariable analyses were computed using non-HDL cholesterol categories according to the European guideline thresholds, adjusted for age, sex, cohort, and classical modifiable cardiovascular risk factors. In a derivation and validation design, we created a tool to estimate the probabilities of a cardiovascular disease event by the age of 75 years, dependent on age, sex, and risk factors, and the associated modelled risk reduction, assuming a 50% reduction of non-HDL cholesterol. Findings: Of the 524 444 individuals in the 44 cohorts in the Consortium database, we identified 398 846 individuals belonging to 38 cohorts (184 055 [48·7%] women; median age 51·0 years [IQR 40·7–59·7]). 199 415 individuals were included in the derivation cohort (91 786 [48·4%] women) and 199 431 (92 269 [49·1%] women) in the validation cohort. During a maximum follow-up of 43·6 years (median 13·5 years, IQR 7·0–20·1), 54 542 cardiovascular endpoints occurred. Incidence curve analyses showed progressively higher 30-year cardiovascular disease event-rates for increasing non-HDL cholesterol categories (from 7·7% for non-HDL cholesterol &lt;2·6 mmol/L to 33·7% for ≥5·7 mmol/L in women and from 12·8% to 43·6% in men; p&lt;0·0001). Multivariable adjusted Cox models with non-HDL cholesterol lower than 2·6 mmol/L as reference showed an increase in the association between non-HDL cholesterol concentration and cardiovascular disease for both sexes (from hazard ratio 1·1, 95…","author":[{"dropping-particle":"","family":"Brunner","given":"Fabian J.","non-dropping-particle":"","parse-names":false,"suffix":""},{"dropping-particle":"","family":"Waldeyer","given":"Christoph","non-dropping-particle":"","parse-names":false,"suffix":""},{"dropping-particle":"","family":"Ojeda","given":"Francisco","non-dropping-particle":"","parse-names":false,"suffix":""},{"dropping-particle":"","family":"Salomaa","given":"Veikko","non-dropping-particle":"","parse-names":false,"suffix":""},{"dropping-particle":"","family":"Kee","given":"Frank","non-dropping-particle":"","parse-names":false,"suffix":""},{"dropping-particle":"","family":"Sans","given":"Susana","non-dropping-particle":"","parse-names":false,"suffix":""},{"dropping-particle":"","family":"Thorand","given":"Barbara","non-dropping-particle":"","parse-names":false,"suffix":""},{"dropping-particle":"","family":"Giampaoli","given":"Simona","non-dropping-particle":"","parse-names":false,"suffix":""},{"dropping-particle":"","family":"Brambilla","given":"Paolo","non-dropping-particle":"","parse-names":false,"suffix":""},{"dropping-particle":"","family":"Tunstall-Pedoe","given":"Hugh","non-dropping-particle":"","parse-names":false,"suffix":""},{"dropping-particle":"","family":"Moitry","given":"Marie","non-dropping-particle":"","parse-names":false,"suffix":""},{"dropping-particle":"","family":"Iacoviello","given":"Licia","non-dropping-particle":"","parse-names":false,"suffix":""},{"dropping-particle":"","family":"Veronesi","given":"Giovanni","non-dropping-particle":"","parse-names":false,"suffix":""},{"dropping-particle":"","family":"Grassi","given":"Guido","non-dropping-particle":"","parse-names":false,"suffix":""},{"dropping-particle":"","family":"Mathiesen","given":"Ellisiv B.","non-dropping-particle":"","parse-names":false,"suffix":""},{"dropping-particle":"","family":"Söderberg","given":"Stefan","non-dropping-particle":"","parse-names":false,"suffix":""},{"dropping-particle":"","family":"Linneberg","given":"Allan","non-dropping-particle":"","parse-names":false,"suffix":""},{"dropping-particle":"","family":"Brenner","given":"Hermann","non-dropping-particle":"","parse-names":false,"suffix":""},{"dropping-particle":"","family":"Amouyel","given":"Philippe","non-dropping-particle":"","parse-names":false,"suffix":""},{"dropping-particle":"","family":"Ferrières","given":"Jean","non-dropping-particle":"","parse-names":false,"suffix":""},{"dropping-particle":"","family":"Tamosiunas","given":"Abdonas","non-dropping-particle":"","parse-names":false,"suffix":""},{"dropping-particle":"","family":"Nikitin","given":"Yuriy P.","non-dropping-particle":"","parse-names":false,"suffix":""},{"dropping-particle":"","family":"Drygas","given":"Wojciech","non-dropping-particle":"","parse-names":false,"suffix":""},{"dropping-particle":"","family":"Melander","given":"Olle","non-dropping-particle":"","parse-names":false,"suffix":""},{"dropping-particle":"","family":"Jöckel","given":"Karl Heinz","non-dropping-particle":"","parse-names":false,"suffix":""},{"dropping-particle":"","family":"Leistner","given":"David M.","non-dropping-particle":"","parse-names":false,"suffix":""},{"dropping-particle":"","family":"Shaw","given":"Jonathan E.","non-dropping-particle":"","parse-names":false,"suffix":""},{"dropping-particle":"","family":"Panagiotakos","given":"Demosthenes B.","non-dropping-particle":"","parse-names":false,"suffix":""},{"dropping-particle":"","family":"Simons","given":"Leon A.","non-dropping-particle":"","parse-names":false,"suffix":""},{"dropping-particle":"","family":"Kavousi","given":"Maryam","non-dropping-particle":"","parse-names":false,"suffix":""},{"dropping-particle":"","family":"Vasan","given":"Ramachandran S.","non-dropping-particle":"","parse-names":false,"suffix":""},{"dropping-particle":"","family":"Dullaart","given":"Robin P.F.","non-dropping-particle":"","parse-names":false,"suffix":""},{"dropping-particle":"","family":"Wannamethee","given":"S. Goya","non-dropping-particle":"","parse-names":false,"suffix":""},{"dropping-particle":"","family":"Risérus","given":"Ulf","non-dropping-particle":"","parse-names":false,"suffix":""},{"dropping-particle":"","family":"Shea","given":"Steven","non-dropping-particle":"","parse-names":false,"suffix":""},{"dropping-particle":"","family":"Lemos","given":"James A.","non-dropping-particle":"de","parse-names":false,"suffix":""},{"dropping-particle":"","family":"Omland","given":"Torbjørn","non-dropping-particle":"","parse-names":false,"suffix":""},{"dropping-particle":"","family":"Kuulasmaa","given":"Kari","non-dropping-particle":"","parse-names":false,"suffix":""},{"dropping-particle":"","family":"Landmesser","given":"Ulf","non-dropping-particle":"","parse-names":false,"suffix":""},{"dropping-particle":"","family":"Blankenberg","given":"Stefan","non-dropping-particle":"","parse-names":false,"suffix":""},{"dropping-particle":"","family":"Zeller","given":"Tanja","non-dropping-particle":"","parse-names":false,"suffix":""},{"dropping-particle":"","family":"Kontto","given":"Jukka","non-dropping-particle":"","parse-names":false,"suffix":""},{"dropping-particle":"","family":"Männistö","given":"Satu","non-dropping-particle":"","parse-names":false,"suffix":""},{"dropping-particle":"","family":"Metspalu","given":"Andres","non-dropping-particle":"","parse-names":false,"suffix":""},{"dropping-particle":"","family":"Lackner","given":"Karl","non-dropping-particle":"","parse-names":false,"suffix":""},{"dropping-particle":"","family":"Wild","given":"Philipp","non-dropping-particle":"","parse-names":false,"suffix":""},{"dropping-particle":"","family":"Peters","given":"Annette","non-dropping-particle":"","parse-names":false,"suffix":""},{"dropping-particle":"","family":"Meisinger","given":"Christa","non-dropping-particle":"","parse-names":false,"suffix":""},{"dropping-particle":"","family":"Donfrancesco","given":"Chiara","non-dropping-particle":"","parse-names":false,"suffix":""},{"dropping-particle":"","family":"Signorini","given":"Stefano G.","non-dropping-particle":"","parse-names":false,"suffix":""},{"dropping-particle":"","family":"Alver","given":"Maris","non-dropping-particle":"","parse-names":false,"suffix":""},{"dropping-particle":"","family":"Woodward","given":"Mark","non-dropping-particle":"","parse-names":false,"suffix":""},{"dropping-particle":"","family":"Gianfagna","given":"Francesco","non-dropping-particle":"","parse-names":false,"suffix":""},{"dropping-particle":"","family":"Costanzo","given":"Simona","non-dropping-particle":"","parse-names":false,"suffix":""},{"dropping-particle":"","family":"Wilsgaard","given":"Tom","non-dropping-particle":"","parse-names":false,"suffix":""},{"dropping-particle":"","family":"Eliasson","given":"Mats","non-dropping-particle":"","parse-names":false,"suffix":""},{"dropping-particle":"","family":"Jørgensen","given":"Torben","non-dropping-particle":"","parse-names":false,"suffix":""},{"dropping-particle":"","family":"Völzke","given":"Henry","non-dropping-particle":"","parse-names":false,"suffix":""},{"dropping-particle":"","family":"Dörr","given":"Marcus","non-dropping-particle":"","parse-names":false,"suffix":""},{"dropping-particle":"","family":"Nauck","given":"Matthias","non-dropping-particle":"","parse-names":false,"suffix":""},{"dropping-particle":"","family":"Schöttker","given":"Ben","non-dropping-particle":"","parse-names":false,"suffix":""},{"dropping-particle":"","family":"Lorenz","given":"Thiess","non-dropping-particle":"","parse-names":false,"suffix":""},{"dropping-particle":"","family":"Makarova","given":"Nataliya","non-dropping-particle":"","parse-names":false,"suffix":""},{"dropping-particle":"","family":"Twerenbold","given":"Raphael","non-dropping-particle":"","parse-names":false,"suffix":""},{"dropping-particle":"","family":"Dallongeville","given":"Jean","non-dropping-particle":"","parse-names":false,"suffix":""},{"dropping-particle":"","family":"Dobson","given":"Annette","non-dropping-particle":"","parse-names":false,"suffix":""},{"dropping-particle":"","family":"Malyutina","given":"Sofia","non-dropping-particle":"","parse-names":false,"suffix":""},{"dropping-particle":"","family":"Pajak","given":"Andrzej","non-dropping-particle":"","parse-names":false,"suffix":""},{"dropping-particle":"","family":"Engström","given":"Gunnar","non-dropping-particle":"","parse-names":false,"suffix":""},{"dropping-particle":"","family":"Bobak","given":"Martin","non-dropping-particle":"","parse-names":false,"suffix":""},{"dropping-particle":"","family":"Schmidt","given":"Börge","non-dropping-particle":"","parse-names":false,"suffix":""},{"dropping-particle":"","family":"Jääskeläinen","given":"Tuija","non-dropping-particle":"","parse-names":false,"suffix":""},{"dropping-particle":"","family":"Niiranen","given":"Teemu","non-dropping-particle":"","parse-names":false,"suffix":""},{"dropping-particle":"","family":"Jousilahti","given":"Pekka","non-dropping-particle":"","parse-names":false,"suffix":""},{"dropping-particle":"","family":"Giles","given":"Graham","non-dropping-particle":"","parse-names":false,"suffix":""},{"dropping-particle":"","family":"Hodge","given":"Allison","non-dropping-particle":"","parse-names":false,"suffix":""},{"dropping-particle":"","family":"Klotsche","given":"Jens","non-dropping-particle":"","parse-names":false,"suffix":""},{"dropping-particle":"","family":"Magliano","given":"Dianna J.","non-dropping-particle":"","parse-names":false,"suffix":""},{"dropping-particle":"","family":"Lyngbakken","given":"Magnus N.","non-dropping-particle":"","parse-names":false,"suffix":""},{"dropping-particle":"","family":"Hveem","given":"Kristian","non-dropping-particle":"","parse-names":false,"suffix":""},{"dropping-particle":"","family":"Pitsavos","given":"Christos","non-dropping-particle":"","parse-names":false,"suffix":""},{"dropping-particle":"","family":"Benjamin","given":"Emelia J.","non-dropping-particle":"","parse-names":false,"suffix":""},{"dropping-particle":"","family":"Bakker","given":"Stephan J.L.","non-dropping-particle":"","parse-names":false,"suffix":""},{"dropping-particle":"","family":"Whincup","given":"Peter","non-dropping-particle":"","parse-names":false,"suffix":""},{"dropping-particle":"","family":"Ikram","given":"M. Kamran","non-dropping-particle":"","parse-names":false,"suffix":""},{"dropping-particle":"","family":"Ingelsson","given":"Martin","non-dropping-particle":"","parse-names":false,"suffix":""},{"dropping-particle":"","family":"Koenig","given":"Wolfgang","non-dropping-particle":"","parse-names":false,"suffix":""}],"container-title":"The Lancet","id":"ITEM-2","issue":"10215","issued":{"date-parts":[["2019","12","14"]]},"page":"2173-2183","publisher":"Lancet Publishing Group","title":"Application of non-HDL cholesterol for population-based cardiovascular risk stratification: results from the Multinational Cardiovascular Risk Consortium","type":"article-journal","volume":"394"},"uris":["http://www.mendeley.com/documents/?uuid=19b9a0e9-8122-3bb8-b068-a5bd87741787"]},{"id":"ITEM-3","itemData":{"abstract":"Controlled interventions provide the most direct source of information for learning causal effects. In particular, a dose-response curve can be learned by varying the treatment level and observing the corresponding outcomes. However, interventions can be expensive and time-consuming. Observational data, where the treatment is not controlled by a known mechanism, is sometimes available. Under some strong assumptions, observational data allows for the estimation of dose-response curves. Estimating such curves nonparametrically is hard: sample sizes for controlled interventions may be small, while in the observational case a large number of measured confounders may need to be marginalized. In this paper, we introduce a hierarchical Gaussian process prior that constructs a distribution over the dose-response curve by learning from observational data, and reshapes the distribution with a nonparametric affine transform learned from controlled interventions. This function composition from different sources is shown to speed-up learning, which we demonstrate with a thorough sensitivity analysis and an application to modeling the effect of therapy on cognitive skills of premature infants. 1 Contribution We introduce a new solution to the problem of learning how an outcome variable Y varies under different levels of a control variable X that is manipulated. This is done by coupling different Gaussian process priors that combine observational and interventional data. The method outperforms estimates given by using only observational or only interventional data in a variety of scenarios and provides an alternative way of interpreting related methods in the design of computer experiments. Many problems in causal inference [14] consist of having a treatment variable X and and outcome Y , and estimating how Y varies as we control X at different levels. If we have data from a randomized controlled trial, where X and Y are not confounded, many standard modeling approaches can be used to learn the relationship between X and Y. If X and Y are measured in an observational study, the corresponding data can be used to estimate the association between X and Y , but this may not be the same as the causal relationship of these two variables because of possible confounders. To distinguish between the observational regime (where X is not controlled) and the interventional regime (where X is controlled), we adopt the causal graphical framework of [16] and [19]. In Figure 1 we illu…","author":[{"dropping-particle":"","family":"Silva","given":"Ricardo","non-dropping-particle":"","parse-names":false,"suffix":""}],"id":"ITEM-3","issued":{"date-parts":[["2016"]]},"publisher":"Advances in Neural Information Processing Systems 29 (NIPS 2016)","title":"Observational-Interventional Priors for Dose-Response Learning","type":"paper-conference"},"uris":["http://www.mendeley.com/documents/?uuid=872bfea0-2dc6-34a3-a7a8-dc02d5d66538"]}],"mendeley":{"formattedCitation":"(Brunner et al., 2019; Candido dos Reis et al., 2017; Silva, 2016)","plainTextFormattedCitation":"(Brunner et al., 2019; Candido dos Reis et al., 2017; Silva, 2016)","previouslyFormattedCitation":"(15–17)"},"properties":{"noteIndex":0},"schema":"https://github.com/citation-style-language/schema/raw/master/csl-citation.json"}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(Brunner et al., 2019; Candido dos Reis et al., 2017; Silva, 2016)</w:t>
      </w:r>
      <w:r w:rsidRPr="00D541E6">
        <w:rPr>
          <w:rFonts w:ascii="Calibri" w:hAnsi="Calibri" w:cs="Calibri"/>
          <w:color w:val="000000" w:themeColor="text1"/>
        </w:rPr>
        <w:fldChar w:fldCharType="end"/>
      </w:r>
      <w:r w:rsidRPr="00D541E6">
        <w:rPr>
          <w:rFonts w:ascii="Calibri" w:hAnsi="Calibri" w:cs="Calibri"/>
          <w:color w:val="000000" w:themeColor="text1"/>
        </w:rPr>
        <w:t xml:space="preserve"> were identified as </w:t>
      </w:r>
      <w:r w:rsidRPr="00D541E6">
        <w:rPr>
          <w:rFonts w:ascii="Calibri" w:hAnsi="Calibri" w:cs="Calibri"/>
          <w:color w:val="000000" w:themeColor="text1"/>
          <w:lang w:eastAsia="zh-CN"/>
        </w:rPr>
        <w:t xml:space="preserve">developing models with combined information from different sources to address single treatment effect. </w:t>
      </w:r>
      <w:r w:rsidRPr="00D541E6">
        <w:rPr>
          <w:rFonts w:ascii="Calibri" w:hAnsi="Calibri" w:cs="Calibri"/>
          <w:color w:val="000000" w:themeColor="text1"/>
        </w:rPr>
        <w:t xml:space="preserve">Candido dos Reis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{"citationItems":[{"id":"ITEM-1","itemData":{"DOI":"10.1186/s13058-017-0852-3","ISSN":"1465-542X","author":[{"dropping-particle":"","family":"Candido dos Reis","given":"Francisco J.","non-dropping-particle":"","parse-names":false,"suffix":""},{"dropping-particle":"","family":"Wishart","given":"Gordon C.","non-dropping-particle":"","parse-names":false,"suffix":""},{"dropping-particle":"","family":"Dicks","given":"Ed M.","non-dropping-particle":"","parse-names":false,"suffix":""},{"dropping-particle":"","family":"Greenberg","given":"David","non-dropping-particle":"","parse-names":false,"suffix":""},{"dropping-particle":"","family":"Rashbass","given":"Jem","non-dropping-particle":"","parse-names":false,"suffix":""},{"dropping-particle":"","family":"Schmidt","given":"Marjanka K.","non-dropping-particle":"","parse-names":false,"suffix":""},{"dropping-particle":"","family":"Broek","given":"Alexandra J.","non-dropping-particle":"van den","parse-names":false,"suffix":""},{"dropping-particle":"","family":"Ellis","given":"Ian O.","non-dropping-particle":"","parse-names":false,"suffix":""},{"dropping-particle":"","family":"Green","given":"Andrew","non-dropping-particle":"","parse-names":false,"suffix":""},{"dropping-particle":"","family":"Rakha","given":"Emad","non-dropping-particle":"","parse-names":false,"suffix":""},{"dropping-particle":"","family":"Maishman","given":"Tom","non-dropping-particle":"","parse-names":false,"suffix":""},{"dropping-particle":"","family":"Eccles","given":"Diana M.","non-dropping-particle":"","parse-names":false,"suffix":""},{"dropping-particle":"","family":"Pharoah","given":"Paul D. P.","non-dropping-particle":"","parse-names":false,"suffix":""}],"container-title":"Breast Cancer Research","id":"ITEM-1","issue":"1","issued":{"date-parts":[["2017","12","22"]]},"title":"An updated PREDICT breast cancer prognostication and treatment benefit prediction model with independent validation","type":"article-journal","volume":"19:58"},"uris":["http://www.mendeley.com/documents/?uuid=47e4ab94-d326-30ef-94fd-3e457e0ef523"]}],"mendeley":{"formattedCitation":"(Candido dos Reis et al., 2017)","plainTextFormattedCitation":"(Candido dos Reis et al., 2017)","previouslyFormattedCitation":"(15)"},"properties":{"noteIndex":0},"schema":"https://github.com/citation-style-language/schema/raw/master/csl-citation.json"}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(Candido dos Reis et al., 2017)</w:t>
      </w:r>
      <w:r w:rsidRPr="00D541E6">
        <w:rPr>
          <w:rFonts w:ascii="Calibri" w:hAnsi="Calibri" w:cs="Calibri"/>
          <w:color w:val="000000" w:themeColor="text1"/>
        </w:rPr>
        <w:fldChar w:fldCharType="end"/>
      </w:r>
      <w:r w:rsidRPr="00D541E6">
        <w:rPr>
          <w:rFonts w:ascii="Calibri" w:hAnsi="Calibri" w:cs="Calibri"/>
          <w:color w:val="000000" w:themeColor="text1"/>
        </w:rPr>
        <w:t xml:space="preserve"> and Brunner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{"citationItems":[{"id":"ITEM-1","itemData":{"DOI":"10.1016/S0140-6736(19)32519-X","ISSN":"1474547X","PMID":"31810609","abstract":"Background: The relevance of blood lipid concentrations to long-term incidence of cardiovascular disease and the relevance of lipid-lowering therapy for cardiovascular disease outcomes is unclear. We investigated the cardiovascular disease risk associated with the full spectrum of bloodstream non-HDL cholesterol concentrations. We also created an easy-to-use tool to estimate the long-term probabilities for a cardiovascular disease event associated with non-HDL cholesterol and modelled its risk reduction by lipid-lowering treatment. Methods: In this risk-evaluation and risk-modelling study, we used Multinational Cardiovascular Risk Consortium data from 19 countries across Europe, Australia, and North America. Individuals without prevalent cardiovascular disease at baseline and with robust available data on cardiovascular disease outcomes were included. The primary composite endpoint of atherosclerotic cardiovascular disease was defined as the occurrence of the coronary heart disease event or ischaemic stroke. Sex-specific multivariable analyses were computed using non-HDL cholesterol categories according to the European guideline thresholds, adjusted for age, sex, cohort, and classical modifiable cardiovascular risk factors. In a derivation and validation design, we created a tool to estimate the probabilities of a cardiovascular disease event by the age of 75 years, dependent on age, sex, and risk factors, and the associated modelled risk reduction, assuming a 50% reduction of non-HDL cholesterol. Findings: Of the 524 444 individuals in the 44 cohorts in the Consortium database, we identified 398 846 individuals belonging to 38 cohorts (184 055 [48·7%] women; median age 51·0 years [IQR 40·7–59·7]). 199 415 individuals were included in the derivation cohort (91 786 [48·4%] women) and 199 431 (92 269 [49·1%] women) in the validation cohort. During a maximum follow-up of 43·6 years (median 13·5 years, IQR 7·0–20·1), 54 542 cardiovascular endpoints occurred. Incidence curve analyses showed progressively higher 30-year cardiovascular disease event-rates for increasing non-HDL cholesterol categories (from 7·7% for non-HDL cholesterol &lt;2·6 mmol/L to 33·7% for ≥5·7 mmol/L in women and from 12·8% to 43·6% in men; p&lt;0·0001). Multivariable adjusted Cox models with non-HDL cholesterol lower than 2·6 mmol/L as reference showed an increase in the association between non-HDL cholesterol concentration and cardiovascular disease for both sexes (from hazard ratio 1·1, 95…","author":[{"dropping-particle":"","family":"Brunner","given":"Fabian J.","non-dropping-particle":"","parse-names":false,"suffix":""},{"dropping-particle":"","family":"Waldeyer","given":"Christoph","non-dropping-particle":"","parse-names":false,"suffix":""},{"dropping-particle":"","family":"Ojeda","given":"Francisco","non-dropping-particle":"","parse-names":false,"suffix":""},{"dropping-particle":"","family":"Salomaa","given":"Veikko","non-dropping-particle":"","parse-names":false,"suffix":""},{"dropping-particle":"","family":"Kee","given":"Frank","non-dropping-particle":"","parse-names":false,"suffix":""},{"dropping-particle":"","family":"Sans","given":"Susana","non-dropping-particle":"","parse-names":false,"suffix":""},{"dropping-particle":"","family":"Thorand","given":"Barbara","non-dropping-particle":"","parse-names":false,"suffix":""},{"dropping-particle":"","family":"Giampaoli","given":"Simona","non-dropping-particle":"","parse-names":false,"suffix":""},{"dropping-particle":"","family":"Brambilla","given":"Paolo","non-dropping-particle":"","parse-names":false,"suffix":""},{"dropping-particle":"","family":"Tunstall-Pedoe","given":"Hugh","non-dropping-particle":"","parse-names":false,"suffix":""},{"dropping-particle":"","family":"Moitry","given":"Marie","non-dropping-particle":"","parse-names":false,"suffix":""},{"dropping-particle":"","family":"Iacoviello","given":"Licia","non-dropping-particle":"","parse-names":false,"suffix":""},{"dropping-particle":"","family":"Veronesi","given":"Giovanni","non-dropping-particle":"","parse-names":false,"suffix":""},{"dropping-particle":"","family":"Grassi","given":"Guido","non-dropping-particle":"","parse-names":false,"suffix":""},{"dropping-particle":"","family":"Mathiesen","given":"Ellisiv B.","non-dropping-particle":"","parse-names":false,"suffix":""},{"dropping-particle":"","family":"Söderberg","given":"Stefan","non-dropping-particle":"","parse-names":false,"suffix":""},{"dropping-particle":"","family":"Linneberg","given":"Allan","non-dropping-particle":"","parse-names":false,"suffix":""},{"dropping-particle":"","family":"Brenner","given":"Hermann","non-dropping-particle":"","parse-names":false,"suffix":""},{"dropping-particle":"","family":"Amouyel","given":"Philippe","non-dropping-particle":"","parse-names":false,"suffix":""},{"dropping-particle":"","family":"Ferrières","given":"Jean","non-dropping-particle":"","parse-names":false,"suffix":""},{"dropping-particle":"","family":"Tamosiunas","given":"Abdonas","non-dropping-particle":"","parse-names":false,"suffix":""},{"dropping-particle":"","family":"Nikitin","given":"Yuriy P.","non-dropping-particle":"","parse-names":false,"suffix":""},{"dropping-particle":"","family":"Drygas","given":"Wojciech","non-dropping-particle":"","parse-names":false,"suffix":""},{"dropping-particle":"","family":"Melander","given":"Olle","non-dropping-particle":"","parse-names":false,"suffix":""},{"dropping-particle":"","family":"Jöckel","given":"Karl Heinz","non-dropping-particle":"","parse-names":false,"suffix":""},{"dropping-particle":"","family":"Leistner","given":"David M.","non-dropping-particle":"","parse-names":false,"suffix":""},{"dropping-particle":"","family":"Shaw","given":"Jonathan E.","non-dropping-particle":"","parse-names":false,"suffix":""},{"dropping-particle":"","family":"Panagiotakos","given":"Demosthenes B.","non-dropping-particle":"","parse-names":false,"suffix":""},{"dropping-particle":"","family":"Simons","given":"Leon A.","non-dropping-particle":"","parse-names":false,"suffix":""},{"dropping-particle":"","family":"Kavousi","given":"Maryam","non-dropping-particle":"","parse-names":false,"suffix":""},{"dropping-particle":"","family":"Vasan","given":"Ramachandran S.","non-dropping-particle":"","parse-names":false,"suffix":""},{"dropping-particle":"","family":"Dullaart","given":"Robin P.F.","non-dropping-particle":"","parse-names":false,"suffix":""},{"dropping-particle":"","family":"Wannamethee","given":"S. Goya","non-dropping-particle":"","parse-names":false,"suffix":""},{"dropping-particle":"","family":"Risérus","given":"Ulf","non-dropping-particle":"","parse-names":false,"suffix":""},{"dropping-particle":"","family":"Shea","given":"Steven","non-dropping-particle":"","parse-names":false,"suffix":""},{"dropping-particle":"","family":"Lemos","given":"James A.","non-dropping-particle":"de","parse-names":false,"suffix":""},{"dropping-particle":"","family":"Omland","given":"Torbjørn","non-dropping-particle":"","parse-names":false,"suffix":""},{"dropping-particle":"","family":"Kuulasmaa","given":"Kari","non-dropping-particle":"","parse-names":false,"suffix":""},{"dropping-particle":"","family":"Landmesser","given":"Ulf","non-dropping-particle":"","parse-names":false,"suffix":""},{"dropping-particle":"","family":"Blankenberg","given":"Stefan","non-dropping-particle":"","parse-names":false,"suffix":""},{"dropping-particle":"","family":"Zeller","given":"Tanja","non-dropping-particle":"","parse-names":false,"suffix":""},{"dropping-particle":"","family":"Kontto","given":"Jukka","non-dropping-particle":"","parse-names":false,"suffix":""},{"dropping-particle":"","family":"Männistö","given":"Satu","non-dropping-particle":"","parse-names":false,"suffix":""},{"dropping-particle":"","family":"Metspalu","given":"Andres","non-dropping-particle":"","parse-names":false,"suffix":""},{"dropping-particle":"","family":"Lackner","given":"Karl","non-dropping-particle":"","parse-names":false,"suffix":""},{"dropping-particle":"","family":"Wild","given":"Philipp","non-dropping-particle":"","parse-names":false,"suffix":""},{"dropping-particle":"","family":"Peters","given":"Annette","non-dropping-particle":"","parse-names":false,"suffix":""},{"dropping-particle":"","family":"Meisinger","given":"Christa","non-dropping-particle":"","parse-names":false,"suffix":""},{"dropping-particle":"","family":"Donfrancesco","given":"Chiara","non-dropping-particle":"","parse-names":false,"suffix":""},{"dropping-particle":"","family":"Signorini","given":"Stefano G.","non-dropping-particle":"","parse-names":false,"suffix":""},{"dropping-particle":"","family":"Alver","given":"Maris","non-dropping-particle":"","parse-names":false,"suffix":""},{"dropping-particle":"","family":"Woodward","given":"Mark","non-dropping-particle":"","parse-names":false,"suffix":""},{"dropping-particle":"","family":"Gianfagna","given":"Francesco","non-dropping-particle":"","parse-names":false,"suffix":""},{"dropping-particle":"","family":"Costanzo","given":"Simona","non-dropping-particle":"","parse-names":false,"suffix":""},{"dropping-particle":"","family":"Wilsgaard","given":"Tom","non-dropping-particle":"","parse-names":false,"suffix":""},{"dropping-particle":"","family":"Eliasson","given":"Mats","non-dropping-particle":"","parse-names":false,"suffix":""},{"dropping-particle":"","family":"Jørgensen","given":"Torben","non-dropping-particle":"","parse-names":false,"suffix":""},{"dropping-particle":"","family":"Völzke","given":"Henry","non-dropping-particle":"","parse-names":false,"suffix":""},{"dropping-particle":"","family":"Dörr","given":"Marcus","non-dropping-particle":"","parse-names":false,"suffix":""},{"dropping-particle":"","family":"Nauck","given":"Matthias","non-dropping-particle":"","parse-names":false,"suffix":""},{"dropping-particle":"","family":"Schöttker","given":"Ben","non-dropping-particle":"","parse-names":false,"suffix":""},{"dropping-particle":"","family":"Lorenz","given":"Thiess","non-dropping-particle":"","parse-names":false,"suffix":""},{"dropping-particle":"","family":"Makarova","given":"Nataliya","non-dropping-particle":"","parse-names":false,"suffix":""},{"dropping-particle":"","family":"Twerenbold","given":"Raphael","non-dropping-particle":"","parse-names":false,"suffix":""},{"dropping-particle":"","family":"Dallongeville","given":"Jean","non-dropping-particle":"","parse-names":false,"suffix":""},{"dropping-particle":"","family":"Dobson","given":"Annette","non-dropping-particle":"","parse-names":false,"suffix":""},{"dropping-particle":"","family":"Malyutina","given":"Sofia","non-dropping-particle":"","parse-names":false,"suffix":""},{"dropping-particle":"","family":"Pajak","given":"Andrzej","non-dropping-particle":"","parse-names":false,"suffix":""},{"dropping-particle":"","family":"Engström","given":"Gunnar","non-dropping-particle":"","parse-names":false,"suffix":""},{"dropping-particle":"","family":"Bobak","given":"Martin","non-dropping-particle":"","parse-names":false,"suffix":""},{"dropping-particle":"","family":"Schmidt","given":"Börge","non-dropping-particle":"","parse-names":false,"suffix":""},{"dropping-particle":"","family":"Jääskeläinen","given":"Tuija","non-dropping-particle":"","parse-names":false,"suffix":""},{"dropping-particle":"","family":"Niiranen","given":"Teemu","non-dropping-particle":"","parse-names":false,"suffix":""},{"dropping-particle":"","family":"Jousilahti","given":"Pekka","non-dropping-particle":"","parse-names":false,"suffix":""},{"dropping-particle":"","family":"Giles","given":"Graham","non-dropping-particle":"","parse-names":false,"suffix":""},{"dropping-particle":"","family":"Hodge","given":"Allison","non-dropping-particle":"","parse-names":false,"suffix":""},{"dropping-particle":"","family":"Klotsche","given":"Jens","non-dropping-particle":"","parse-names":false,"suffix":""},{"dropping-particle":"","family":"Magliano","given":"Dianna J.","non-dropping-particle":"","parse-names":false,"suffix":""},{"dropping-particle":"","family":"Lyngbakken","given":"Magnus N.","non-dropping-particle":"","parse-names":false,"suffix":""},{"dropping-particle":"","family":"Hveem","given":"Kristian","non-dropping-particle":"","parse-names":false,"suffix":""},{"dropping-particle":"","family":"Pitsavos","given":"Christos","non-dropping-particle":"","parse-names":false,"suffix":""},{"dropping-particle":"","family":"Benjamin","given":"Emelia J.","non-dropping-particle":"","parse-names":false,"suffix":""},{"dropping-particle":"","family":"Bakker","given":"Stephan J.L.","non-dropping-particle":"","parse-names":false,"suffix":""},{"dropping-particle":"","family":"Whincup","given":"Peter","non-dropping-particle":"","parse-names":false,"suffix":""},{"dropping-particle":"","family":"Ikram","given":"M. Kamran","non-dropping-particle":"","parse-names":false,"suffix":""},{"dropping-particle":"","family":"Ingelsson","given":"Martin","non-dropping-particle":"","parse-names":false,"suffix":""},{"dropping-particle":"","family":"Koenig","given":"Wolfgang","non-dropping-particle":"","parse-names":false,"suffix":""}],"container-title":"The Lancet","id":"ITEM-1","issue":"10215","issued":{"date-parts":[["2019","12","14"]]},"page":"2173-2183","publisher":"Lancet Publishing Group","title":"Application of non-HDL cholesterol for population-based cardiovascular risk stratification: results from the Multinational Cardiovascular Risk Consortium","type":"article-journal","volume":"394"},"uris":["http://www.mendeley.com/documents/?uuid=19b9a0e9-8122-3bb8-b068-a5bd87741787"]}],"mendeley":{"formattedCitation":"(Brunner et al., 2019)","plainTextFormattedCitation":"(Brunner et al., 2019)","previouslyFormattedCitation":"(16)"},"properties":{"noteIndex":0},"schema":"https://github.com/citation-style-language/schema/raw/master/csl-citation.json"}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(Brunner et al., 2019)</w:t>
      </w:r>
      <w:r w:rsidRPr="00D541E6">
        <w:rPr>
          <w:rFonts w:ascii="Calibri" w:hAnsi="Calibri" w:cs="Calibri"/>
          <w:color w:val="000000" w:themeColor="text1"/>
        </w:rPr>
        <w:fldChar w:fldCharType="end"/>
      </w:r>
      <w:r w:rsidRPr="00D541E6">
        <w:rPr>
          <w:rFonts w:ascii="Calibri" w:hAnsi="Calibri" w:cs="Calibri"/>
          <w:color w:val="000000" w:themeColor="text1"/>
        </w:rPr>
        <w:t xml:space="preserve"> took a </w:t>
      </w:r>
      <w:proofErr w:type="spellStart"/>
      <w:r w:rsidRPr="00D541E6">
        <w:rPr>
          <w:rFonts w:ascii="Calibri" w:hAnsi="Calibri" w:cs="Calibri"/>
          <w:color w:val="000000" w:themeColor="text1"/>
        </w:rPr>
        <w:t>two-stage</w:t>
      </w:r>
      <w:proofErr w:type="spellEnd"/>
      <w:r w:rsidRPr="00D541E6">
        <w:rPr>
          <w:rFonts w:ascii="Calibri" w:hAnsi="Calibri" w:cs="Calibri"/>
          <w:color w:val="000000" w:themeColor="text1"/>
        </w:rPr>
        <w:t xml:space="preserve"> approach, in which causal effect estimates from external sources such as RCTs and meta-analyses were first identified, then combined with prediction models to allow counterfactual predictions. </w:t>
      </w:r>
    </w:p>
    <w:p w14:paraId="440953DC" w14:textId="62F70961" w:rsidR="00D26A9D" w:rsidRPr="00D541E6" w:rsidRDefault="00D26A9D" w:rsidP="00D26A9D">
      <w:pPr>
        <w:autoSpaceDE w:val="0"/>
        <w:autoSpaceDN w:val="0"/>
        <w:adjustRightInd w:val="0"/>
        <w:spacing w:after="240" w:line="276" w:lineRule="auto"/>
        <w:rPr>
          <w:rFonts w:ascii="Calibri" w:hAnsi="Calibri" w:cs="Calibri"/>
          <w:color w:val="000000" w:themeColor="text1"/>
          <w:lang w:eastAsia="zh-CN"/>
        </w:rPr>
      </w:pPr>
      <w:r w:rsidRPr="00D541E6">
        <w:rPr>
          <w:rFonts w:ascii="Calibri" w:hAnsi="Calibri" w:cs="Calibri"/>
          <w:color w:val="000000" w:themeColor="text1"/>
        </w:rPr>
        <w:t xml:space="preserve">In Candido dos Reis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{"citationItems":[{"id":"ITEM-1","itemData":{"DOI":"10.1186/s13058-017-0852-3","ISSN":"1465-542X","author":[{"dropping-particle":"","family":"Candido dos Reis","given":"Francisco J.","non-dropping-particle":"","parse-names":false,"suffix":""},{"dropping-particle":"","family":"Wishart","given":"Gordon C.","non-dropping-particle":"","parse-names":false,"suffix":""},{"dropping-particle":"","family":"Dicks","given":"Ed M.","non-dropping-particle":"","parse-names":false,"suffix":""},{"dropping-particle":"","family":"Greenberg","given":"David","non-dropping-particle":"","parse-names":false,"suffix":""},{"dropping-particle":"","family":"Rashbass","given":"Jem","non-dropping-particle":"","parse-names":false,"suffix":""},{"dropping-particle":"","family":"Schmidt","given":"Marjanka K.","non-dropping-particle":"","parse-names":false,"suffix":""},{"dropping-particle":"","family":"Broek","given":"Alexandra J.","non-dropping-particle":"van den","parse-names":false,"suffix":""},{"dropping-particle":"","family":"Ellis","given":"Ian O.","non-dropping-particle":"","parse-names":false,"suffix":""},{"dropping-particle":"","family":"Green","given":"Andrew","non-dropping-particle":"","parse-names":false,"suffix":""},{"dropping-particle":"","family":"Rakha","given":"Emad","non-dropping-particle":"","parse-names":false,"suffix":""},{"dropping-particle":"","family":"Maishman","given":"Tom","non-dropping-particle":"","parse-names":false,"suffix":""},{"dropping-particle":"","family":"Eccles","given":"Diana M.","non-dropping-particle":"","parse-names":false,"suffix":""},{"dropping-particle":"","family":"Pharoah","given":"Paul D. P.","non-dropping-particle":"","parse-names":false,"suffix":""}],"container-title":"Breast Cancer Research","id":"ITEM-1","issue":"1","issued":{"date-parts":[["2017","12","22"]]},"title":"An updated PREDICT breast cancer prognostication and treatment benefit prediction model with independent validation","type":"article-journal","volume":"19:58"},"uris":["http://www.mendeley.com/documents/?uuid=47e4ab94-d326-30ef-94fd-3e457e0ef523"]}],"mendeley":{"formattedCitation":"(Candido dos Reis et al., 2017)","plainTextFormattedCitation":"(Candido dos Reis et al., 2017)","previouslyFormattedCitation":"(15)"},"properties":{"noteIndex":0},"schema":"https://github.com/citation-style-language/schema/raw/master/csl-citation.json"}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(Candido dos Reis et al., 2017)</w:t>
      </w:r>
      <w:r w:rsidRPr="00D541E6">
        <w:rPr>
          <w:rFonts w:ascii="Calibri" w:hAnsi="Calibri" w:cs="Calibri"/>
          <w:color w:val="000000" w:themeColor="text1"/>
        </w:rPr>
        <w:fldChar w:fldCharType="end"/>
      </w:r>
      <w:r w:rsidRPr="00D541E6">
        <w:rPr>
          <w:rFonts w:ascii="Calibri" w:hAnsi="Calibri" w:cs="Calibri"/>
          <w:color w:val="000000" w:themeColor="text1"/>
        </w:rPr>
        <w:t xml:space="preserve">, a CPM was developed to predict mortality from breast cancer. A treatment variable (adjuvant chemotherapy and adjuvant hormone therapy) was added to the prediction model as a predictor, and the ‘treatment benefits’ (coefficients) were fixed to the effect sizes reported from a meta-analyses of 194 randomised trials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{"citationItems":[{"id":"ITEM-1","itemData":{"DOI":"10.1016/S0140-6736(05)66544-0","ISSN":"01406736","PMID":"15894097","abstract":"Background: Quinquennial overviews (1985-2000) of the randomised trials in early breast cancer have assessed the 5-year and 10-year effects of various systemic adjuvant therapies on breast cancer recurrence and survival. Here, we report the 10-year and 15-year effects. Methods: Collaborative meta-analyses were undertaken of 194 unconfounded randomised trials of adjuvant chemotherapy or hormonal therapy that began by 1995. Many trials involved CMF (cyclophosphamide, methotrexate, fluorouracil), anthracycline-based combinations such as FAC (fluorouracil, doxorubicin, cyclophosphamide) or FEC (fluorouracil, epirubicin, cyclophosphamide), tamoxifen, or ovarian suppression: none involved taxanes, trastuzumab, raloxifene, or modern aromatase inhibitors. Findings: Allocation to about 6 months of anthracycline-based polychemotherapy (eg, with FAC or FEC) reduces the annual breast cancer death rate by about 38% (SE 5) for women younger than 50 years of age when diagnosed and by about 20% (SE 4) for those of age 50-69 years when diagnosed, largely irrespective of the use of tamoxifen and of oestrogen receptor (ER) status, nodal status, or other tumour characteristics. Such regimens are significantly (2p=0·0001 for recurrence, 2p&lt;0·00001 for breast cancer mortality) more effective than CMF chemotherapy. Few women of age 70 years or older entered these chemotherapy trials. For ER-positive disease only, allocation to about 5 years of adjuvant tamoxifen reduces the annual breast cancer death rate by 31% (SE 3), largely irrespective of the use of chemotherapy and of age (&lt;50, 50-69, ≥70 years), progesterone receptor status, or other tumour characteristics. 5 years is significantly (2p&lt;0·00001 for recurrence, 2p=0·01 for breast cancer mortality) more effective than just 1-2 years of tamoxifen. For ER-positive tumours, the annual breast cancer mortality rates are similar during years 0-4 and 5-14, as are the proportional reductions in them by 5 years of tamoxifen, so the cumulative reduction in mortality is more than twice as big at 15 years as at 5 years after diagnosis. These results combine six meta-analyses: anthracycline-based versus no chemotherapy (8000 women); CMF-based versus no chemotherapy (14 000); anthracycline-based versus CMF-based chemotherapy (14 000); about 5 years of tamoxifen versus none (15 000); about 1-2 years of tamoxifen versus none (33 000); and about 5 years versus 1-2 years of tamoxifen (18 000). Finally, allocation to ovarian ablation or sup…","author":[{"dropping-particle":"","family":"Abe","given":"O.","non-dropping-particle":"","parse-names":false,"suffix":""},{"dropping-particle":"","family":"Abe","given":"R.","non-dropping-particle":"","parse-names":false,"suffix":""},{"dropping-particle":"","family":"Enomoto","given":"K.","non-dropping-particle":"","parse-names":false,"suffix":""},{"dropping-particle":"","family":"Kikuchi","given":"K.","non-dropping-particle":"","parse-names":false,"suffix":""},{"dropping-particle":"","family":"Koyama","given":"H.","non-dropping-particle":"","parse-names":false,"suffix":""},{"dropping-particle":"","family":"Masuda","given":"H.","non-dropping-particle":"","parse-names":false,"suffix":""},{"dropping-particle":"","family":"Nomura","given":"Y.","non-dropping-particle":"","parse-names":false,"suffix":""},{"dropping-particle":"","family":"Sakai","given":"K.","non-dropping-particle":"","parse-names":false,"suffix":""},{"dropping-particle":"","family":"Sugimachi","given":"K.","non-dropping-particle":"","parse-names":false,"suffix":""},{"dropping-particle":"","family":"Tominaga","given":"T.","non-dropping-particle":"","parse-names":false,"suffix":""},{"dropping-particle":"","family":"Uchino","given":"J.","non-dropping-particle":"","parse-names":false,"suffix":""},{"dropping-particle":"","family":"Yoshida","given":"M.","non-dropping-particle":"","parse-names":false,"suffix":""},{"dropping-particle":"","family":"Haybittle","given":"J. L.","non-dropping-particle":"","parse-names":false,"suffix":""},{"dropping-particle":"","family":"Davies","given":"C.","non-dropping-particle":"","parse-names":false,"suffix":""},{"dropping-particle":"","family":"Harvey","given":"V. J.","non-dropping-particle":"","parse-names":false,"suffix":""},{"dropping-particle":"","family":"Holdaway","given":"T. M.","non-dropping-particle":"","parse-names":false,"suffix":""},{"dropping-particle":"","family":"Kay","given":"R. G.","non-dropping-particle":"","parse-names":false,"suffix":""},{"dropping-particle":"","family":"Mason","given":"B. H.","non-dropping-particle":"","parse-names":false,"suffix":""},{"dropping-particle":"","family":"Forbes","given":"J. F.","non-dropping-particle":"","parse-names":false,"suffix":""},{"dropping-particle":"","family":"Wilcken","given":"N.","non-dropping-particle":"","parse-names":false,"suffix":""},{"dropping-particle":"","family":"Gnant","given":"M.","non-dropping-particle":"","parse-names":false,"suffix":""},{"dropping-particle":"","family":"Jakesz","given":"R.","non-dropping-particle":"","parse-names":false,"suffix":""},{"dropping-particle":"","family":"Ploner","given":"M.","non-dropping-particle":"","parse-names":false,"suffix":""},{"dropping-particle":"","family":"Yosef","given":"H. M.A.","non-dropping-particle":"","parse-names":false,"suffix":""},{"dropping-particle":"","family":"Focan","given":"C.","non-dropping-particle":"","parse-names":false,"suffix":""},{"dropping-particle":"","family":"Lobelle","given":"J. P.","non-dropping-particle":"","parse-names":false,"suffix":""},{"dropping-particle":"","family":"Peek","given":"U.","non-dropping-particle":"","parse-names":false,"suffix":""},{"dropping-particle":"","family":"Oates","given":"G. D.","non-dropping-particle":"","parse-names":false,"suffix":""},{"dropping-particle":"","family":"Powell","given":"J.","non-dropping-particle":"","parse-names":false,"suffix":""},{"dropping-particle":"","family":"Durand","given":"M.","non-dropping-particle":"","parse-names":false,"suffix":""},{"dropping-particle":"","family":"Mauriac","given":"L.","non-dropping-particle":"","parse-names":false,"suffix":""},{"dropping-particle":"","family":"Leo","given":"A.","non-dropping-particle":"Di","parse-names":false,"suffix":""},{"dropping-particle":"","family":"Dolci","given":"S.","non-dropping-particle":"","parse-names":false,"suffix":""},{"dropping-particle":"","family":"Piccart","given":"M. J.","non-dropping-particle":"","parse-names":false,"suffix":""},{"dropping-particle":"","family":"Masood","given":"M. B.","non-dropping-particle":"","parse-names":false,"suffix":""},{"dropping-particle":"","family":"Parker","given":"D.","non-dropping-particle":"","parse-names":false,"suffix":""},{"dropping-particle":"","family":"Price","given":"J. J.","non-dropping-particle":"","parse-names":false,"suffix":""},{"dropping-particle":"","family":"Hupperets","given":"P. S.G.J.","non-dropping-particle":"","parse-names":false,"suffix":""},{"dropping-particle":"","family":"Jackson","given":"S.","non-dropping-particle":"","parse-names":false,"suffix":""},{"dropping-particle":"","family":"Ragaz","given":"J.","non-dropping-particle":"","parse-names":false,"suffix":""},{"dropping-particle":"","family":"Berry","given":"D.","non-dropping-particle":"","parse-names":false,"suffix":""},{"dropping-particle":"","family":"Broadwater","given":"G.","non-dropping-particle":"","parse-names":false,"suffix":""},{"dropping-particle":"","family":"Cirrincione","given":"C.","non-dropping-particle":"","parse-names":false,"suffix":""},{"dropping-particle":"","family":"Muss","given":"H.","non-dropping-particle":"","parse-names":false,"suffix":""},{"dropping-particle":"","family":"Norton","given":"L.","non-dropping-particle":"","parse-names":false,"suffix":""},{"dropping-particle":"","family":"Weiss","given":"R. B.","non-dropping-particle":"","parse-names":false,"suffix":""},{"dropping-particle":"","family":"Abu-Zahra","given":"H. T.","non-dropping-particle":"","parse-names":false,"suffix":""},{"dropping-particle":"","family":"Portnoj","given":"S. M.","non-dropping-particle":"","parse-names":false,"suffix":""},{"dropping-particle":"","family":"Baum","given":"M.","non-dropping-particle":"","parse-names":false,"suffix":""},{"dropping-particle":"","family":"Cuzick","given":"J.","non-dropping-particle":"","parse-names":false,"suffix":""},{"dropping-particle":"","family":"Houghton","given":"J.","non-dropping-particle":"","parse-names":false,"suffix":""},{"dropping-particle":"","family":"Riley","given":"D.","non-dropping-particle":"","parse-names":false,"suffix":""},{"dropping-particle":"","family":"Gordon","given":"N. H.","non-dropping-particle":"","parse-names":false,"suffix":""},{"dropping-particle":"","family":"Davis","given":"H. L.","non-dropping-particle":"","parse-names":false,"suffix":""},{"dropping-particle":"","family":"Beatrice","given":"A.","non-dropping-particle":"","parse-names":false,"suffix":""},{"dropping-particle":"","family":"Mihura","given":"J.","non-dropping-particle":"","parse-names":false,"suffix":""},{"dropping-particle":"","family":"Naja","given":"A.","non-dropping-particle":"","parse-names":false,"suffix":""},{"dropping-particle":"","family":"Lehingue","given":"Y.","non-dropping-particle":"","parse-names":false,"suffix":""},{"dropping-particle":"","family":"Romestaing","given":"P.","non-dropping-particle":"","parse-names":false,"suffix":""},{"dropping-particle":"","family":"Dubois","given":"J. B.","non-dropping-particle":"","parse-names":false,"suffix":""},{"dropping-particle":"","family":"Delozier","given":"T.","non-dropping-particle":"","parse-names":false,"suffix":""},{"dropping-particle":"","family":"Mace-Lesec'h","given":"J.","non-dropping-particle":"","parse-names":false,"suffix":""},{"dropping-particle":"","family":"Rambert","given":"P.","non-dropping-particle":"","parse-names":false,"suffix":""},{"dropping-particle":"","family":"Andrysek","given":"O.","non-dropping-particle":"","parse-names":false,"suffix":""},{"dropping-particle":"","family":"Barkmanova","given":"J.","non-dropping-particle":"","parse-names":false,"suffix":""},{"dropping-particle":"","family":"Owen","given":"J. R.","non-dropping-particle":"","parse-names":false,"suffix":""},{"dropping-particle":"","family":"Meier","given":"P.","non-dropping-particle":"","parse-names":false,"suffix":""},{"dropping-particle":"","family":"Howell","given":"A.","non-dropping-particle":"","parse-names":false,"suffix":""},{"dropping-particle":"","family":"Ribeiro","given":"G. C.","non-dropping-particle":"","parse-names":false,"suffix":""},{"dropping-particle":"","family":"Swindell","given":"R.","non-dropping-particle":"","parse-names":false,"suffix":""},{"dropping-particle":"","family":"Alison","given":"R.","non-dropping-particle":"","parse-names":false,"suffix":""},{"dropping-particle":"","family":"Boreham","given":"J.","non-dropping-particle":"","parse-names":false,"suffix":""},{"dropping-particle":"","family":"Clarke","given":"M.","non-dropping-particle":"","parse-names":false,"suffix":""},{"dropping-particle":"","family":"Collins","given":"R.","non-dropping-particle":"","parse-names":false,"suffix":""},{"dropping-particle":"","family":"Darby","given":"S.","non-dropping-particle":"","parse-names":false,"suffix":""},{"dropping-particle":"","family":"Davies","given":"C.","non-dropping-particle":"","parse-names":false,"suffix":""},{"dropping-particle":"","family":"Elphinstone","given":"P.","non-dropping-particle":"","parse-names":false,"suffix":""},{"dropping-particle":"","family":"Evans","given":"V.","non-dropping-particle":"","parse-names":false,"suffix":""},{"dropping-particle":"","family":"Godwin","given":"J.","non-dropping-particle":"","parse-names":false,"suffix":""},{"dropping-particle":"","family":"Gray","given":"R.","non-dropping-particle":"","parse-names":false,"suffix":""},{"dropping-particle":"","family":"Harwood","given":"C.","non-dropping-particle":"","parse-names":false,"suffix":""},{"dropping-particle":"","family":"Hicks","given":"C.","non-dropping-particle":"","parse-names":false,"suffix":""},{"dropping-particle":"","family":"James","given":"S.","non-dropping-particle":"","parse-names":false,"suffix":""},{"dropping-particle":"","family":"MacKinnon","given":"E.","non-dropping-particle":"","parse-names":false,"suffix":""},{"dropping-particle":"","family":"McGale","given":"P.","non-dropping-particle":"","parse-names":false,"suffix":""},{"dropping-particle":"","family":"McHugh","given":"T.","non-dropping-particle":"","parse-names":false,"suffix":""},{"dropping-particle":"","family":"Mead","given":"G.","non-dropping-particle":"","parse-names":false,"suffix":""},{"dropping-particle":"","family":"Peto","given":"R.","non-dropping-particle":"","parse-names":false,"suffix":""},{"dropping-particle":"","family":"Wang","given":"Y.","non-dropping-particle":"","parse-names":false,"suffix":""},{"dropping-particle":"","family":"Albano","given":"J.","non-dropping-particle":"","parse-names":false,"suffix":""},{"dropping-particle":"","family":"Oliveira","given":"C. F.","non-dropping-particle":"De","parse-names":false,"suffix":""},{"dropping-particle":"","family":"Gervásio","given":"H.","non-dropping-particle":"","parse-names":false,"suffix":""},{"dropping-particle":"","family":"Gordilho","given":"J.","non-dropping-particle":"","parse-names":false,"suffix":""},{"dropping-particle":"","family":"Johansen","given":"H.","non-dropping-particle":"","parse-names":false,"suffix":""},{"dropping-particle":"","family":"Mouridsen","given":"H. T.","non-dropping-particle":"","parse-names":false,"suffix":""},{"dropping-particle":"","family":"Gelman","given":"R. S.","non-dropping-particle":"","parse-names":false,"suffix":""},{"dropping-particle":"","family":"Harris","given":"J. R.","non-dropping-particle":"","parse-names":false,"suffix":""},{"dropping-particle":"","family":"Henderson","given":"I. C.","non-dropping-particle":"","parse-names":false,"suffix":""},{"dropping-particle":"","family":"Shapiro","given":"C. L.","non-dropping-particle":"","parse-names":false,"suffix":""},{"dropping-particle":"","family":"Andersen","given":"K. W.","non-dropping-particle":"","parse-names":false,"suffix":""},{"dropping-particle":"","family":"Axelsson","given":"C. K.","non-dropping-particle":"","parse-names":false,"suffix":""},{"dropping-particle":"","family":"Blichert-Toft","given":"M.","non-dropping-particle":"","parse-names":false,"suffix":""},{"dropping-particle":"","family":"Møller","given":"S.","non-dropping-particle":"","parse-names":false,"suffix":""},{"dropping-particle":"","family":"Mouridsen","given":"H. T.","non-dropping-particle":"","parse-names":false,"suffix":""},{"dropping-particle":"","family":"Overgaard","given":"J.","non-dropping-particle":"","parse-names":false,"suffix":""},{"dropping-particle":"","family":"Overgaard","given":"M.","non-dropping-particle":"","parse-names":false,"suffix":""},{"dropping-particle":"","family":"Rose","given":"C.","non-dropping-particle":"","parse-names":false,"suffix":""},{"dropping-particle":"","family":"Carstensen","given":"B.","non-dropping-particle":"","parse-names":false,"suffix":""},{"dropping-particle":"","family":"Palshof","given":"T.","non-dropping-particle":"","parse-names":false,"suffix":""},{"dropping-particle":"","family":"Trampisch","given":"H. J.","non-dropping-particle":"","parse-names":false,"suffix":""},{"dropping-particle":"","family":"Dalesio","given":"O.","non-dropping-particle":"","parse-names":false,"suffix":""},{"dropping-particle":"","family":"Vries","given":"E. G.E.","non-dropping-particle":"De","parse-names":false,"suffix":""},{"dropping-particle":"","family":"Rodenhuis","given":"S.","non-dropping-particle":"","parse-names":false,"suffix":""},{"dropping-particle":"","family":"Tinteren","given":"H.","non-dropping-particle":"Van","parse-names":false,"suffix":""},{"dropping-particle":"","family":"Comis","given":"R. L.","non-dropping-particle":"","parse-names":false,"suffix":""},{"dropping-particle":"","family":"Davidson","given":"N. E.","non-dropping-particle":"","parse-names":false,"suffix":""},{"dropping-particle":"","family":"Gray","given":"R.","non-dropping-particle":"","parse-names":false,"suffix":""},{"dropping-particle":"","family":"Robert","given":"N.","non-dropping-particle":"","parse-names":false,"suffix":""},{"dropping-particle":"","family":"Sledge","given":"G.","non-dropping-particle":"","parse-names":false,"suffix":""},{"dropping-particle":"","family":"Tormey","given":"D. C.","non-dropping-particle":"","parse-names":false,"suffix":""},{"dropping-particle":"","family":"Wood","given":"W.","non-dropping-particle":"","parse-names":false,"suffix":""},{"dropping-particle":"","family":"Cameron","given":"D.","non-dropping-particle":"","parse-names":false,"suffix":""},{"dropping-particle":"","family":"Chetty","given":"U.","non-dropping-particle":"","parse-names":false,"suffix":""},{"dropping-particle":"","family":"Forrest","given":"P.","non-dropping-particle":"","parse-names":false,"suffix":""},{"dropping-particle":"","family":"Jack","given":"W.","non-dropping-particle":"","parse-names":false,"suffix":""},{"dropping-particle":"","family":"Rossbach","given":"J.","non-dropping-particle":"","parse-names":false,"suffix":""},{"dropping-particle":"","family":"Klijn","given":"J. G.M.","non-dropping-particle":"","parse-names":false,"suffix":""},{"dropping-particle":"","family":"Treurniet-Donker","given":"A. D.","non-dropping-particle":"","parse-names":false,"suffix":""},{"dropping-particle":"","family":"Putten","given":"W. L.J.","non-dropping-particle":"Van","parse-names":false,"suffix":""},{"dropping-particle":"","family":"Costa","given":"A.","non-dropping-particle":"","parse-names":false,"suffix":""},{"dropping-particle":"","family":"Veronesi","given":"U.","non-dropping-particle":"","parse-names":false,"suffix":""},{"dropping-particle":"","family":"Bartelink","given":"H.","non-dropping-particle":"","parse-names":false,"suffix":""},{"dropping-particle":"","family":"Duchateau","given":"L.","non-dropping-particle":"","parse-names":false,"suffix":""},{"dropping-particle":"","family":"Legrand","given":"C.","non-dropping-particle":"","parse-names":false,"suffix":""},{"dropping-particle":"","family":"Sylvester","given":"R.","non-dropping-particle":"","parse-names":false,"suffix":""},{"dropping-particle":"","family":"Hage","given":"J. A.","non-dropping-particle":"Van Der","parse-names":false,"suffix":""},{"dropping-particle":"","family":"Velde","given":"C. J.H.","non-dropping-particle":"Van De","parse-names":false,"suffix":""},{"dropping-particle":"","family":"Cunningham","given":"M. P.","non-dropping-particle":"","parse-names":false,"suffix":""},{"dropping-particle":"","family":"Catalano","given":"R.","non-dropping-particle":"","parse-names":false,"suffix":""},{"dropping-particle":"","family":"Creech","given":"R. H.","non-dropping-particle":"","parse-names":false,"suffix":""},{"dropping-particle":"","family":"Bonneterre","given":"J.","non-dropping-particle":"","parse-names":false,"suffix":""},{"dropping-particle":"","family":"Fargeot","given":"P.","non-dropping-particle":"","parse-names":false,"suffix":""},{"dropping-particle":"","family":"Fumoleau","given":"P.","non-dropping-particle":"","parse-names":false,"suffix":""},{"dropping-particle":"","family":"Kerbrat","given":"P.","non-dropping-particle":"","parse-names":false,"suffix":""},{"dropping-particle":"","family":"Namer","given":"M.","non-dropping-particle":"","parse-names":false,"suffix":""},{"dropping-particle":"","family":"Jonat","given":"W.","non-dropping-particle":"","parse-names":false,"suffix":""},{"dropping-particle":"","family":"Kaufmann","given":"M.","non-dropping-particle":"","parse-names":false,"suffix":""},{"dropping-particle":"","family":"Schumacher","given":"M.","non-dropping-particle":"","parse-names":false,"suffix":""},{"dropping-particle":"","family":"Minckwitz","given":"G.","non-dropping-particle":"Von","parse-names":false,"suffix":""},{"dropping-particle":"","family":"Bastert","given":"G.","non-dropping-particle":"","parse-names":false,"suffix":""},{"dropping-particle":"","family":"Rauschecker","given":"H.","non-dropping-particle":"","parse-names":false,"suffix":""},{"dropping-particle":"","family":"Sauer","given":"R.","non-dropping-particle":"","parse-names":false,"suffix":""},{"dropping-particle":"","family":"Sauerbrei","given":"W.","non-dropping-particle":"","parse-names":false,"suffix":""},{"dropping-particle":"","family":"Schauer","given":"A.","non-dropping-particle":"","parse-names":false,"suffix":""},{"dropping-particle":"","family":"Schumacher","given":"M.","non-dropping-particle":"","parse-names":false,"suffix":""},{"dropping-particle":"","family":"Schryver","given":"A.","non-dropping-particle":"De","parse-names":false,"suffix":""},{"dropping-particle":"","family":"Vakaet","given":"L.","non-dropping-particle":"","parse-names":false,"suffix":""},{"dropping-particle":"","family":"Belfiglio","given":"M.","non-dropping-particle":"","parse-names":false,"suffix":""},{"dropping-particle":"","family":"Nicolucci","given":"A.","non-dropping-particle":"","parse-names":false,"suffix":""},{"dropping-particle":"","family":"Pellegrini","given":"F.","non-dropping-particle":"","parse-names":false,"suffix":""},{"dropping-particle":"","family":"Sacco","given":"M.","non-dropping-particle":"","parse-names":false,"suffix":""},{"dropping-particle":"","family":"Valentini","given":"M.","non-dropping-particle":"","parse-names":false,"suffix":""},{"dropping-particle":"","family":"McArdle","given":"C. S.","non-dropping-particle":"","parse-names":false,"suffix":""},{"dropping-particle":"","family":"Smith","given":"D. C.","non-dropping-particle":"","parse-names":false,"suffix":""},{"dropping-particle":"","family":"Galligioni","given":"E.","non-dropping-particle":"","parse-names":false,"suffix":""},{"dropping-particle":"","family":"Boccardo","given":"F.","non-dropping-particle":"","parse-names":false,"suffix":""},{"dropping-particle":"","family":"Rubagotti","given":"A.","non-dropping-particle":"","parse-names":false,"suffix":""},{"dropping-particle":"","family":"Dent","given":"D. M.","non-dropping-particle":"","parse-names":false,"suffix":""},{"dropping-particle":"","family":"Gudgeon","given":"C. A.","non-dropping-particle":"","parse-names":false,"suffix":""},{"dropping-particle":"","family":"Hacking","given":"A.","non-dropping-particle":"","parse-names":false,"suffix":""},{"dropping-particle":"","family":"Erazo","given":"A.","non-dropping-particle":"","parse-names":false,"suffix":""},{"dropping-particle":"","family":"Medina","given":"J. Y.","non-dropping-particle":"","parse-names":false,"suffix":""},{"dropping-particle":"","family":"Izuo","given":"M.","non-dropping-particle":"","parse-names":false,"suffix":""},{"dropping-particle":"","family":"Morishita","given":"Y.","non-dropping-particle":"","parse-names":false,"suffix":""},{"dropping-particle":"","family":"Takei","given":"H.","non-dropping-particle":"","parse-names":false,"suffix":""},{"dropping-particle":"","family":"Fentiman","given":"I. S.","non-dropping-particle":"","parse-names":false,"suffix":""},{"dropping-particle":"","family":"Hayward","given":"J. L.","non-dropping-particle":"","parse-names":false,"suffix":""},{"dropping-particle":"","family":"Rubens","given":"R. D.","non-dropping-particle":"","parse-names":false,"suffix":""},{"dropping-particle":"","family":"Skilton","given":"D.","non-dropping-particle":"","parse-names":false,"suffix":""},{"dropping-particle":"","family":"Graeff","given":"H.","non-dropping-particle":"","parse-names":false,"suffix":""},{"dropping-particle":"","family":"Jänicke","given":"F.","non-dropping-particle":"","parse-names":false,"suffix":""},{"dropping-particle":"","family":"Meisner","given":"C.","non-dropping-particle":"","parse-names":false,"suffix":""},{"dropping-particle":"","family":"Scheurlen","given":"H.","non-dropping-particle":"","parse-names":false,"suffix":""},{"dropping-particle":"","family":"Kaufmann","given":"M.","non-dropping-particle":"","parse-names":false,"suffix":""},{"dropping-particle":"","family":"Fournier","given":"D.","non-dropping-particle":"Von","parse-names":false,"suffix":""},{"dropping-particle":"","family":"Dafni","given":"U.","non-dropping-particle":"","parse-names":false,"suffix":""},{"dropping-particle":"","family":"Fountzilas","given":"G.","non-dropping-particle":"","parse-names":false,"suffix":""},{"dropping-particle":"","family":"Klefstrom","given":"P.","non-dropping-particle":"","parse-names":false,"suffix":""},{"dropping-particle":"","family":"Blomqvist","given":"C.","non-dropping-particle":"","parse-names":false,"suffix":""},{"dropping-particle":"","family":"Saarto","given":"T.","non-dropping-particle":"","parse-names":false,"suffix":""},{"dropping-particle":"","family":"Margreiter","given":"R.","non-dropping-particle":"","parse-names":false,"suffix":""},{"dropping-particle":"","family":"Asselain","given":"B.","non-dropping-particle":"","parse-names":false,"suffix":""},{"dropping-particle":"","family":"Salmon","given":"R. J.","non-dropping-particle":"","parse-names":false,"suffix":""},{"dropping-particle":"","family":"Vilcoq","given":"J. R.","non-dropping-particle":"","parse-names":false,"suffix":""},{"dropping-particle":"","family":"Arriagada","given":"R.","non-dropping-particle":"","parse-names":false,"suffix":""},{"dropping-particle":"","family":"Hill","given":"C.","non-dropping-particle":"","parse-names":false,"suffix":""},{"dropping-particle":"","family":"Laplanche","given":"A.","non-dropping-particle":"","parse-names":false,"suffix":""},{"dropping-particle":"","family":"Lê","given":"M. G.","non-dropping-particle":"","parse-names":false,"suffix":""},{"dropping-particle":"","family":"Spielmann","given":"M.","non-dropping-particle":"","parse-names":false,"suffix":""},{"dropping-particle":"","family":"Bruzzi","given":"P.","non-dropping-particle":"","parse-names":false,"suffix":""},{"dropping-particle":"","family":"Montanaro","given":"E.","non-dropping-particle":"","parse-names":false,"suffix":""},{"dropping-particle":"","family":"Rosso","given":"R.","non-dropping-particle":"","parse-names":false,"suffix":""},{"dropping-particle":"","family":"Sertoli","given":"M. R.","non-dropping-particle":"","parse-names":false,"suffix":""},{"dropping-particle":"","family":"Venturini","given":"M.","non-dropping-particle":"","parse-names":false,"suffix":""},{"dropping-particle":"","family":"Amadori","given":"D.","non-dropping-particle":"","parse-names":false,"suffix":""},{"dropping-particle":"","family":"Benraadt","given":"J.","non-dropping-particle":"","parse-names":false,"suffix":""},{"dropping-particle":"","family":"Kooi","given":"M.","non-dropping-particle":"","parse-names":false,"suffix":""},{"dropping-particle":"","family":"Velde","given":"A. O.","non-dropping-particle":"Van De","parse-names":false,"suffix":""},{"dropping-particle":"","family":"Dongen","given":"J. A.","non-dropping-particle":"Van","parse-names":false,"suffix":""},{"dropping-particle":"","family":"Vermorken","given":"J. B.","non-dropping-particle":"","parse-names":false,"suffix":""},{"dropping-particle":"","family":"Castiglione","given":"M.","non-dropping-particle":"","parse-names":false,"suffix":""},{"dropping-particle":"","family":"Cavalli","given":"F.","non-dropping-particle":"","parse-names":false,"suffix":""},{"dropping-particle":"","family":"Coates","given":"A.","non-dropping-particle":"","parse-names":false,"suffix":""},{"dropping-particle":"","family":"Collins","given":"J.","non-dropping-particle":"","parse-names":false,"suffix":""},{"dropping-particle":"","family":"Forbes","given":"J.","non-dropping-particle":"","parse-names":false,"suffix":""},{"dropping-particle":"","family":"Gelber","given":"R. D.","non-dropping-particle":"","parse-names":false,"suffix":""},{"dropping-particle":"","family":"Goldhirsch","given":"A.","non-dropping-particle":"","parse-names":false,"suffix":""},{"dropping-particle":"","family":"Lindtner","given":"J.","non-dropping-particle":"","parse-names":false,"suffix":""},{"dropping-particle":"","family":"Price","given":"K. N.","non-dropping-particle":"","parse-names":false,"suffix":""},{"dropping-particle":"","family":"Rudenstam","given":"C. M.","non-dropping-particle":"","parse-names":false,"suffix":""},{"dropping-particle":"","family":"Senn","given":"H. J.","non-dropping-particle":"","parse-names":false,"suffix":""},{"dropping-particle":"","family":"Bliss","given":"J. M.","non-dropping-particle":"","parse-names":false,"suffix":""},{"dropping-particle":"","family":"Chilvers","given":"C. E.D.","non-dropping-particle":"","parse-names":false,"suffix":""},{"dropping-particle":"","family":"Coombes","given":"R. C.","non-dropping-particle":"","parse-names":false,"suffix":""},{"dropping-particle":"","family":"Hall","given":"E.","non-dropping-particle":"","parse-names":false,"suffix":""},{"dropping-particle":"","family":"Marty","given":"M.","non-dropping-particle":"","parse-names":false,"suffix":""},{"dropping-particle":"","family":"Borovik","given":"R.","non-dropping-particle":"","parse-names":false,"suffix":""},{"dropping-particle":"","family":"Brufman","given":"G.","non-dropping-particle":"","parse-names":false,"suffix":""},{"dropping-particle":"","family":"Hayat","given":"H.","non-dropping-particle":"","parse-names":false,"suffix":""},{"dropping-particle":"","family":"Robinson","given":"E.","non-dropping-particle":"","parse-names":false,"suffix":""},{"dropping-particle":"","family":"Wigler","given":"N.","non-dropping-particle":"","parse-names":false,"suffix":""},{"dropping-particle":"","family":"Bonadonna","given":"G.","non-dropping-particle":"","parse-names":false,"suffix":""},{"dropping-particle":"","family":"Camerini","given":"T.","non-dropping-particle":"","parse-names":false,"suffix":""},{"dropping-particle":"","family":"Palo","given":"G.","non-dropping-particle":"De","parse-names":false,"suffix":""},{"dropping-particle":"","family":"Vecchio","given":"M.","non-dropping-particle":"Del","parse-names":false,"suffix":""},{"dropping-particle":"","family":"Formelli","given":"F.","non-dropping-particle":"","parse-names":false,"suffix":""},{"dropping-particle":"","family":"Valagussa","given":"P.","non-dropping-particle":"","parse-names":false,"suffix":""},{"dropping-particle":"","family":"Martoni","given":"A.","non-dropping-particle":"","parse-names":false,"suffix":""},{"dropping-particle":"","family":"Pannuti","given":"F.","non-dropping-particle":"","parse-names":false,"suffix":""},{"dropping-particle":"","family":"Cocconi","given":"G.","non-dropping-particle":"","parse-names":false,"suffix":""},{"dropping-particle":"","family":"Colozza","given":"A.","non-dropping-particle":"","parse-names":false,"suffix":""},{"dropping-particle":"","family":"Camisa","given":"R.","non-dropping-particle":"","parse-names":false,"suffix":""},{"dropping-particle":"","family":"Aogi","given":"K.","non-dropping-particle":"","parse-names":false,"suffix":""},{"dropping-particle":"","family":"Takashima","given":"S.","non-dropping-particle":"","parse-names":false,"suffix":""},{"dropping-particle":"","family":"Abe","given":"O.","non-dropping-particle":"","parse-names":false,"suffix":""},{"dropping-particle":"","family":"Ikeda","given":"T.","non-dropping-particle":"","parse-names":false,"suffix":""},{"dropping-particle":"","family":"Inokuchi","given":"K.","non-dropping-particle":"","parse-names":false,"suffix":""},{"dropping-particle":"","family":"Kikuchi","given":"K.","non-dropping-particle":"","parse-names":false,"suffix":""},{"dropping-particle":"","family":"Sawa","given":"K.","non-dropping-particle":"","parse-names":false,"suffix":""},{"dropping-particle":"","family":"Sonoo","given":"H.","non-dropping-particle":"","parse-names":false,"suffix":""},{"dropping-particle":"","family":"Korzeniowski","given":"S.","non-dropping-particle":"","parse-names":false,"suffix":""},{"dropping-particle":"","family":"Skolyszewski","given":"J.","non-dropping-particle":"","parse-names":false,"suffix":""},{"dropping-particle":"","family":"Ogawa","given":"M.","non-dropping-particle":"","parse-names":false,"suffix":""},{"dropping-particle":"","family":"Yamashita","given":"J.","non-dropping-particle":"","parse-names":false,"suffix":""},{"dropping-particle":"","family":"Bonte","given":"J.","non-dropping-particle":"","parse-names":false,"suffix":""},{"dropping-particle":"","family":"Christiaens","given":"R.","non-dropping-particle":"","parse-names":false,"suffix":""},{"dropping-particle":"","family":"Paridaens","given":"R.","non-dropping-particle":"","parse-names":false,"suffix":""},{"dropping-particle":"","family":"Boegart","given":"W.","non-dropping-particle":"Van Den","parse-names":false,"suffix":""},{"dropping-particle":"","family":"Martin","given":"P.","non-dropping-particle":"","parse-names":false,"suffix":""},{"dropping-particle":"","family":"Romain","given":"S.","non-dropping-particle":"","parse-names":false,"suffix":""},{"dropping-particle":"","family":"Hakes","given":"T.","non-dropping-particle":"","parse-names":false,"suffix":""},{"dropping-particle":"","family":"Hudis","given":"C. A.","non-dropping-particle":"","parse-names":false,"suffix":""},{"dropping-particle":"","family":"Norton","given":"L.","non-dropping-particle":"","parse-names":false,"suffix":""},{"dropping-particle":"","family":"Wittes","given":"R.","non-dropping-particle":"","parse-names":false,"suffix":""},{"dropping-particle":"","family":"Giokas","given":"G.","non-dropping-particle":"","parse-names":false,"suffix":""},{"dropping-particle":"","family":"Kondylis","given":"D.","non-dropping-particle":"","parse-names":false,"suffix":""},{"dropping-particle":"","family":"Lissaios","given":"B.","non-dropping-particle":"","parse-names":false,"suffix":""},{"dropping-particle":"","family":"La Huerta","given":"R.","non-dropping-particle":"De","parse-names":false,"suffix":""},{"dropping-particle":"","family":"Sainz","given":"M. G.","non-dropping-particle":"","parse-names":false,"suffix":""},{"dropping-particle":"","family":"Altemus","given":"R.","non-dropping-particle":"","parse-names":false,"suffix":""},{"dropping-particle":"","family":"Cowan","given":"K.","non-dropping-particle":"","parse-names":false,"suffix":""},{"dropping-particle":"","family":"Danforth","given":"D.","non-dropping-particle":"","parse-names":false,"suffix":""},{"dropping-particle":"","family":"Lichter","given":"A.","non-dropping-particle":"","parse-names":false,"suffix":""},{"dropping-particle":"","family":"Lippman","given":"M.","non-dropping-particle":"","parse-names":false,"suffix":""},{"dropping-particle":"","family":"O'Shaughnessy","given":"J.","non-dropping-particle":"","parse-names":false,"suffix":""},{"dropping-particle":"","family":"Pierce","given":"L. J.","non-dropping-particle":"","parse-names":false,"suffix":""},{"dropping-particle":"","family":"Steinberg","given":"S.","non-dropping-particle":"","parse-names":false,"suffix":""},{"dropping-particle":"","family":"Venzon","given":"D.","non-dropping-particle":"","parse-names":false,"suffix":""},{"dropping-particle":"","family":"Zujewski","given":"J. A.","non-dropping-particle":"","parse-names":false,"suffix":""},{"dropping-particle":"","family":"Paradiso","given":"A.","non-dropping-particle":"","parse-names":false,"suffix":""},{"dropping-particle":"","family":"Lena","given":"M.","non-dropping-particle":"De","parse-names":false,"suffix":""},{"dropping-particle":"","family":"Schittulli","given":"F.","non-dropping-particle":"","parse-names":false,"suffix":""},{"dropping-particle":"","family":"Myles","given":"J. D.","non-dropping-particle":"","parse-names":false,"suffix":""},{"dropping-particle":"","family":"Pater","given":"J. L.","non-dropping-particle":"","parse-names":false,"suffix":""},{"dropping-particle":"","family":"Pritchard","given":"K. I.","non-dropping-particle":"","parse-names":false,"suffix":""},{"dropping-particle":"","family":"Nomura","given":"Y.","non-dropping-particle":"","parse-names":false,"suffix":""},{"dropping-particle":"","family":"Anderson","given":"S.","non-dropping-particle":"","parse-names":false,"suffix":""},{"dropping-particle":"","family":"Bass","given":"G.","non-dropping-particle":"","parse-names":false,"suffix":""},{"dropping-particle":"","family":"Brown","given":"A.","non-dropping-particle":"","parse-names":false,"suffix":""},{"dropping-particle":"","family":"Bryant","given":"J.","non-dropping-particle":"","parse-names":false,"suffix":""},{"dropping-particle":"","family":"Costantino","given":"J.","non-dropping-particle":"","parse-names":false,"suffix":""},{"dropping-particle":"","family":"Dignam","given":"J.","non-dropping-particle":"","parse-names":false,"suffix":""},{"dropping-particle":"","family":"Fisher","given":"B.","non-dropping-particle":"","parse-names":false,"suffix":""},{"dropping-particle":"","family":"Redmond","given":"C.","non-dropping-particle":"","parse-names":false,"suffix":""},{"dropping-particle":"","family":"Wieand","given":"S.","non-dropping-particle":"","parse-names":false,"suffix":""},{"dropping-particle":"","family":"Wolmark","given":"N.","non-dropping-particle":"","parse-names":false,"suffix":""},{"dropping-particle":"","family":"Baum","given":"M.","non-dropping-particle":"","parse-names":false,"suffix":""},{"dropping-particle":"","family":"Jackson","given":"I. M.","non-dropping-particle":"","parse-names":false,"suffix":""},{"dropping-particle":"","family":"Palmer","given":"M. K.","non-dropping-particle":"","parse-names":false,"suffix":""},{"dropping-particle":"","family":"Ingle","given":"J. N.","non-dropping-particle":"","parse-names":false,"suffix":""},{"dropping-particle":"","family":"Suman","given":"V. J.","non-dropping-particle":"","parse-names":false,"suffix":""},{"dropping-particle":"","family":"Bengtsson","given":"N. O.","non-dropping-particle":"","parse-names":false,"suffix":""},{"dropping-particle":"","family":"Jonsson","given":"H.","non-dropping-particle":"","parse-names":false,"suffix":""},{"dropping-particle":"","family":"Larsson","given":"L. G.","non-dropping-particle":"","parse-names":false,"suffix":""},{"dropping-particle":"","family":"Lythgoe","given":"J. P.","non-dropping-particle":"","parse-names":false,"suffix":""},{"dropping-particle":"","family":"Swindell","given":"R.","non-dropping-particle":"","parse-names":false,"suffix":""},{"dropping-particle":"","family":"Kissin","given":"M.","non-dropping-particle":"","parse-names":false,"suffix":""},{"dropping-particle":"","family":"Erikstein","given":"B.","non-dropping-particle":"","parse-names":false,"suffix":""},{"dropping-particle":"","family":"Hannisdal","given":"E.","non-dropping-particle":"","parse-names":false,"suffix":""},{"dropping-particle":"","family":"Jacobsen","given":"A. B.","non-dropping-particle":"","parse-names":false,"suffix":""},{"dropping-particle":"","family":"Varhaug","given":"J. E.","non-dropping-particle":"","parse-names":false,"suffix":""},{"dropping-particle":"","family":"Erikstein","given":"B.","non-dropping-particle":"","parse-names":false,"suffix":""},{"dropping-particle":"","family":"Gundersen","given":"S.","non-dropping-particle":"","parse-names":false,"suffix":""},{"dropping-particle":"","family":"Hauer-Jensen","given":"M.","non-dropping-particle":"","parse-names":false,"suffix":""},{"dropping-particle":"","family":"Høst","given":"H.","non-dropping-particle":"","parse-names":false,"suffix":""},{"dropping-particle":"","family":"Jacobsen","given":"A. B.","non-dropping-particle":"","parse-names":false,"suffix":""},{"dropping-particle":"","family":"Nissen-Meyer","given":"R.","non-dropping-particle":"","parse-names":false,"suffix":""},{"dropping-particle":"","family":"Blamey","given":"R. W.","non-dropping-particle":"","parse-names":false,"suffix":""},{"dropping-particle":"","family":"Mitchell","given":"A. K.","non-dropping-particle":"","parse-names":false,"suffix":""},{"dropping-particle":"","family":"Morgan","given":"D. A.L.","non-dropping-particle":"","parse-names":false,"suffix":""},{"dropping-particle":"","family":"Robertson","given":"J. F.R.","non-dropping-particle":"","parse-names":false,"suffix":""},{"dropping-particle":"","family":"Palma","given":"M.","non-dropping-particle":"Di","parse-names":false,"suffix":""},{"dropping-particle":"","family":"Mathé","given":"G.","non-dropping-particle":"","parse-names":false,"suffix":""},{"dropping-particle":"","family":"Misset","given":"J. L.","non-dropping-particle":"","parse-names":false,"suffix":""},{"dropping-particle":"","family":"Clark","given":"R. M.","non-dropping-particle":"","parse-names":false,"suffix":""},{"dropping-particle":"","family":"Levine","given":"M.","non-dropping-particle":"","parse-names":false,"suffix":""},{"dropping-particle":"","family":"Morimoto","given":"K.","non-dropping-particle":"","parse-names":false,"suffix":""},{"dropping-particle":"","family":"Sawa","given":"K.","non-dropping-particle":"","parse-names":false,"suffix":""},{"dropping-particle":"","family":"Takatsuka","given":"Y.","non-dropping-particle":"","parse-names":false,"suffix":""},{"dropping-particle":"","family":"Crossley","given":"E.","non-dropping-particle":"","parse-names":false,"suffix":""},{"dropping-particle":"","family":"Harris","given":"A.","non-dropping-particle":"","parse-names":false,"suffix":""},{"dropping-particle":"","family":"Talbot","given":"D.","non-dropping-particle":"","parse-names":false,"suffix":""},{"dropping-particle":"","family":"Taylor","given":"M.","non-dropping-particle":"","parse-names":false,"suffix":""},{"dropping-particle":"","family":"Cocconi","given":"G.","non-dropping-particle":"","parse-names":false,"suffix":""},{"dropping-particle":"","family":"Blasio","given":"B.","non-dropping-particle":"Di","parse-names":false,"suffix":""},{"dropping-particle":"","family":"Ivanov","given":"V.","non-dropping-particle":"","parse-names":false,"suffix":""},{"dropping-particle":"","family":"Semiglazov","given":"V.","non-dropping-particle":"","parse-names":false,"suffix":""},{"dropping-particle":"","family":"Brockschmidt","given":"J.","non-dropping-particle":"","parse-names":false,"suffix":""},{"dropping-particle":"","family":"Cooper","given":"M. R.","non-dropping-particle":"","parse-names":false,"suffix":""},{"dropping-particle":"","family":"Ueo","given":"H.","non-dropping-particle":"","parse-names":false,"suffix":""},{"dropping-particle":"","family":"Falkson","given":"C. I.","non-dropping-particle":"","parse-names":false,"suffix":""},{"dropping-particle":"","family":"A'Hern","given":"R.","non-dropping-particle":"","parse-names":false,"suffix":""},{"dropping-particle":"","family":"Ashley","given":"S.","non-dropping-particle":"","parse-names":false,"suffix":""},{"dropping-particle":"","family":"Powles","given":"T. J.","non-dropping-particle":"","parse-names":false,"suffix":""},{"dropping-particle":"","family":"Smith","given":"I. E.","non-dropping-particle":"","parse-names":false,"suffix":""},{"dropping-particle":"","family":"Yarnold","given":"J. R.","non-dropping-particle":"","parse-names":false,"suffix":""},{"dropping-particle":"","family":"Gazet","given":"J. C.","non-dropping-particle":"","parse-names":false,"suffix":""},{"dropping-particle":"","family":"Corcoran","given":"N.","non-dropping-particle":"","parse-names":false,"suffix":""},{"dropping-particle":"","family":"Deshpande","given":"N.","non-dropping-particle":"","parse-names":false,"suffix":""},{"dropping-particle":"","family":"Martino","given":"L.","non-dropping-particle":"Di","parse-names":false,"suffix":""},{"dropping-particle":"","family":"Douglas","given":"P.","non-dropping-particle":"","parse-names":false,"suffix":""},{"dropping-particle":"","family":"Hacking","given":"A.","non-dropping-particle":"","parse-names":false,"suffix":""},{"dropping-particle":"","family":"Høst","given":"H.","non-dropping-particle":"","parse-names":false,"suffix":""},{"dropping-particle":"","family":"Lindtner","given":"A.","non-dropping-particle":"","parse-names":false,"suffix":""},{"dropping-particle":"","family":"Notter","given":"G.","non-dropping-particle":"","parse-names":false,"suffix":""},{"dropping-particle":"","family":"Bryant","given":"A. J.S.","non-dropping-particle":"","parse-names":false,"suffix":""},{"dropping-particle":"","family":"Ewing","given":"G. H.","non-dropping-particle":"","parse-names":false,"suffix":""},{"dropping-particle":"","family":"Firth","given":"L. A.","non-dropping-particle":"","parse-names":false,"suffix":""},{"dropping-particle":"","family":"Krushen-Kosloski","given":"J. L.","non-dropping-particle":"","parse-names":false,"suffix":""},{"dropping-particle":"","family":"Nissen-Meyer","given":"R.","non-dropping-particle":"","parse-names":false,"suffix":""},{"dropping-particle":"","family":"Foster","given":"L.","non-dropping-particle":"","parse-names":false,"suffix":""},{"dropping-particle":"","family":"George","given":"W. D.","non-dropping-particle":"","parse-names":false,"suffix":""},{"dropping-particle":"","family":"Stewart","given":"H. J.","non-dropping-particle":"","parse-names":false,"suffix":""},{"dropping-particle":"","family":"Stroner","given":"P.","non-dropping-particle":"","parse-names":false,"suffix":""},{"dropping-particle":"","family":"Malmström","given":"P.","non-dropping-particle":"","parse-names":false,"suffix":""},{"dropping-particle":"","family":"Möller","given":"T. R.","non-dropping-particle":"","parse-names":false,"suffix":""},{"dropping-particle":"","family":"Rydén","given":"S.","non-dropping-particle":"","parse-names":false,"suffix":""},{"dropping-particle":"","family":"Tengrup","given":"I.","non-dropping-particle":"","parse-names":false,"suffix":""},{"dropping-particle":"","family":"Tennvall-Nittby","given":"L.","non-dropping-particle":"","parse-names":false,"suffix":""},{"dropping-particle":"","family":"Carstenssen","given":"J.","non-dropping-particle":"","parse-names":false,"suffix":""},{"dropping-particle":"","family":"Dufmats","given":"M.","non-dropping-particle":"","parse-names":false,"suffix":""},{"dropping-particle":"","family":"Hatschek","given":"T.","non-dropping-particle":"","parse-names":false,"suffix":""},{"dropping-particle":"","family":"Nordenskjöld","given":"B.","non-dropping-particle":"","parse-names":false,"suffix":""},{"dropping-particle":"","family":"Söderberg","given":"M.","non-dropping-particle":"","parse-names":false,"suffix":""},{"dropping-particle":"","family":"Carpenter","given":"J. T.","non-dropping-particle":"","parse-names":false,"suffix":""},{"dropping-particle":"","family":"Albain","given":"K.","non-dropping-particle":"","parse-names":false,"suffix":""},{"dropping-particle":"","family":"Crowley","given":"J.","non-dropping-particle":"","parse-names":false,"suffix":""},{"dropping-particle":"","family":"Green","given":"S.","non-dropping-particle":"","parse-names":false,"suffix":""},{"dropping-particle":"","family":"Martino","given":"S.","non-dropping-particle":"","parse-names":false,"suffix":""},{"dropping-particle":"","family":"Osborne","given":"C. K.","non-dropping-particle":"","parse-names":false,"suffix":""},{"dropping-particle":"","family":"Ravdin","given":"P. M.","non-dropping-particle":"","parse-names":false,"suffix":""},{"dropping-particle":"","family":"Glas","given":"U.","non-dropping-particle":"","parse-names":false,"suffix":""},{"dropping-particle":"","family":"Johansson","given":"U.","non-dropping-particle":"","parse-names":false,"suffix":""},{"dropping-particle":"","family":"Rutqvist","given":"L. E.","non-dropping-particle":"","parse-names":false,"suffix":""},{"dropping-particle":"","family":"Singnomklao","given":"T.","non-dropping-particle":"","parse-names":false,"suffix":""},{"dropping-particle":"","family":"Wallgren","given":"A.","non-dropping-particle":"","parse-names":false,"suffix":""},{"dropping-particle":"","family":"Castiglione","given":"M.","non-dropping-particle":"","parse-names":false,"suffix":""},{"dropping-particle":"","family":"Goldhirsch","given":"A.","non-dropping-particle":"","parse-names":false,"suffix":""},{"dropping-particle":"","family":"Maibach","given":"R.","non-dropping-particle":"","parse-names":false,"suffix":""},{"dropping-particle":"","family":"Senn","given":"H. J.","non-dropping-particle":"","parse-names":false,"suffix":""},{"dropping-particle":"","family":"Thürlimann","given":"B.","non-dropping-particle":"","parse-names":false,"suffix":""},{"dropping-particle":"","family":"Brenner","given":"H.","non-dropping-particle":"","parse-names":false,"suffix":""},{"dropping-particle":"","family":"Hercbergs","given":"A.","non-dropping-particle":"","parse-names":false,"suffix":""},{"dropping-particle":"","family":"Yoshimoto","given":"M.","non-dropping-particle":"","parse-names":false,"suffix":""},{"dropping-particle":"","family":"DeBoer","given":"G.","non-dropping-particle":"","parse-names":false,"suffix":""},{"dropping-particle":"","family":"Paterson","given":"A. H.G.","non-dropping-particle":"","parse-names":false,"suffix":""},{"dropping-particle":"","family":"Pritchard","given":"K. I.","non-dropping-particle":"","parse-names":false,"suffix":""},{"dropping-particle":"","family":"Meakin","given":"J. W.","non-dropping-particle":"","parse-names":false,"suffix":""},{"dropping-particle":"","family":"Panzarella","given":"T.","non-dropping-particle":"","parse-names":false,"suffix":""},{"dropping-particle":"","family":"Pritchard","given":"K. I.","non-dropping-particle":"","parse-names":false,"suffix":""},{"dropping-particle":"","family":"Shan","given":"Y.","non-dropping-particle":"","parse-names":false,"suffix":""},{"dropping-particle":"","family":"Shao","given":"Y. F.","non-dropping-particle":"","parse-names":false,"suffix":""},{"dropping-particle":"","family":"Wang","given":"X.","non-dropping-particle":"","parse-names":false,"suffix":""},{"dropping-particle":"","family":"Zhao","given":"D. B.","non-dropping-particle":"","parse-names":false,"suffix":""},{"dropping-particle":"","family":"Boreham","given":"J.","non-dropping-particle":"","parse-names":false,"suffix":""},{"dropping-particle":"","family":"Chen","given":"Z. M.","non-dropping-particle":"","parse-names":false,"suffix":""},{"dropping-particle":"","family":"Pan","given":"H. C.","non-dropping-particle":"","parse-names":false,"suffix":""},{"dropping-particle":"","family":"Peto","given":"R.","non-dropping-particle":"","parse-names":false,"suffix":""},{"dropping-particle":"","family":"Bahi","given":"J.","non-dropping-particle":"","parse-names":false,"suffix":""},{"dropping-particle":"","family":"Reid","given":"M.","non-dropping-particle":"","parse-names":false,"suffix":""},{"dropping-particle":"","family":"Spittle","given":"M.","non-dropping-particle":"","parse-names":false,"suffix":""},{"dropping-particle":"","family":"Deutsch","given":"G. P.","non-dropping-particle":"","parse-names":false,"suffix":""},{"dropping-particle":"","family":"Senanayake","given":"F.","non-dropping-particle":"","parse-names":false,"suffix":""},{"dropping-particle":"","family":"Kwong","given":"D. L.W.","non-dropping-particle":"","parse-names":false,"suffix":""},{"dropping-particle":"","family":"Bianco","given":"A. R.","non-dropping-particle":"","parse-names":false,"suffix":""},{"dropping-particle":"","family":"Carlomagno","given":"C.","non-dropping-particle":"","parse-names":false,"suffix":""},{"dropping-particle":"","family":"Laurentiis","given":"M.","non-dropping-particle":"De","parse-names":false,"suffix":""},{"dropping-particle":"","family":"Placido","given":"S.","non-dropping-particle":"De","parse-names":false,"suffix":""},{"dropping-particle":"","family":"Buzdar","given":"A. U.","non-dropping-particle":"","parse-names":false,"suffix":""},{"dropping-particle":"","family":"Smith","given":"T.","non-dropping-particle":"","parse-names":false,"suffix":""},{"dropping-particle":"","family":"Bergh","given":"J.","non-dropping-particle":"","parse-names":false,"suffix":""},{"dropping-particle":"","family":"Holmberg","given":"L.","non-dropping-particle":"","parse-names":false,"suffix":""},{"dropping-particle":"","family":"Liljegren","given":"G.","non-dropping-particle":"","parse-names":false,"suffix":""},{"dropping-particle":"","family":"Nilsson","given":"J.","non-dropping-particle":"","parse-names":false,"suffix":""},{"dropping-particle":"","family":"Seifert","given":"M.","non-dropping-particle":"","parse-names":false,"suffix":""},{"dropping-particle":"","family":"Sevelda","given":"P.","non-dropping-particle":"","parse-names":false,"suffix":""},{"dropping-particle":"","family":"Zielinsky","given":"C. C.","non-dropping-particle":"","parse-names":false,"suffix":""},{"dropping-particle":"","family":"Buchanan","given":"R. B.","non-dropping-particle":"","parse-names":false,"suffix":""},{"dropping-particle":"","family":"Cross","given":"M.","non-dropping-particle":"","parse-names":false,"suffix":""},{"dropping-particle":"","family":"Royle","given":"G. T.","non-dropping-particle":"","parse-names":false,"suffix":""},{"dropping-particle":"","family":"Dunn","given":"J. A.","non-dropping-particle":"","parse-names":false,"suffix":""},{"dropping-particle":"","family":"Hills","given":"R. K.","non-dropping-particle":"","parse-names":false,"suffix":""},{"dropping-particle":"","family":"Lee","given":"M.","non-dropping-particle":"","parse-names":false,"suffix":""},{"dropping-particle":"","family":"Morrison","given":"J. M.","non-dropping-particle":"","parse-names":false,"suffix":""},{"dropping-particle":"","family":"Spooner","given":"D.","non-dropping-particle":"","parse-names":false,"suffix":""},{"dropping-particle":"","family":"Litton","given":"A.","non-dropping-particle":"","parse-names":false,"suffix":""},{"dropping-particle":"","family":"Chlebowski","given":"R. T.","non-dropping-particle":"","parse-names":false,"suffix":""},{"dropping-particle":"","family":"Caffier","given":"H.","non-dropping-particle":"","parse-names":false,"suffix":""}],"container-title":"Lancet","id":"ITEM-1","issue":"9472","issued":{"date-parts":[["2005","5","14"]]},"page":"1687-1717","publisher":"Elsevier Limited","title":"Effects of chemotherapy and hormonal therapy for early breast cancer on recurrence and 15-year survival: An overview of the randomised trials","type":"article-journal","volume":"365"},"uris":["http://www.mendeley.com/documents/?uuid=f918ddb5-64b7-3498-9f85-985ed14466f0"]}],"mendeley":{"formattedCitation":"(Abe et al., 2005)","plainTextFormattedCitation":"(Abe et al., 2005)","previouslyFormattedCitation":"(27)"},"properties":{"noteIndex":0},"schema":"https://github.com/citation-style-language/schema/raw/master/csl-citation.json"}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(Abe et al., 2005)</w:t>
      </w:r>
      <w:r w:rsidRPr="00D541E6">
        <w:rPr>
          <w:rFonts w:ascii="Calibri" w:hAnsi="Calibri" w:cs="Calibri"/>
          <w:color w:val="000000" w:themeColor="text1"/>
        </w:rPr>
        <w:fldChar w:fldCharType="end"/>
      </w:r>
      <w:r w:rsidRPr="00D541E6">
        <w:rPr>
          <w:rFonts w:ascii="Calibri" w:hAnsi="Calibri" w:cs="Calibri"/>
          <w:color w:val="000000" w:themeColor="text1"/>
        </w:rPr>
        <w:t xml:space="preserve">. Brunner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{"citationItems":[{"id":"ITEM-1","itemData":{"DOI":"10.1016/S0140-6736(19)32519-X","ISSN":"1474547X","PMID":"31810609","abstract":"Background: The relevance of blood lipid concentrations to long-term incidence of cardiovascular disease and the relevance of lipid-lowering therapy for cardiovascular disease outcomes is unclear. We investigated the cardiovascular disease risk associated with the full spectrum of bloodstream non-HDL cholesterol concentrations. We also created an easy-to-use tool to estimate the long-term probabilities for a cardiovascular disease event associated with non-HDL cholesterol and modelled its risk reduction by lipid-lowering treatment. Methods: In this risk-evaluation and risk-modelling study, we used Multinational Cardiovascular Risk Consortium data from 19 countries across Europe, Australia, and North America. Individuals without prevalent cardiovascular disease at baseline and with robust available data on cardiovascular disease outcomes were included. The primary composite endpoint of atherosclerotic cardiovascular disease was defined as the occurrence of the coronary heart disease event or ischaemic stroke. Sex-specific multivariable analyses were computed using non-HDL cholesterol categories according to the European guideline thresholds, adjusted for age, sex, cohort, and classical modifiable cardiovascular risk factors. In a derivation and validation design, we created a tool to estimate the probabilities of a cardiovascular disease event by the age of 75 years, dependent on age, sex, and risk factors, and the associated modelled risk reduction, assuming a 50% reduction of non-HDL cholesterol. Findings: Of the 524 444 individuals in the 44 cohorts in the Consortium database, we identified 398 846 individuals belonging to 38 cohorts (184 055 [48·7%] women; median age 51·0 years [IQR 40·7–59·7]). 199 415 individuals were included in the derivation cohort (91 786 [48·4%] women) and 199 431 (92 269 [49·1%] women) in the validation cohort. During a maximum follow-up of 43·6 years (median 13·5 years, IQR 7·0–20·1), 54 542 cardiovascular endpoints occurred. Incidence curve analyses showed progressively higher 30-year cardiovascular disease event-rates for increasing non-HDL cholesterol categories (from 7·7% for non-HDL cholesterol &lt;2·6 mmol/L to 33·7% for ≥5·7 mmol/L in women and from 12·8% to 43·6% in men; p&lt;0·0001). Multivariable adjusted Cox models with non-HDL cholesterol lower than 2·6 mmol/L as reference showed an increase in the association between non-HDL cholesterol concentration and cardiovascular disease for both sexes (from hazard ratio 1·1, 95…","author":[{"dropping-particle":"","family":"Brunner","given":"Fabian J.","non-dropping-particle":"","parse-names":false,"suffix":""},{"dropping-particle":"","family":"Waldeyer","given":"Christoph","non-dropping-particle":"","parse-names":false,"suffix":""},{"dropping-particle":"","family":"Ojeda","given":"Francisco","non-dropping-particle":"","parse-names":false,"suffix":""},{"dropping-particle":"","family":"Salomaa","given":"Veikko","non-dropping-particle":"","parse-names":false,"suffix":""},{"dropping-particle":"","family":"Kee","given":"Frank","non-dropping-particle":"","parse-names":false,"suffix":""},{"dropping-particle":"","family":"Sans","given":"Susana","non-dropping-particle":"","parse-names":false,"suffix":""},{"dropping-particle":"","family":"Thorand","given":"Barbara","non-dropping-particle":"","parse-names":false,"suffix":""},{"dropping-particle":"","family":"Giampaoli","given":"Simona","non-dropping-particle":"","parse-names":false,"suffix":""},{"dropping-particle":"","family":"Brambilla","given":"Paolo","non-dropping-particle":"","parse-names":false,"suffix":""},{"dropping-particle":"","family":"Tunstall-Pedoe","given":"Hugh","non-dropping-particle":"","parse-names":false,"suffix":""},{"dropping-particle":"","family":"Moitry","given":"Marie","non-dropping-particle":"","parse-names":false,"suffix":""},{"dropping-particle":"","family":"Iacoviello","given":"Licia","non-dropping-particle":"","parse-names":false,"suffix":""},{"dropping-particle":"","family":"Veronesi","given":"Giovanni","non-dropping-particle":"","parse-names":false,"suffix":""},{"dropping-particle":"","family":"Grassi","given":"Guido","non-dropping-particle":"","parse-names":false,"suffix":""},{"dropping-particle":"","family":"Mathiesen","given":"Ellisiv B.","non-dropping-particle":"","parse-names":false,"suffix":""},{"dropping-particle":"","family":"Söderberg","given":"Stefan","non-dropping-particle":"","parse-names":false,"suffix":""},{"dropping-particle":"","family":"Linneberg","given":"Allan","non-dropping-particle":"","parse-names":false,"suffix":""},{"dropping-particle":"","family":"Brenner","given":"Hermann","non-dropping-particle":"","parse-names":false,"suffix":""},{"dropping-particle":"","family":"Amouyel","given":"Philippe","non-dropping-particle":"","parse-names":false,"suffix":""},{"dropping-particle":"","family":"Ferrières","given":"Jean","non-dropping-particle":"","parse-names":false,"suffix":""},{"dropping-particle":"","family":"Tamosiunas","given":"Abdonas","non-dropping-particle":"","parse-names":false,"suffix":""},{"dropping-particle":"","family":"Nikitin","given":"Yuriy P.","non-dropping-particle":"","parse-names":false,"suffix":""},{"dropping-particle":"","family":"Drygas","given":"Wojciech","non-dropping-particle":"","parse-names":false,"suffix":""},{"dropping-particle":"","family":"Melander","given":"Olle","non-dropping-particle":"","parse-names":false,"suffix":""},{"dropping-particle":"","family":"Jöckel","given":"Karl Heinz","non-dropping-particle":"","parse-names":false,"suffix":""},{"dropping-particle":"","family":"Leistner","given":"David M.","non-dropping-particle":"","parse-names":false,"suffix":""},{"dropping-particle":"","family":"Shaw","given":"Jonathan E.","non-dropping-particle":"","parse-names":false,"suffix":""},{"dropping-particle":"","family":"Panagiotakos","given":"Demosthenes B.","non-dropping-particle":"","parse-names":false,"suffix":""},{"dropping-particle":"","family":"Simons","given":"Leon A.","non-dropping-particle":"","parse-names":false,"suffix":""},{"dropping-particle":"","family":"Kavousi","given":"Maryam","non-dropping-particle":"","parse-names":false,"suffix":""},{"dropping-particle":"","family":"Vasan","given":"Ramachandran S.","non-dropping-particle":"","parse-names":false,"suffix":""},{"dropping-particle":"","family":"Dullaart","given":"Robin P.F.","non-dropping-particle":"","parse-names":false,"suffix":""},{"dropping-particle":"","family":"Wannamethee","given":"S. Goya","non-dropping-particle":"","parse-names":false,"suffix":""},{"dropping-particle":"","family":"Risérus","given":"Ulf","non-dropping-particle":"","parse-names":false,"suffix":""},{"dropping-particle":"","family":"Shea","given":"Steven","non-dropping-particle":"","parse-names":false,"suffix":""},{"dropping-particle":"","family":"Lemos","given":"James A.","non-dropping-particle":"de","parse-names":false,"suffix":""},{"dropping-particle":"","family":"Omland","given":"Torbjørn","non-dropping-particle":"","parse-names":false,"suffix":""},{"dropping-particle":"","family":"Kuulasmaa","given":"Kari","non-dropping-particle":"","parse-names":false,"suffix":""},{"dropping-particle":"","family":"Landmesser","given":"Ulf","non-dropping-particle":"","parse-names":false,"suffix":""},{"dropping-particle":"","family":"Blankenberg","given":"Stefan","non-dropping-particle":"","parse-names":false,"suffix":""},{"dropping-particle":"","family":"Zeller","given":"Tanja","non-dropping-particle":"","parse-names":false,"suffix":""},{"dropping-particle":"","family":"Kontto","given":"Jukka","non-dropping-particle":"","parse-names":false,"suffix":""},{"dropping-particle":"","family":"Männistö","given":"Satu","non-dropping-particle":"","parse-names":false,"suffix":""},{"dropping-particle":"","family":"Metspalu","given":"Andres","non-dropping-particle":"","parse-names":false,"suffix":""},{"dropping-particle":"","family":"Lackner","given":"Karl","non-dropping-particle":"","parse-names":false,"suffix":""},{"dropping-particle":"","family":"Wild","given":"Philipp","non-dropping-particle":"","parse-names":false,"suffix":""},{"dropping-particle":"","family":"Peters","given":"Annette","non-dropping-particle":"","parse-names":false,"suffix":""},{"dropping-particle":"","family":"Meisinger","given":"Christa","non-dropping-particle":"","parse-names":false,"suffix":""},{"dropping-particle":"","family":"Donfrancesco","given":"Chiara","non-dropping-particle":"","parse-names":false,"suffix":""},{"dropping-particle":"","family":"Signorini","given":"Stefano G.","non-dropping-particle":"","parse-names":false,"suffix":""},{"dropping-particle":"","family":"Alver","given":"Maris","non-dropping-particle":"","parse-names":false,"suffix":""},{"dropping-particle":"","family":"Woodward","given":"Mark","non-dropping-particle":"","parse-names":false,"suffix":""},{"dropping-particle":"","family":"Gianfagna","given":"Francesco","non-dropping-particle":"","parse-names":false,"suffix":""},{"dropping-particle":"","family":"Costanzo","given":"Simona","non-dropping-particle":"","parse-names":false,"suffix":""},{"dropping-particle":"","family":"Wilsgaard","given":"Tom","non-dropping-particle":"","parse-names":false,"suffix":""},{"dropping-particle":"","family":"Eliasson","given":"Mats","non-dropping-particle":"","parse-names":false,"suffix":""},{"dropping-particle":"","family":"Jørgensen","given":"Torben","non-dropping-particle":"","parse-names":false,"suffix":""},{"dropping-particle":"","family":"Völzke","given":"Henry","non-dropping-particle":"","parse-names":false,"suffix":""},{"dropping-particle":"","family":"Dörr","given":"Marcus","non-dropping-particle":"","parse-names":false,"suffix":""},{"dropping-particle":"","family":"Nauck","given":"Matthias","non-dropping-particle":"","parse-names":false,"suffix":""},{"dropping-particle":"","family":"Schöttker","given":"Ben","non-dropping-particle":"","parse-names":false,"suffix":""},{"dropping-particle":"","family":"Lorenz","given":"Thiess","non-dropping-particle":"","parse-names":false,"suffix":""},{"dropping-particle":"","family":"Makarova","given":"Nataliya","non-dropping-particle":"","parse-names":false,"suffix":""},{"dropping-particle":"","family":"Twerenbold","given":"Raphael","non-dropping-particle":"","parse-names":false,"suffix":""},{"dropping-particle":"","family":"Dallongeville","given":"Jean","non-dropping-particle":"","parse-names":false,"suffix":""},{"dropping-particle":"","family":"Dobson","given":"Annette","non-dropping-particle":"","parse-names":false,"suffix":""},{"dropping-particle":"","family":"Malyutina","given":"Sofia","non-dropping-particle":"","parse-names":false,"suffix":""},{"dropping-particle":"","family":"Pajak","given":"Andrzej","non-dropping-particle":"","parse-names":false,"suffix":""},{"dropping-particle":"","family":"Engström","given":"Gunnar","non-dropping-particle":"","parse-names":false,"suffix":""},{"dropping-particle":"","family":"Bobak","given":"Martin","non-dropping-particle":"","parse-names":false,"suffix":""},{"dropping-particle":"","family":"Schmidt","given":"Börge","non-dropping-particle":"","parse-names":false,"suffix":""},{"dropping-particle":"","family":"Jääskeläinen","given":"Tuija","non-dropping-particle":"","parse-names":false,"suffix":""},{"dropping-particle":"","family":"Niiranen","given":"Teemu","non-dropping-particle":"","parse-names":false,"suffix":""},{"dropping-particle":"","family":"Jousilahti","given":"Pekka","non-dropping-particle":"","parse-names":false,"suffix":""},{"dropping-particle":"","family":"Giles","given":"Graham","non-dropping-particle":"","parse-names":false,"suffix":""},{"dropping-particle":"","family":"Hodge","given":"Allison","non-dropping-particle":"","parse-names":false,"suffix":""},{"dropping-particle":"","family":"Klotsche","given":"Jens","non-dropping-particle":"","parse-names":false,"suffix":""},{"dropping-particle":"","family":"Magliano","given":"Dianna J.","non-dropping-particle":"","parse-names":false,"suffix":""},{"dropping-particle":"","family":"Lyngbakken","given":"Magnus N.","non-dropping-particle":"","parse-names":false,"suffix":""},{"dropping-particle":"","family":"Hveem","given":"Kristian","non-dropping-particle":"","parse-names":false,"suffix":""},{"dropping-particle":"","family":"Pitsavos","given":"Christos","non-dropping-particle":"","parse-names":false,"suffix":""},{"dropping-particle":"","family":"Benjamin","given":"Emelia J.","non-dropping-particle":"","parse-names":false,"suffix":""},{"dropping-particle":"","family":"Bakker","given":"Stephan J.L.","non-dropping-particle":"","parse-names":false,"suffix":""},{"dropping-particle":"","family":"Whincup","given":"Peter","non-dropping-particle":"","parse-names":false,"suffix":""},{"dropping-particle":"","family":"Ikram","given":"M. Kamran","non-dropping-particle":"","parse-names":false,"suffix":""},{"dropping-particle":"","family":"Ingelsson","given":"Martin","non-dropping-particle":"","parse-names":false,"suffix":""},{"dropping-particle":"","family":"Koenig","given":"Wolfgang","non-dropping-particle":"","parse-names":false,"suffix":""}],"container-title":"The Lancet","id":"ITEM-1","issue":"10215","issued":{"date-parts":[["2019","12","14"]]},"page":"2173-2183","publisher":"Lancet Publishing Group","title":"Application of non-HDL cholesterol for population-based cardiovascular risk stratification: results from the Multinational Cardiovascular Risk Consortium","type":"article-journal","volume":"394"},"uris":["http://www.mendeley.com/documents/?uuid=19b9a0e9-8122-3bb8-b068-a5bd87741787"]}],"mendeley":{"formattedCitation":"(Brunner et al., 2019)","plainTextFormattedCitation":"(Brunner et al., 2019)","previouslyFormattedCitation":"(16)"},"properties":{"noteIndex":0},"schema":"https://github.com/citation-style-language/schema/raw/master/csl-citation.json"}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(Brunner et al., 2019)</w:t>
      </w:r>
      <w:r w:rsidRPr="00D541E6">
        <w:rPr>
          <w:rFonts w:ascii="Calibri" w:hAnsi="Calibri" w:cs="Calibri"/>
          <w:color w:val="000000" w:themeColor="text1"/>
        </w:rPr>
        <w:fldChar w:fldCharType="end"/>
      </w:r>
      <w:r w:rsidRPr="00D541E6">
        <w:rPr>
          <w:rFonts w:ascii="Calibri" w:hAnsi="Calibri" w:cs="Calibri"/>
          <w:color w:val="000000" w:themeColor="text1"/>
        </w:rPr>
        <w:t xml:space="preserve"> developed a CPM for cardiovascular risk which was then combined with an externally estimated risk reduction model to aid decision making in lipid-lowering treatment usage. The risk reduction model was estimated from meta-analyses with genetic studies, prospective epidemiologic studies, Mendelian randomization studies, and RCTs to obtain an equation for the expected average proportional risk reduction per mmol/L reduction in LDL cholesterol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{"citationItems":[{"id":"ITEM-1","itemData":{"DOI":"10.1093/eurheartj/ehx144","ISSN":"15229645","PMID":"28444290","abstract":"Aims To appraise the clinical and genetic evidence that low-density lipoproteins (LDLs) cause atherosclerotic cardiovascular disease (ASCVD). Methods and results We assessed whether the association between LDL and ASCVD fulfils the criteria for causality by evaluating the totality of evidence from genetic studies, prospective epidemiologic cohort studies, Mendelian randomization studies, and randomized trials of LDL-lowering therapies. In clinical studies, plasma LDL burden is usually estimated by determination of plasma LDL cholesterol level (LDL-C). Rare genetic mutations that cause reduced LDL receptor function lead to markedly higher LDL-C and a dose-dependent increase in the risk of ASCVD, whereas rare variants leading to lower LDL-C are associated with a correspondingly lower risk of ASCVD. Separate meta-analyses of over 200 prospective cohort studies, Mendelian randomization studies, and randomized trials including more than 2 million participants with over 20 million person-years of follow-up and over 150 000 cardiovascular events demonstrate a remarkably consistent dose-dependent log-linear association between the absolute magnitude of exposure of the vasculature to LDL-C and the risk of ASCVD; and this effect appears to increase with increasing duration of exposure to LDL-C. Both the naturally randomized genetic studies and the randomized intervention trials consistently demonstrate that any mechanism of lowering plasma LDL particle concentration should reduce the risk of ASCVD events proportional to the absolute reduction in LDL-C and the cumulative duration of exposure to lower LDL-C, provided that the achieved reduction in LDL-C is concordant with the reduction in LDL particle number and that there are no competing deleterious off-target effects. Conclusion Consistent evidence from numerous and multiple different types of clinical and genetic studies unequivocally establishes that LDL causes ASCVD.","author":[{"dropping-particle":"","family":"Ference","given":"Brian A.","non-dropping-particle":"","parse-names":false,"suffix":""},{"dropping-particle":"","family":"Ginsberg","given":"Henry N.","non-dropping-particle":"","parse-names":false,"suffix":""},{"dropping-particle":"","family":"Graham","given":"Ian","non-dropping-particle":"","parse-names":false,"suffix":""},{"dropping-particle":"","family":"Ray","given":"Kausik K.","non-dropping-particle":"","parse-names":false,"suffix":""},{"dropping-particle":"","family":"Packard","given":"Chris J.","non-dropping-particle":"","parse-names":false,"suffix":""},{"dropping-particle":"","family":"Bruckert","given":"Eric","non-dropping-particle":"","parse-names":false,"suffix":""},{"dropping-particle":"","family":"Hegele","given":"Robert A.","non-dropping-particle":"","parse-names":false,"suffix":""},{"dropping-particle":"","family":"Krauss","given":"Ronald M.","non-dropping-particle":"","parse-names":false,"suffix":""},{"dropping-particle":"","family":"Raal","given":"Frederick J.","non-dropping-particle":"","parse-names":false,"suffix":""},{"dropping-particle":"","family":"Schunkert","given":"Heribert","non-dropping-particle":"","parse-names":false,"suffix":""},{"dropping-particle":"","family":"Watt","given":"Gerald F.","non-dropping-particle":"","parse-names":false,"suffix":""},{"dropping-particle":"","family":"Borén","given":"Jan","non-dropping-particle":"","parse-names":false,"suffix":""},{"dropping-particle":"","family":"Fazio","given":"Sergio","non-dropping-particle":"","parse-names":false,"suffix":""},{"dropping-particle":"","family":"Horton","given":"Jay D.","non-dropping-particle":"","parse-names":false,"suffix":""},{"dropping-particle":"","family":"Masana","given":"Luis","non-dropping-particle":"","parse-names":false,"suffix":""},{"dropping-particle":"","family":"Nicholls","given":"Stephen J.","non-dropping-particle":"","parse-names":false,"suffix":""},{"dropping-particle":"","family":"Nordestgaard","given":"Børge G.","non-dropping-particle":"","parse-names":false,"suffix":""},{"dropping-particle":"","family":"Sluis","given":"Bart","non-dropping-particle":"van de","parse-names":false,"suffix":""},{"dropping-particle":"","family":"Taskinen","given":"Marja Riitta","non-dropping-particle":"","parse-names":false,"suffix":""},{"dropping-particle":"","family":"Tokgözoǧlu","given":"Lale","non-dropping-particle":"","parse-names":false,"suffix":""},{"dropping-particle":"","family":"Landmesser","given":"Ulf","non-dropping-particle":"","parse-names":false,"suffix":""},{"dropping-particle":"","family":"Laufs","given":"Ulrich","non-dropping-particle":"","parse-names":false,"suffix":""},{"dropping-particle":"","family":"Wiklund","given":"Olov","non-dropping-particle":"","parse-names":false,"suffix":""},{"dropping-particle":"","family":"Stock","given":"Jane K.","non-dropping-particle":"","parse-names":false,"suffix":""},{"dropping-particle":"","family":"Chapman","given":"M. John","non-dropping-particle":"","parse-names":false,"suffix":""},{"dropping-particle":"","family":"Catapano","given":"Alberico L.","non-dropping-particle":"","parse-names":false,"suffix":""}],"container-title":"European Heart Journal","id":"ITEM-1","issue":"32","issued":{"date-parts":[["2017","8","21"]]},"page":"2459-2472","publisher":"Oxford University Press","title":"Low-density lipoproteins cause atherosclerotic cardiovascular disease. 1. Evidence from genetic, epidemiologic, and clinical studies. A consensus statement fromthe European Atherosclerosis Society Consensus Panel","type":"article-journal","volume":"38"},"uris":["http://www.mendeley.com/documents/?uuid=5745d35a-9f39-31ae-9ce7-6776897587dc"]}],"mendeley":{"formattedCitation":"(Ference et al., 2017)","plainTextFormattedCitation":"(Ference et al., 2017)","previouslyFormattedCitation":"(28)"},"properties":{"noteIndex":0},"schema":"https://github.com/citation-style-language/schema/raw/master/csl-citation.json"}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(Ference et al., 2017)</w:t>
      </w:r>
      <w:r w:rsidRPr="00D541E6">
        <w:rPr>
          <w:rFonts w:ascii="Calibri" w:hAnsi="Calibri" w:cs="Calibri"/>
          <w:color w:val="000000" w:themeColor="text1"/>
        </w:rPr>
        <w:fldChar w:fldCharType="end"/>
      </w:r>
      <w:r w:rsidRPr="00D541E6">
        <w:rPr>
          <w:rFonts w:ascii="Calibri" w:hAnsi="Calibri" w:cs="Calibri"/>
          <w:color w:val="000000" w:themeColor="text1"/>
        </w:rPr>
        <w:t xml:space="preserve">. To calculate the treatment effect on cardiovascular risk, the approach assumed a reduction of baseline </w:t>
      </w:r>
      <w:proofErr w:type="spellStart"/>
      <w:r w:rsidRPr="00D541E6">
        <w:rPr>
          <w:rFonts w:ascii="Calibri" w:hAnsi="Calibri" w:cs="Calibri"/>
          <w:color w:val="000000" w:themeColor="text1"/>
        </w:rPr>
        <w:t>non­HDL</w:t>
      </w:r>
      <w:proofErr w:type="spellEnd"/>
      <w:r w:rsidRPr="00D541E6">
        <w:rPr>
          <w:rFonts w:ascii="Calibri" w:hAnsi="Calibri" w:cs="Calibri"/>
          <w:color w:val="000000" w:themeColor="text1"/>
        </w:rPr>
        <w:t xml:space="preserve"> cholesterol by 30% or 50% when lipid-lowering treatment was used.</w:t>
      </w:r>
    </w:p>
    <w:p w14:paraId="34E2E714" w14:textId="00508AC4" w:rsidR="00D26A9D" w:rsidRPr="00D541E6" w:rsidRDefault="00D26A9D" w:rsidP="00D26A9D">
      <w:pPr>
        <w:autoSpaceDE w:val="0"/>
        <w:autoSpaceDN w:val="0"/>
        <w:adjustRightInd w:val="0"/>
        <w:spacing w:after="240" w:line="276" w:lineRule="auto"/>
        <w:rPr>
          <w:rFonts w:ascii="Calibri" w:hAnsi="Calibri" w:cs="Calibri"/>
          <w:color w:val="000000" w:themeColor="text1"/>
          <w:lang w:eastAsia="zh-CN"/>
        </w:rPr>
      </w:pPr>
      <w:r w:rsidRPr="00D541E6">
        <w:rPr>
          <w:rFonts w:ascii="Calibri" w:hAnsi="Calibri" w:cs="Calibri"/>
          <w:color w:val="000000" w:themeColor="text1"/>
        </w:rPr>
        <w:t xml:space="preserve">In addition to the above </w:t>
      </w:r>
      <w:proofErr w:type="spellStart"/>
      <w:r w:rsidRPr="00D541E6">
        <w:rPr>
          <w:rFonts w:ascii="Calibri" w:hAnsi="Calibri" w:cs="Calibri"/>
          <w:color w:val="000000" w:themeColor="text1"/>
        </w:rPr>
        <w:t>two-stage</w:t>
      </w:r>
      <w:proofErr w:type="spellEnd"/>
      <w:r w:rsidRPr="00D541E6">
        <w:rPr>
          <w:rFonts w:ascii="Calibri" w:hAnsi="Calibri" w:cs="Calibri"/>
          <w:color w:val="000000" w:themeColor="text1"/>
        </w:rPr>
        <w:t xml:space="preserve"> approach borrowing causal information estimated externally into predictive models, a one-stage approach was also identified where the two sources of data, interventional and observational, were jointly modelled for causal prediction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{"citationItems":[{"id":"ITEM-1","itemData":{"abstract":"Controlled interventions provide the most direct source of information for learning causal effects. In particular, a dose-response curve can be learned by varying the treatment level and observing the corresponding outcomes. However, interventions can be expensive and time-consuming. Observational data, where the treatment is not controlled by a known mechanism, is sometimes available. Under some strong assumptions, observational data allows for the estimation of dose-response curves. Estimating such curves nonparametrically is hard: sample sizes for controlled interventions may be small, while in the observational case a large number of measured confounders may need to be marginalized. In this paper, we introduce a hierarchical Gaussian process prior that constructs a distribution over the dose-response curve by learning from observational data, and reshapes the distribution with a nonparametric affine transform learned from controlled interventions. This function composition from different sources is shown to speed-up learning, which we demonstrate with a thorough sensitivity analysis and an application to modeling the effect of therapy on cognitive skills of premature infants. 1 Contribution We introduce a new solution to the problem of learning how an outcome variable Y varies under different levels of a control variable X that is manipulated. This is done by coupling different Gaussian process priors that combine observational and interventional data. The method outperforms estimates given by using only observational or only interventional data in a variety of scenarios and provides an alternative way of interpreting related methods in the design of computer experiments. Many problems in causal inference [14] consist of having a treatment variable X and and outcome Y , and estimating how Y varies as we control X at different levels. If we have data from a randomized controlled trial, where X and Y are not confounded, many standard modeling approaches can be used to learn the relationship between X and Y. If X and Y are measured in an observational study, the corresponding data can be used to estimate the association between X and Y , but this may not be the same as the causal relationship of these two variables because of possible confounders. To distinguish between the observational regime (where X is not controlled) and the interventional regime (where X is controlled), we adopt the causal graphical framework of [16] and [19]. In Figure 1 we illu…","author":[{"dropping-particle":"","family":"Silva","given":"Ricardo","non-dropping-particle":"","parse-names":false,"suffix":""}],"id":"ITEM-1","issued":{"date-parts":[["2016"]]},"publisher":"Advances in Neural Information Processing Systems 29 (NIPS 2016)","title":"Observational-Interventional Priors for Dose-Response Learning","type":"paper-conference"},"uris":["http://www.mendeley.com/documents/?uuid=872bfea0-2dc6-34a3-a7a8-dc02d5d66538"]}],"mendeley":{"formattedCitation":"(Silva, 2016)","plainTextFormattedCitation":"(Silva, 2016)","previouslyFormattedCitation":"(17)"},"properties":{"noteIndex":0},"schema":"https://github.com/citation-style-language/schema/raw/master/csl-citation.json"}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(Silva, 2016)</w:t>
      </w:r>
      <w:r w:rsidRPr="00D541E6">
        <w:rPr>
          <w:rFonts w:ascii="Calibri" w:hAnsi="Calibri" w:cs="Calibri"/>
          <w:color w:val="000000" w:themeColor="text1"/>
        </w:rPr>
        <w:fldChar w:fldCharType="end"/>
      </w:r>
      <w:r w:rsidRPr="00D541E6">
        <w:rPr>
          <w:rFonts w:ascii="Calibri" w:hAnsi="Calibri" w:cs="Calibri"/>
          <w:color w:val="000000" w:themeColor="text1"/>
        </w:rPr>
        <w:t xml:space="preserve">. This approach was applied in a scenario where it is possible to collect interventional data such that treatments were controlled but where sample sizes might be limited. The idea was to transform observational data into informed priors under a Bayesian framework. </w:t>
      </w:r>
      <w:r w:rsidRPr="00D541E6">
        <w:rPr>
          <w:rFonts w:asciiTheme="majorHAnsi" w:hAnsiTheme="majorHAnsi" w:cs="Calibri"/>
          <w:color w:val="000000" w:themeColor="text1"/>
        </w:rPr>
        <w:t xml:space="preserve">Assume that the observational data </w:t>
      </w:r>
      <m:oMath>
        <m:sSub>
          <m:sSubPr>
            <m:ctrlPr>
              <w:rPr>
                <w:rFonts w:ascii="Cambria Math" w:hAnsi="Cambria Math" w:cs="Calibri"/>
                <w:i/>
                <w:color w:val="000000" w:themeColor="text1"/>
              </w:rPr>
            </m:ctrlPr>
          </m:sSubPr>
          <m:e>
            <m:r>
              <w:rPr>
                <w:rFonts w:ascii="Cambria Math" w:hAnsi="Cambria Math" w:cs="Calibri"/>
                <w:color w:val="000000" w:themeColor="text1"/>
              </w:rPr>
              <m:t>D</m:t>
            </m:r>
          </m:e>
          <m:sub>
            <m:r>
              <w:rPr>
                <w:rFonts w:ascii="Cambria Math" w:hAnsi="Cambria Math" w:cs="Calibri"/>
                <w:color w:val="000000" w:themeColor="text1"/>
              </w:rPr>
              <m:t>obs</m:t>
            </m:r>
          </m:sub>
        </m:sSub>
      </m:oMath>
      <w:r w:rsidRPr="00D541E6">
        <w:rPr>
          <w:rFonts w:asciiTheme="majorHAnsi" w:hAnsiTheme="majorHAnsi" w:cs="Calibri"/>
          <w:color w:val="000000" w:themeColor="text1"/>
        </w:rPr>
        <w:t xml:space="preserve"> of size </w:t>
      </w:r>
      <m:oMath>
        <m:r>
          <w:rPr>
            <w:rFonts w:ascii="Cambria Math" w:hAnsi="Cambria Math" w:cs="Calibri"/>
            <w:color w:val="000000" w:themeColor="text1"/>
          </w:rPr>
          <m:t>N</m:t>
        </m:r>
      </m:oMath>
      <w:r w:rsidRPr="00D541E6">
        <w:rPr>
          <w:rFonts w:asciiTheme="majorHAnsi" w:hAnsiTheme="majorHAnsi" w:cs="Calibri"/>
          <w:color w:val="000000" w:themeColor="text1"/>
        </w:rPr>
        <w:t xml:space="preserve"> and the interventional data </w:t>
      </w:r>
      <m:oMath>
        <m:sSub>
          <m:sSubPr>
            <m:ctrlPr>
              <w:rPr>
                <w:rFonts w:ascii="Cambria Math" w:hAnsi="Cambria Math" w:cs="Calibri"/>
                <w:i/>
                <w:color w:val="000000" w:themeColor="text1"/>
              </w:rPr>
            </m:ctrlPr>
          </m:sSubPr>
          <m:e>
            <m:r>
              <w:rPr>
                <w:rFonts w:ascii="Cambria Math" w:hAnsi="Cambria Math" w:cs="Calibri"/>
                <w:color w:val="000000" w:themeColor="text1"/>
              </w:rPr>
              <m:t>D</m:t>
            </m:r>
          </m:e>
          <m:sub>
            <m:r>
              <w:rPr>
                <w:rFonts w:ascii="Cambria Math" w:hAnsi="Cambria Math" w:cs="Calibri"/>
                <w:color w:val="000000" w:themeColor="text1"/>
              </w:rPr>
              <m:t>int</m:t>
            </m:r>
          </m:sub>
        </m:sSub>
      </m:oMath>
      <w:r w:rsidRPr="00D541E6">
        <w:rPr>
          <w:rFonts w:asciiTheme="majorHAnsi" w:hAnsiTheme="majorHAnsi" w:cs="Calibri"/>
          <w:color w:val="000000" w:themeColor="text1"/>
        </w:rPr>
        <w:t xml:space="preserve"> of size </w:t>
      </w:r>
      <m:oMath>
        <m:r>
          <w:rPr>
            <w:rFonts w:ascii="Cambria Math" w:hAnsi="Cambria Math" w:cs="Calibri"/>
            <w:color w:val="000000" w:themeColor="text1"/>
          </w:rPr>
          <m:t>M</m:t>
        </m:r>
        <m:r>
          <m:rPr>
            <m:sty m:val="p"/>
          </m:rPr>
          <w:rPr>
            <w:rFonts w:ascii="Cambria Math" w:hAnsi="Cambria Math" w:cs="Calibri"/>
            <w:color w:val="000000" w:themeColor="text1"/>
          </w:rPr>
          <m:t xml:space="preserve"> </m:t>
        </m:r>
      </m:oMath>
      <w:r w:rsidRPr="00D541E6">
        <w:rPr>
          <w:rFonts w:asciiTheme="majorHAnsi" w:hAnsiTheme="majorHAnsi" w:cs="Calibri"/>
          <w:color w:val="000000" w:themeColor="text1"/>
        </w:rPr>
        <w:t>were provi</w:t>
      </w:r>
      <w:r w:rsidRPr="00D541E6">
        <w:rPr>
          <w:rFonts w:ascii="Calibri" w:hAnsi="Calibri" w:cs="Calibri"/>
          <w:color w:val="000000" w:themeColor="text1"/>
        </w:rPr>
        <w:t xml:space="preserve">ded, and the measure variables </w:t>
      </w:r>
      <m:oMath>
        <m:r>
          <w:rPr>
            <w:rFonts w:ascii="Cambria Math" w:hAnsi="Cambria Math" w:cs="Calibri"/>
            <w:color w:val="000000" w:themeColor="text1"/>
          </w:rPr>
          <m:t>X</m:t>
        </m:r>
      </m:oMath>
      <w:r w:rsidRPr="00D541E6">
        <w:rPr>
          <w:rFonts w:ascii="Calibri" w:hAnsi="Calibri" w:cs="Calibri"/>
          <w:color w:val="000000" w:themeColor="text1"/>
        </w:rPr>
        <w:t xml:space="preserve"> were assumed to satisfy the </w:t>
      </w:r>
      <w:r w:rsidRPr="00D541E6">
        <w:rPr>
          <w:rFonts w:ascii="Calibri" w:hAnsi="Calibri" w:cs="Calibri"/>
          <w:i/>
          <w:color w:val="000000" w:themeColor="text1"/>
        </w:rPr>
        <w:t xml:space="preserve">back-door criteria </w:t>
      </w:r>
      <w:r w:rsidRPr="00D541E6">
        <w:rPr>
          <w:rFonts w:ascii="Calibri" w:hAnsi="Calibri" w:cs="Calibri"/>
          <w:i/>
          <w:color w:val="000000" w:themeColor="text1"/>
        </w:rPr>
        <w:fldChar w:fldCharType="begin" w:fldLock="1"/>
      </w:r>
      <w:r w:rsidR="009B218D" w:rsidRPr="00D541E6">
        <w:rPr>
          <w:rFonts w:ascii="Calibri" w:hAnsi="Calibri" w:cs="Calibri"/>
          <w:i/>
          <w:color w:val="000000" w:themeColor="text1"/>
        </w:rPr>
        <w:instrText>ADDIN CSL_CITATION {"citationItems":[{"id":"ITEM-1","itemData":{"DOI":"10.1017/CBO9780511803161","ISBN":"9780511803161","abstract":"Written by one of the preeminent researchers in the field, this book provides a comprehensive exposition of modern analysis of causation. It shows how causality has grown from a nebulous concept into a mathematical theory with significant applications in the fields of statistics, artificial intelligence, economics, philosophy, cognitive science, and the health and social sciences. Judea Pearl presents and unifies the probabilistic, manipulative, counterfactual, and structural approaches to causation and devises simple mathematical tools for studying the relationships between causal connections and statistical associations. The book will open the way for including causal analysis in the standard curricula of statistics, artificial intelligence, business, epidemiology, social sciences, and economics. Students in these fields will find natural models, simple inferential procedures, and precise mathematical definitions of causal concepts that traditional texts have evaded or made unduly complicated. The first edition of Causality has led to a paradigmatic change in the way that causality is treated in statistics, philosophy, computer science, social science, and economics. Cited in more than 5,000 scientific publications, it continues to liberate scientists from the traditional molds of statistical thinking. In this revised edition, Judea Pearl elucidates thorny issues, answers readers’ questions, and offers a panoramic view of recent advances in this field of research. Causality will be of interests to students and professionals in a wide variety of fields. Anyone who wishes to elucidate meaningful relationships from data, predict effects of actions and policies, assess explanations of reported events, or form theories of causal understanding and causal speech will find this book stimulating and invaluable.","author":[{"dropping-particle":"","family":"Pearl","given":"Judea","non-dropping-particle":"","parse-names":false,"suffix":""}],"id":"ITEM-1","issued":{"date-parts":[["2011","1","1"]]},"number-of-pages":"1-464","publisher":"Cambridge University Press","title":"Causality: Models, reasoning, and inference, second edition","type":"book"},"uris":["http://www.mendeley.com/documents/?uuid=0ac2a974-2749-31e9-8ee6-8cd6096569d7"]}],"mendeley":{"formattedCitation":"(Pearl, 2011)","plainTextFormattedCitation":"(Pearl, 2011)","previouslyFormattedCitation":"(29)"},"properties":{"noteIndex":0},"schema":"https://github.com/citation-style-language/schema/raw/master/csl-citation.json"}</w:instrText>
      </w:r>
      <w:r w:rsidRPr="00D541E6">
        <w:rPr>
          <w:rFonts w:ascii="Calibri" w:hAnsi="Calibri" w:cs="Calibri"/>
          <w:i/>
          <w:color w:val="000000" w:themeColor="text1"/>
        </w:rPr>
        <w:fldChar w:fldCharType="separate"/>
      </w:r>
      <w:r w:rsidR="009B218D" w:rsidRPr="00D541E6">
        <w:rPr>
          <w:rFonts w:ascii="Calibri" w:hAnsi="Calibri" w:cs="Calibri"/>
          <w:noProof/>
          <w:color w:val="000000" w:themeColor="text1"/>
        </w:rPr>
        <w:t>(Pearl, 2011)</w:t>
      </w:r>
      <w:r w:rsidRPr="00D541E6">
        <w:rPr>
          <w:rFonts w:ascii="Calibri" w:hAnsi="Calibri" w:cs="Calibri"/>
          <w:i/>
          <w:color w:val="000000" w:themeColor="text1"/>
        </w:rPr>
        <w:fldChar w:fldCharType="end"/>
      </w:r>
      <w:r w:rsidRPr="00D541E6">
        <w:rPr>
          <w:rFonts w:ascii="Calibri" w:hAnsi="Calibri" w:cs="Calibri"/>
          <w:color w:val="000000" w:themeColor="text1"/>
        </w:rPr>
        <w:t xml:space="preserve">. Their goal was to predict the </w:t>
      </w:r>
      <w:r w:rsidRPr="00D541E6">
        <w:rPr>
          <w:rFonts w:ascii="Calibri" w:hAnsi="Calibri" w:cs="Calibri"/>
          <w:i/>
          <w:color w:val="000000" w:themeColor="text1"/>
        </w:rPr>
        <w:t>dose-response curve</w:t>
      </w:r>
      <w:r w:rsidRPr="00D541E6">
        <w:rPr>
          <w:rFonts w:ascii="Calibri" w:hAnsi="Calibri" w:cs="Calibri"/>
          <w:color w:val="000000" w:themeColor="text1"/>
        </w:rPr>
        <w:t xml:space="preserve"> under intervention, or “dose” </w:t>
      </w:r>
      <m:oMath>
        <m:r>
          <w:rPr>
            <w:rFonts w:ascii="Cambria Math" w:hAnsi="Cambria Math"/>
            <w:color w:val="000000" w:themeColor="text1"/>
          </w:rPr>
          <m:t>a</m:t>
        </m:r>
      </m:oMath>
      <w:r w:rsidRPr="00D541E6">
        <w:rPr>
          <w:rFonts w:ascii="Calibri" w:hAnsi="Calibri" w:cs="Calibri"/>
          <w:color w:val="000000" w:themeColor="text1"/>
        </w:rPr>
        <w:t xml:space="preserve">: </w:t>
      </w:r>
      <m:oMath>
        <m:r>
          <w:rPr>
            <w:rFonts w:ascii="Cambria Math" w:hAnsi="Cambria Math"/>
            <w:color w:val="000000" w:themeColor="text1"/>
          </w:rPr>
          <m:t>f</m:t>
        </m:r>
        <m:d>
          <m:dPr>
            <m:ctrlPr>
              <w:rPr>
                <w:rFonts w:ascii="Cambria Math" w:hAnsi="Cambria Math"/>
                <w:i/>
                <w:color w:val="000000" w:themeColor="text1"/>
              </w:rPr>
            </m:ctrlPr>
          </m:dPr>
          <m:e>
            <m:r>
              <w:rPr>
                <w:rFonts w:ascii="Cambria Math" w:hAnsi="Cambria Math"/>
                <w:color w:val="000000" w:themeColor="text1"/>
              </w:rPr>
              <m:t>a</m:t>
            </m:r>
          </m:e>
        </m:d>
        <m:r>
          <w:rPr>
            <w:rFonts w:ascii="Cambria Math" w:hAnsi="Cambria Math"/>
            <w:color w:val="000000" w:themeColor="text1"/>
          </w:rPr>
          <m:t>≡E [</m:t>
        </m:r>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a</m:t>
                </m:r>
              </m:e>
            </m:d>
          </m:sup>
        </m:sSup>
        <m:r>
          <w:rPr>
            <w:rFonts w:ascii="Cambria Math" w:hAnsi="Cambria Math"/>
            <w:color w:val="000000" w:themeColor="text1"/>
          </w:rPr>
          <m:t>]</m:t>
        </m:r>
      </m:oMath>
      <w:r w:rsidRPr="00D541E6">
        <w:rPr>
          <w:rFonts w:ascii="Calibri" w:hAnsi="Calibri" w:cs="Calibri"/>
          <w:color w:val="000000" w:themeColor="text1"/>
        </w:rPr>
        <w:t xml:space="preserve"> where </w:t>
      </w:r>
      <m:oMath>
        <m:r>
          <w:rPr>
            <w:rFonts w:ascii="Cambria Math" w:hAnsi="Cambria Math" w:cs="Calibri"/>
            <w:color w:val="000000" w:themeColor="text1"/>
          </w:rPr>
          <m:t>a</m:t>
        </m:r>
        <m:r>
          <w:rPr>
            <w:rFonts w:ascii="Cambria Math" w:hAnsi="Cambria Math"/>
            <w:color w:val="000000" w:themeColor="text1"/>
          </w:rPr>
          <m:t>∈</m:t>
        </m:r>
        <m:r>
          <m:rPr>
            <m:sty m:val="bi"/>
          </m:rPr>
          <w:rPr>
            <w:rFonts w:ascii="Cambria Math" w:hAnsi="Cambria Math" w:cs="Calibri"/>
            <w:color w:val="000000" w:themeColor="text1"/>
          </w:rPr>
          <m:t>A</m:t>
        </m:r>
      </m:oMath>
      <w:r w:rsidRPr="00D541E6">
        <w:rPr>
          <w:rFonts w:ascii="Calibri" w:hAnsi="Calibri" w:cs="Calibri"/>
          <w:color w:val="000000" w:themeColor="text1"/>
        </w:rPr>
        <w:t xml:space="preserve">, a pre-defined set of treatment levels, and </w:t>
      </w:r>
      <m:oMath>
        <m:sSup>
          <m:sSupPr>
            <m:ctrlPr>
              <w:rPr>
                <w:rFonts w:ascii="Cambria Math" w:hAnsi="Cambria Math" w:cs="Arial"/>
                <w:i/>
                <w:color w:val="000000" w:themeColor="text1"/>
              </w:rPr>
            </m:ctrlPr>
          </m:sSupPr>
          <m:e>
            <m:r>
              <w:rPr>
                <w:rFonts w:ascii="Cambria Math" w:hAnsi="Cambria Math" w:cs="Arial"/>
                <w:color w:val="000000" w:themeColor="text1"/>
              </w:rPr>
              <m:t>Y</m:t>
            </m:r>
          </m:e>
          <m:sup>
            <m:r>
              <w:rPr>
                <w:rFonts w:ascii="Cambria Math" w:hAnsi="Cambria Math" w:cs="Arial"/>
                <w:color w:val="000000" w:themeColor="text1"/>
              </w:rPr>
              <m:t>(a)</m:t>
            </m:r>
          </m:sup>
        </m:sSup>
      </m:oMath>
      <w:r w:rsidRPr="00D541E6">
        <w:rPr>
          <w:rFonts w:ascii="Calibri" w:hAnsi="Calibri" w:cs="Calibri"/>
          <w:color w:val="000000" w:themeColor="text1"/>
        </w:rPr>
        <w:t xml:space="preserve"> is the potential outcome </w:t>
      </w:r>
      <m:oMath>
        <m:r>
          <w:rPr>
            <w:rFonts w:ascii="Cambria Math" w:hAnsi="Cambria Math" w:cs="Arial"/>
            <w:color w:val="000000" w:themeColor="text1"/>
          </w:rPr>
          <m:t>Y</m:t>
        </m:r>
      </m:oMath>
      <w:r w:rsidRPr="00D541E6">
        <w:rPr>
          <w:rFonts w:ascii="Calibri" w:hAnsi="Calibri" w:cs="Calibri"/>
          <w:color w:val="000000" w:themeColor="text1"/>
        </w:rPr>
        <w:t xml:space="preserve"> under the intervention </w:t>
      </w:r>
      <m:oMath>
        <m:r>
          <w:rPr>
            <w:rFonts w:ascii="Cambria Math" w:hAnsi="Cambria Math" w:cs="Calibri"/>
            <w:color w:val="000000" w:themeColor="text1"/>
          </w:rPr>
          <m:t>a.</m:t>
        </m:r>
      </m:oMath>
      <w:r w:rsidRPr="00D541E6">
        <w:rPr>
          <w:rFonts w:ascii="Calibri" w:hAnsi="Calibri" w:cs="Calibri"/>
          <w:color w:val="000000" w:themeColor="text1"/>
        </w:rPr>
        <w:t xml:space="preserve"> Define the conditional mean function</w:t>
      </w:r>
      <m:oMath>
        <m:r>
          <w:rPr>
            <w:rFonts w:ascii="Cambria Math" w:hAnsi="Cambria Math" w:cs="Calibri"/>
            <w:color w:val="000000" w:themeColor="text1"/>
          </w:rPr>
          <m:t xml:space="preserve"> g</m:t>
        </m:r>
        <m:d>
          <m:dPr>
            <m:ctrlPr>
              <w:rPr>
                <w:rFonts w:ascii="Cambria Math" w:hAnsi="Cambria Math" w:cs="Calibri"/>
                <w:i/>
                <w:color w:val="000000" w:themeColor="text1"/>
              </w:rPr>
            </m:ctrlPr>
          </m:dPr>
          <m:e>
            <m:r>
              <w:rPr>
                <w:rFonts w:ascii="Cambria Math" w:hAnsi="Cambria Math" w:cs="Calibri"/>
                <w:color w:val="000000" w:themeColor="text1"/>
              </w:rPr>
              <m:t>a,x</m:t>
            </m:r>
          </m:e>
        </m:d>
        <m:r>
          <w:rPr>
            <w:rFonts w:ascii="Cambria Math" w:hAnsi="Cambria Math"/>
            <w:color w:val="000000" w:themeColor="text1"/>
          </w:rPr>
          <m:t xml:space="preserve">=E </m:t>
        </m:r>
        <m:d>
          <m:dPr>
            <m:begChr m:val="["/>
            <m:endChr m:val="]"/>
            <m:ctrlPr>
              <w:rPr>
                <w:rFonts w:ascii="Cambria Math" w:hAnsi="Cambria Math"/>
                <w:i/>
                <w:color w:val="000000" w:themeColor="text1"/>
              </w:rPr>
            </m:ctrlPr>
          </m:dPr>
          <m:e>
            <m:r>
              <w:rPr>
                <w:rFonts w:ascii="Cambria Math" w:hAnsi="Cambria Math"/>
                <w:color w:val="000000" w:themeColor="text1"/>
              </w:rPr>
              <m:t>Y</m:t>
            </m:r>
          </m:e>
          <m:e>
            <m:r>
              <w:rPr>
                <w:rFonts w:ascii="Cambria Math" w:hAnsi="Cambria Math"/>
                <w:color w:val="000000" w:themeColor="text1"/>
              </w:rPr>
              <m:t>A=a,  X=x</m:t>
            </m:r>
          </m:e>
        </m:d>
      </m:oMath>
      <w:r w:rsidRPr="00D541E6">
        <w:rPr>
          <w:rFonts w:ascii="Calibri" w:hAnsi="Calibri" w:cs="Calibri"/>
          <w:color w:val="000000" w:themeColor="text1"/>
        </w:rPr>
        <w:t xml:space="preserve"> over the observational input space </w:t>
      </w:r>
      <m:oMath>
        <m:d>
          <m:dPr>
            <m:ctrlPr>
              <w:rPr>
                <w:rFonts w:ascii="Cambria Math" w:hAnsi="Cambria Math" w:cs="Calibri"/>
                <w:i/>
                <w:color w:val="000000" w:themeColor="text1"/>
              </w:rPr>
            </m:ctrlPr>
          </m:dPr>
          <m:e>
            <m:r>
              <m:rPr>
                <m:sty m:val="bi"/>
              </m:rPr>
              <w:rPr>
                <w:rFonts w:ascii="Cambria Math" w:hAnsi="Cambria Math" w:cs="Calibri"/>
                <w:color w:val="000000" w:themeColor="text1"/>
              </w:rPr>
              <m:t>A,X</m:t>
            </m:r>
            <m:ctrlPr>
              <w:rPr>
                <w:rFonts w:ascii="Cambria Math" w:hAnsi="Cambria Math" w:cs="Calibri"/>
                <w:b/>
                <w:i/>
                <w:color w:val="000000" w:themeColor="text1"/>
              </w:rPr>
            </m:ctrlPr>
          </m:e>
        </m:d>
        <m:r>
          <m:rPr>
            <m:sty m:val="bi"/>
          </m:rPr>
          <w:rPr>
            <w:rFonts w:ascii="Cambria Math" w:hAnsi="Cambria Math" w:cs="Calibri"/>
            <w:color w:val="000000" w:themeColor="text1"/>
          </w:rPr>
          <m:t>,</m:t>
        </m:r>
      </m:oMath>
      <w:r w:rsidRPr="00D541E6">
        <w:rPr>
          <w:rFonts w:ascii="Calibri" w:hAnsi="Calibri" w:cs="Calibri"/>
          <w:color w:val="000000" w:themeColor="text1"/>
        </w:rPr>
        <w:t xml:space="preserve"> and the adjusted observational dose-response </w:t>
      </w:r>
      <w:r w:rsidRPr="00D541E6">
        <w:rPr>
          <w:rFonts w:ascii="Calibri" w:hAnsi="Calibri" w:cs="Calibri"/>
          <w:color w:val="000000" w:themeColor="text1"/>
        </w:rPr>
        <w:lastRenderedPageBreak/>
        <w:t xml:space="preserve">curve as </w:t>
      </w:r>
      <m:oMath>
        <m:sSub>
          <m:sSubPr>
            <m:ctrlPr>
              <w:rPr>
                <w:rFonts w:ascii="Cambria Math" w:hAnsi="Cambria Math" w:cs="Calibri"/>
                <w:i/>
                <w:color w:val="000000" w:themeColor="text1"/>
              </w:rPr>
            </m:ctrlPr>
          </m:sSubPr>
          <m:e>
            <m:r>
              <w:rPr>
                <w:rFonts w:ascii="Cambria Math" w:hAnsi="Cambria Math" w:cs="Calibri"/>
                <w:color w:val="000000" w:themeColor="text1"/>
              </w:rPr>
              <m:t>f</m:t>
            </m:r>
          </m:e>
          <m:sub>
            <m:r>
              <w:rPr>
                <w:rFonts w:ascii="Cambria Math" w:hAnsi="Cambria Math" w:cs="Calibri"/>
                <w:color w:val="000000" w:themeColor="text1"/>
              </w:rPr>
              <m:t>obs</m:t>
            </m:r>
          </m:sub>
        </m:sSub>
        <m:d>
          <m:dPr>
            <m:ctrlPr>
              <w:rPr>
                <w:rFonts w:ascii="Cambria Math" w:hAnsi="Cambria Math" w:cs="Calibri"/>
                <w:i/>
                <w:color w:val="000000" w:themeColor="text1"/>
              </w:rPr>
            </m:ctrlPr>
          </m:dPr>
          <m:e>
            <m:r>
              <w:rPr>
                <w:rFonts w:ascii="Cambria Math" w:hAnsi="Cambria Math" w:cs="Calibri"/>
                <w:color w:val="000000" w:themeColor="text1"/>
              </w:rPr>
              <m:t>a</m:t>
            </m:r>
          </m:e>
        </m:d>
        <m:r>
          <w:rPr>
            <w:rFonts w:ascii="Cambria Math" w:hAnsi="Cambria Math" w:cs="Calibri"/>
            <w:color w:val="000000" w:themeColor="text1"/>
          </w:rPr>
          <m:t>=∫g(a,x)p(x)dx</m:t>
        </m:r>
      </m:oMath>
      <w:r w:rsidRPr="00D541E6">
        <w:rPr>
          <w:rFonts w:ascii="Calibri" w:hAnsi="Calibri" w:cs="Calibri"/>
          <w:color w:val="000000" w:themeColor="text1"/>
          <w:lang w:eastAsia="zh-CN"/>
        </w:rPr>
        <w:t>. S</w:t>
      </w:r>
      <w:r w:rsidRPr="00D541E6">
        <w:rPr>
          <w:rFonts w:ascii="Calibri" w:hAnsi="Calibri" w:cs="Calibri"/>
          <w:color w:val="000000" w:themeColor="text1"/>
        </w:rPr>
        <w:t xml:space="preserve">ilva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{"citationItems":[{"id":"ITEM-1","itemData":{"abstract":"Controlled interventions provide the most direct source of information for learning causal effects. In particular, a dose-response curve can be learned by varying the treatment level and observing the corresponding outcomes. However, interventions can be expensive and time-consuming. Observational data, where the treatment is not controlled by a known mechanism, is sometimes available. Under some strong assumptions, observational data allows for the estimation of dose-response curves. Estimating such curves nonparametrically is hard: sample sizes for controlled interventions may be small, while in the observational case a large number of measured confounders may need to be marginalized. In this paper, we introduce a hierarchical Gaussian process prior that constructs a distribution over the dose-response curve by learning from observational data, and reshapes the distribution with a nonparametric affine transform learned from controlled interventions. This function composition from different sources is shown to speed-up learning, which we demonstrate with a thorough sensitivity analysis and an application to modeling the effect of therapy on cognitive skills of premature infants. 1 Contribution We introduce a new solution to the problem of learning how an outcome variable Y varies under different levels of a control variable X that is manipulated. This is done by coupling different Gaussian process priors that combine observational and interventional data. The method outperforms estimates given by using only observational or only interventional data in a variety of scenarios and provides an alternative way of interpreting related methods in the design of computer experiments. Many problems in causal inference [14] consist of having a treatment variable X and and outcome Y , and estimating how Y varies as we control X at different levels. If we have data from a randomized controlled trial, where X and Y are not confounded, many standard modeling approaches can be used to learn the relationship between X and Y. If X and Y are measured in an observational study, the corresponding data can be used to estimate the association between X and Y , but this may not be the same as the causal relationship of these two variables because of possible confounders. To distinguish between the observational regime (where X is not controlled) and the interventional regime (where X is controlled), we adopt the causal graphical framework of [16] and [19]. In Figure 1 we illu…","author":[{"dropping-particle":"","family":"Silva","given":"Ricardo","non-dropping-particle":"","parse-names":false,"suffix":""}],"id":"ITEM-1","issued":{"date-parts":[["2016"]]},"publisher":"Advances in Neural Information Processing Systems 29 (NIPS 2016)","title":"Observational-Interventional Priors for Dose-Response Learning","type":"paper-conference"},"uris":["http://www.mendeley.com/documents/?uuid=872bfea0-2dc6-34a3-a7a8-dc02d5d66538"]}],"mendeley":{"formattedCitation":"(Silva, 2016)","plainTextFormattedCitation":"(Silva, 2016)","previouslyFormattedCitation":"(17)"},"properties":{"noteIndex":0},"schema":"https://github.com/citation-style-language/schema/raw/master/csl-citation.json"}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lang w:eastAsia="zh-CN"/>
        </w:rPr>
        <w:t>(Silva, 2016)</w:t>
      </w:r>
      <w:r w:rsidRPr="00D541E6">
        <w:rPr>
          <w:rFonts w:ascii="Calibri" w:hAnsi="Calibri" w:cs="Calibri"/>
          <w:color w:val="000000" w:themeColor="text1"/>
        </w:rPr>
        <w:fldChar w:fldCharType="end"/>
      </w:r>
      <w:r w:rsidRPr="00D541E6">
        <w:rPr>
          <w:rFonts w:ascii="Calibri" w:hAnsi="Calibri" w:cs="Calibri"/>
          <w:color w:val="000000" w:themeColor="text1"/>
          <w:lang w:eastAsia="zh-CN"/>
        </w:rPr>
        <w:t xml:space="preserve"> assigned a two-layered prior to </w:t>
      </w:r>
      <m:oMath>
        <m:r>
          <w:rPr>
            <w:rFonts w:ascii="Cambria Math" w:hAnsi="Cambria Math" w:cs="Calibri"/>
            <w:color w:val="000000" w:themeColor="text1"/>
            <w:lang w:eastAsia="zh-CN"/>
          </w:rPr>
          <m:t>f(⋅)</m:t>
        </m:r>
      </m:oMath>
      <w:r w:rsidRPr="00D541E6">
        <w:rPr>
          <w:rFonts w:ascii="Calibri" w:hAnsi="Calibri" w:cs="Calibri"/>
          <w:color w:val="000000" w:themeColor="text1"/>
          <w:lang w:eastAsia="zh-CN"/>
        </w:rPr>
        <w:t xml:space="preserve"> in a observational-interventional setup as follows:</w:t>
      </w:r>
    </w:p>
    <w:p w14:paraId="7FC7C107" w14:textId="77777777" w:rsidR="00D26A9D" w:rsidRPr="00D541E6" w:rsidRDefault="008A73B3" w:rsidP="00D26A9D">
      <w:pPr>
        <w:autoSpaceDE w:val="0"/>
        <w:autoSpaceDN w:val="0"/>
        <w:adjustRightInd w:val="0"/>
        <w:spacing w:after="240" w:line="276" w:lineRule="auto"/>
        <w:rPr>
          <w:rFonts w:ascii="Calibri" w:hAnsi="Calibri" w:cs="Calibri"/>
          <w:color w:val="000000" w:themeColor="text1"/>
          <w:lang w:eastAsia="zh-CN"/>
        </w:rPr>
      </w:pPr>
      <m:oMathPara>
        <m:oMath>
          <m:sSub>
            <m:sSubPr>
              <m:ctrlPr>
                <w:rPr>
                  <w:rFonts w:ascii="Cambria Math" w:hAnsi="Cambria Math" w:cs="Calibri"/>
                  <w:i/>
                  <w:color w:val="000000" w:themeColor="text1"/>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obs</m:t>
              </m:r>
            </m:sub>
          </m:sSub>
          <m:d>
            <m:dPr>
              <m:ctrlPr>
                <w:rPr>
                  <w:rFonts w:ascii="Cambria Math" w:hAnsi="Cambria Math" w:cs="Calibri"/>
                  <w:i/>
                  <w:color w:val="000000" w:themeColor="text1"/>
                </w:rPr>
              </m:ctrlPr>
            </m:dPr>
            <m:e>
              <m:r>
                <m:rPr>
                  <m:sty m:val="bi"/>
                </m:rPr>
                <w:rPr>
                  <w:rFonts w:ascii="Cambria Math" w:hAnsi="Cambria Math" w:cs="Calibri"/>
                  <w:color w:val="000000" w:themeColor="text1"/>
                  <w:lang w:eastAsia="zh-CN"/>
                </w:rPr>
                <m:t>A</m:t>
              </m:r>
            </m:e>
          </m:d>
          <m:r>
            <w:rPr>
              <w:rFonts w:ascii="Cambria Math" w:hAnsi="Cambria Math" w:cs="Calibri"/>
              <w:color w:val="000000" w:themeColor="text1"/>
              <w:lang w:eastAsia="zh-CN"/>
            </w:rPr>
            <m:t>∼</m:t>
          </m:r>
          <m:r>
            <m:rPr>
              <m:scr m:val="script"/>
            </m:rPr>
            <w:rPr>
              <w:rFonts w:ascii="Cambria Math" w:hAnsi="Cambria Math" w:cs="Arial"/>
              <w:color w:val="000000" w:themeColor="text1"/>
              <w:lang w:eastAsia="zh-CN"/>
            </w:rPr>
            <m:t>GP</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r>
                    <w:rPr>
                      <w:rFonts w:ascii="Cambria Math" w:hAnsi="Cambria Math" w:cs="Calibri"/>
                      <w:color w:val="000000" w:themeColor="text1"/>
                      <w:lang w:eastAsia="zh-CN"/>
                    </w:rPr>
                    <m:t>μ</m:t>
                  </m:r>
                </m:e>
                <m:sub>
                  <m:r>
                    <w:rPr>
                      <w:rFonts w:ascii="Cambria Math" w:hAnsi="Cambria Math" w:cs="Calibri"/>
                      <w:color w:val="000000" w:themeColor="text1"/>
                      <w:lang w:eastAsia="zh-CN"/>
                    </w:rPr>
                    <m:t>obs</m:t>
                  </m:r>
                </m:sub>
              </m:sSub>
              <m:r>
                <w:rPr>
                  <w:rFonts w:ascii="Cambria Math" w:hAnsi="Cambria Math" w:cs="Calibri"/>
                  <w:color w:val="000000" w:themeColor="text1"/>
                  <w:lang w:eastAsia="zh-CN"/>
                </w:rPr>
                <m:t>,</m:t>
              </m:r>
              <m:sSub>
                <m:sSubPr>
                  <m:ctrlPr>
                    <w:rPr>
                      <w:rFonts w:ascii="Cambria Math" w:hAnsi="Cambria Math" w:cs="Calibri"/>
                      <w:i/>
                      <w:color w:val="000000" w:themeColor="text1"/>
                    </w:rPr>
                  </m:ctrlPr>
                </m:sSubPr>
                <m:e>
                  <m:r>
                    <w:rPr>
                      <w:rFonts w:ascii="Cambria Math" w:hAnsi="Cambria Math" w:cs="Calibri"/>
                      <w:color w:val="000000" w:themeColor="text1"/>
                      <w:lang w:eastAsia="zh-CN"/>
                    </w:rPr>
                    <m:t>K</m:t>
                  </m:r>
                </m:e>
                <m:sub>
                  <m:r>
                    <w:rPr>
                      <w:rFonts w:ascii="Cambria Math" w:hAnsi="Cambria Math" w:cs="Calibri"/>
                      <w:color w:val="000000" w:themeColor="text1"/>
                      <w:lang w:eastAsia="zh-CN"/>
                    </w:rPr>
                    <m:t>obs</m:t>
                  </m:r>
                </m:sub>
              </m:sSub>
            </m:e>
          </m:d>
          <m:r>
            <w:rPr>
              <w:rFonts w:ascii="Cambria Math" w:hAnsi="Cambria Math" w:cs="Calibri"/>
              <w:color w:val="000000" w:themeColor="text1"/>
              <w:lang w:eastAsia="zh-CN"/>
            </w:rPr>
            <m:t>,</m:t>
          </m:r>
        </m:oMath>
      </m:oMathPara>
    </w:p>
    <w:p w14:paraId="2D4536C9"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lang w:eastAsia="zh-CN"/>
        </w:rPr>
      </w:pPr>
      <m:oMathPara>
        <m:oMath>
          <m:r>
            <w:rPr>
              <w:rFonts w:ascii="Cambria Math" w:hAnsi="Cambria Math" w:cs="Calibri"/>
              <w:color w:val="000000" w:themeColor="text1"/>
              <w:lang w:eastAsia="zh-CN"/>
            </w:rPr>
            <m:t>f</m:t>
          </m:r>
          <m:d>
            <m:dPr>
              <m:ctrlPr>
                <w:rPr>
                  <w:rFonts w:ascii="Cambria Math" w:hAnsi="Cambria Math" w:cs="Calibri"/>
                  <w:i/>
                  <w:color w:val="000000" w:themeColor="text1"/>
                </w:rPr>
              </m:ctrlPr>
            </m:dPr>
            <m:e>
              <m:r>
                <m:rPr>
                  <m:sty m:val="bi"/>
                </m:rPr>
                <w:rPr>
                  <w:rFonts w:ascii="Cambria Math" w:hAnsi="Cambria Math" w:cs="Calibri"/>
                  <w:color w:val="000000" w:themeColor="text1"/>
                  <w:lang w:eastAsia="zh-CN"/>
                </w:rPr>
                <m:t>A</m:t>
              </m:r>
            </m:e>
          </m:d>
          <m:r>
            <w:rPr>
              <w:rFonts w:ascii="Cambria Math" w:hAnsi="Cambria Math" w:cs="Calibri"/>
              <w:color w:val="000000" w:themeColor="text1"/>
              <w:lang w:eastAsia="zh-CN"/>
            </w:rPr>
            <m:t xml:space="preserve"> =  α</m:t>
          </m:r>
          <m:d>
            <m:dPr>
              <m:ctrlPr>
                <w:rPr>
                  <w:rFonts w:ascii="Cambria Math" w:hAnsi="Cambria Math" w:cs="Calibri"/>
                  <w:i/>
                  <w:color w:val="000000" w:themeColor="text1"/>
                </w:rPr>
              </m:ctrlPr>
            </m:dPr>
            <m:e>
              <m:r>
                <m:rPr>
                  <m:sty m:val="bi"/>
                </m:rPr>
                <w:rPr>
                  <w:rFonts w:ascii="Cambria Math" w:hAnsi="Cambria Math" w:cs="Calibri"/>
                  <w:color w:val="000000" w:themeColor="text1"/>
                  <w:lang w:eastAsia="zh-CN"/>
                </w:rPr>
                <m:t>A</m:t>
              </m:r>
            </m:e>
          </m:d>
          <m:r>
            <w:rPr>
              <w:rFonts w:ascii="Cambria Math" w:hAnsi="Cambria Math" w:cs="Calibri"/>
              <w:color w:val="000000" w:themeColor="text1"/>
              <w:lang w:eastAsia="zh-CN"/>
            </w:rPr>
            <m:t xml:space="preserve">⊙ </m:t>
          </m:r>
          <m:sSub>
            <m:sSubPr>
              <m:ctrlPr>
                <w:rPr>
                  <w:rFonts w:ascii="Cambria Math" w:hAnsi="Cambria Math" w:cs="Calibri"/>
                  <w:i/>
                  <w:color w:val="000000" w:themeColor="text1"/>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obs</m:t>
              </m:r>
            </m:sub>
          </m:sSub>
          <m:d>
            <m:dPr>
              <m:ctrlPr>
                <w:rPr>
                  <w:rFonts w:ascii="Cambria Math" w:hAnsi="Cambria Math" w:cs="Calibri"/>
                  <w:i/>
                  <w:color w:val="000000" w:themeColor="text1"/>
                </w:rPr>
              </m:ctrlPr>
            </m:dPr>
            <m:e>
              <m:r>
                <m:rPr>
                  <m:sty m:val="bi"/>
                </m:rPr>
                <w:rPr>
                  <w:rFonts w:ascii="Cambria Math" w:hAnsi="Cambria Math" w:cs="Calibri"/>
                  <w:color w:val="000000" w:themeColor="text1"/>
                  <w:lang w:eastAsia="zh-CN"/>
                </w:rPr>
                <m:t>A</m:t>
              </m:r>
            </m:e>
          </m:d>
          <m:r>
            <w:rPr>
              <w:rFonts w:ascii="Cambria Math" w:hAnsi="Cambria Math" w:cs="Calibri"/>
              <w:color w:val="000000" w:themeColor="text1"/>
              <w:lang w:eastAsia="zh-CN"/>
            </w:rPr>
            <m:t>+β</m:t>
          </m:r>
          <m:d>
            <m:dPr>
              <m:ctrlPr>
                <w:rPr>
                  <w:rFonts w:ascii="Cambria Math" w:hAnsi="Cambria Math" w:cs="Calibri"/>
                  <w:i/>
                  <w:color w:val="000000" w:themeColor="text1"/>
                </w:rPr>
              </m:ctrlPr>
            </m:dPr>
            <m:e>
              <m:r>
                <w:rPr>
                  <w:rFonts w:ascii="Cambria Math" w:hAnsi="Cambria Math" w:cs="Calibri"/>
                  <w:color w:val="000000" w:themeColor="text1"/>
                  <w:lang w:eastAsia="zh-CN"/>
                </w:rPr>
                <m:t xml:space="preserve"> </m:t>
              </m:r>
              <m:r>
                <m:rPr>
                  <m:sty m:val="bi"/>
                </m:rPr>
                <w:rPr>
                  <w:rFonts w:ascii="Cambria Math" w:hAnsi="Cambria Math" w:cs="Calibri"/>
                  <w:color w:val="000000" w:themeColor="text1"/>
                  <w:lang w:eastAsia="zh-CN"/>
                </w:rPr>
                <m:t>A</m:t>
              </m:r>
            </m:e>
          </m:d>
          <m:r>
            <w:rPr>
              <w:rFonts w:ascii="Cambria Math" w:hAnsi="Cambria Math" w:cs="Calibri"/>
              <w:color w:val="000000" w:themeColor="text1"/>
              <w:lang w:eastAsia="zh-CN"/>
            </w:rPr>
            <m:t>,</m:t>
          </m:r>
        </m:oMath>
      </m:oMathPara>
    </w:p>
    <w:p w14:paraId="53537FA1" w14:textId="77777777" w:rsidR="00D26A9D" w:rsidRPr="00D541E6" w:rsidRDefault="008A73B3" w:rsidP="00D26A9D">
      <w:pPr>
        <w:autoSpaceDE w:val="0"/>
        <w:autoSpaceDN w:val="0"/>
        <w:adjustRightInd w:val="0"/>
        <w:spacing w:after="240" w:line="276" w:lineRule="auto"/>
        <w:rPr>
          <w:rFonts w:ascii="Calibri" w:hAnsi="Calibri" w:cs="Calibri"/>
          <w:color w:val="000000" w:themeColor="text1"/>
          <w:lang w:eastAsia="zh-CN"/>
        </w:rPr>
      </w:pPr>
      <m:oMathPara>
        <m:oMath>
          <m:sSubSup>
            <m:sSubSupPr>
              <m:ctrlPr>
                <w:rPr>
                  <w:rFonts w:ascii="Cambria Math" w:hAnsi="Cambria Math" w:cs="Calibri"/>
                  <w:i/>
                  <w:color w:val="000000" w:themeColor="text1"/>
                </w:rPr>
              </m:ctrlPr>
            </m:sSubSupPr>
            <m:e>
              <m:r>
                <w:rPr>
                  <w:rFonts w:ascii="Cambria Math" w:hAnsi="Cambria Math" w:cs="Calibri"/>
                  <w:color w:val="000000" w:themeColor="text1"/>
                  <w:lang w:eastAsia="zh-CN"/>
                </w:rPr>
                <m:t>Y</m:t>
              </m:r>
            </m:e>
            <m:sub>
              <m:r>
                <w:rPr>
                  <w:rFonts w:ascii="Cambria Math" w:hAnsi="Cambria Math" w:cs="Calibri"/>
                  <w:color w:val="000000" w:themeColor="text1"/>
                  <w:lang w:eastAsia="zh-CN"/>
                </w:rPr>
                <m:t>int</m:t>
              </m:r>
            </m:sub>
            <m:sup>
              <m:r>
                <w:rPr>
                  <w:rFonts w:ascii="Cambria Math" w:hAnsi="Cambria Math" w:cs="Calibri"/>
                  <w:color w:val="000000" w:themeColor="text1"/>
                  <w:lang w:eastAsia="zh-CN"/>
                </w:rPr>
                <m:t>i</m:t>
              </m:r>
            </m:sup>
          </m:sSubSup>
          <m:r>
            <w:rPr>
              <w:rFonts w:ascii="Cambria Math" w:hAnsi="Cambria Math" w:cs="Calibri"/>
              <w:color w:val="000000" w:themeColor="text1"/>
              <w:lang w:eastAsia="zh-CN"/>
            </w:rPr>
            <m:t xml:space="preserve"> ∼</m:t>
          </m:r>
          <m:r>
            <m:rPr>
              <m:scr m:val="script"/>
            </m:rPr>
            <w:rPr>
              <w:rFonts w:ascii="Cambria Math" w:hAnsi="Cambria Math" w:cs="Arial"/>
              <w:color w:val="000000" w:themeColor="text1"/>
              <w:lang w:eastAsia="zh-CN"/>
            </w:rPr>
            <m:t>N</m:t>
          </m:r>
          <m:d>
            <m:dPr>
              <m:ctrlPr>
                <w:rPr>
                  <w:rFonts w:ascii="Cambria Math" w:hAnsi="Cambria Math" w:cs="Calibri"/>
                  <w:i/>
                  <w:color w:val="000000" w:themeColor="text1"/>
                </w:rPr>
              </m:ctrlPr>
            </m:dPr>
            <m:e>
              <m:r>
                <w:rPr>
                  <w:rFonts w:ascii="Cambria Math" w:hAnsi="Cambria Math" w:cs="Calibri"/>
                  <w:color w:val="000000" w:themeColor="text1"/>
                  <w:lang w:eastAsia="zh-CN"/>
                </w:rPr>
                <m:t>f</m:t>
              </m:r>
              <m:d>
                <m:dPr>
                  <m:ctrlPr>
                    <w:rPr>
                      <w:rFonts w:ascii="Cambria Math" w:hAnsi="Cambria Math" w:cs="Calibri"/>
                      <w:i/>
                      <w:color w:val="000000" w:themeColor="text1"/>
                    </w:rPr>
                  </m:ctrlPr>
                </m:dPr>
                <m:e>
                  <m:sSubSup>
                    <m:sSubSupPr>
                      <m:ctrlPr>
                        <w:rPr>
                          <w:rFonts w:ascii="Cambria Math" w:hAnsi="Cambria Math" w:cs="Calibri"/>
                          <w:i/>
                          <w:color w:val="000000" w:themeColor="text1"/>
                        </w:rPr>
                      </m:ctrlPr>
                    </m:sSubSupPr>
                    <m:e>
                      <m:r>
                        <w:rPr>
                          <w:rFonts w:ascii="Cambria Math" w:hAnsi="Cambria Math" w:cs="Calibri"/>
                          <w:color w:val="000000" w:themeColor="text1"/>
                          <w:lang w:eastAsia="zh-CN"/>
                        </w:rPr>
                        <m:t>a</m:t>
                      </m:r>
                    </m:e>
                    <m:sub>
                      <m:r>
                        <w:rPr>
                          <w:rFonts w:ascii="Cambria Math" w:hAnsi="Cambria Math" w:cs="Calibri"/>
                          <w:color w:val="000000" w:themeColor="text1"/>
                          <w:lang w:eastAsia="zh-CN"/>
                        </w:rPr>
                        <m:t>int</m:t>
                      </m:r>
                    </m:sub>
                    <m:sup>
                      <m:r>
                        <w:rPr>
                          <w:rFonts w:ascii="Cambria Math" w:hAnsi="Cambria Math" w:cs="Calibri"/>
                          <w:color w:val="000000" w:themeColor="text1"/>
                          <w:lang w:eastAsia="zh-CN"/>
                        </w:rPr>
                        <m:t>i</m:t>
                      </m:r>
                    </m:sup>
                  </m:sSubSup>
                </m:e>
              </m:d>
              <m:r>
                <w:rPr>
                  <w:rFonts w:ascii="Cambria Math" w:hAnsi="Cambria Math" w:cs="Calibri"/>
                  <w:color w:val="000000" w:themeColor="text1"/>
                  <w:lang w:eastAsia="zh-CN"/>
                </w:rPr>
                <m:t>,</m:t>
              </m:r>
              <m:sSubSup>
                <m:sSubSupPr>
                  <m:ctrlPr>
                    <w:rPr>
                      <w:rFonts w:ascii="Cambria Math" w:hAnsi="Cambria Math" w:cs="Calibri"/>
                      <w:i/>
                      <w:color w:val="000000" w:themeColor="text1"/>
                    </w:rPr>
                  </m:ctrlPr>
                </m:sSubSupPr>
                <m:e>
                  <m:r>
                    <w:rPr>
                      <w:rFonts w:ascii="Cambria Math" w:hAnsi="Cambria Math" w:cs="Calibri"/>
                      <w:color w:val="000000" w:themeColor="text1"/>
                      <w:lang w:eastAsia="zh-CN"/>
                    </w:rPr>
                    <m:t>σ</m:t>
                  </m:r>
                </m:e>
                <m:sub>
                  <m:r>
                    <w:rPr>
                      <w:rFonts w:ascii="Cambria Math" w:hAnsi="Cambria Math" w:cs="Calibri"/>
                      <w:color w:val="000000" w:themeColor="text1"/>
                      <w:lang w:eastAsia="zh-CN"/>
                    </w:rPr>
                    <m:t>int</m:t>
                  </m:r>
                </m:sub>
                <m:sup>
                  <m:r>
                    <w:rPr>
                      <w:rFonts w:ascii="Cambria Math" w:hAnsi="Cambria Math" w:cs="Calibri"/>
                      <w:color w:val="000000" w:themeColor="text1"/>
                      <w:lang w:eastAsia="zh-CN"/>
                    </w:rPr>
                    <m:t>2</m:t>
                  </m:r>
                </m:sup>
              </m:sSubSup>
            </m:e>
          </m:d>
          <m:r>
            <w:rPr>
              <w:rFonts w:ascii="Cambria Math" w:hAnsi="Cambria Math" w:cs="Calibri"/>
              <w:color w:val="000000" w:themeColor="text1"/>
              <w:lang w:eastAsia="zh-CN"/>
            </w:rPr>
            <m:t>, 1≤ i≤ M.</m:t>
          </m:r>
        </m:oMath>
      </m:oMathPara>
    </w:p>
    <w:p w14:paraId="45542FAF"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lang w:eastAsia="zh-CN"/>
        </w:rPr>
      </w:pPr>
      <w:r w:rsidRPr="00D541E6">
        <w:rPr>
          <w:rFonts w:ascii="Calibri" w:hAnsi="Calibri" w:cs="Calibri"/>
          <w:color w:val="000000" w:themeColor="text1"/>
          <w:lang w:eastAsia="zh-CN"/>
        </w:rPr>
        <w:t xml:space="preserve">Here, a Gaussian process prior over adjusted dose-response curves was first estimated from observational data, and then composed with an “element-wise affine” transformation estimated from interventional data to bias </w:t>
      </w:r>
      <m:oMath>
        <m:r>
          <w:rPr>
            <w:rFonts w:ascii="Cambria Math" w:hAnsi="Cambria Math" w:cs="Calibri"/>
            <w:color w:val="000000" w:themeColor="text1"/>
            <w:lang w:eastAsia="zh-CN"/>
          </w:rPr>
          <m:t>f</m:t>
        </m:r>
      </m:oMath>
      <w:r w:rsidRPr="00D541E6">
        <w:rPr>
          <w:rFonts w:ascii="Calibri" w:hAnsi="Calibri" w:cs="Calibri"/>
          <w:color w:val="000000" w:themeColor="text1"/>
          <w:lang w:eastAsia="zh-CN"/>
        </w:rPr>
        <w:t xml:space="preserve"> toward </w:t>
      </w:r>
      <m:oMath>
        <m:sSub>
          <m:sSubPr>
            <m:ctrlPr>
              <w:rPr>
                <w:rFonts w:ascii="Cambria Math" w:hAnsi="Cambria Math" w:cs="Calibri"/>
                <w:i/>
                <w:color w:val="000000" w:themeColor="text1"/>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obs</m:t>
            </m:r>
          </m:sub>
        </m:sSub>
      </m:oMath>
      <w:r w:rsidRPr="00D541E6">
        <w:rPr>
          <w:rFonts w:ascii="Calibri" w:hAnsi="Calibri" w:cs="Calibri"/>
          <w:color w:val="000000" w:themeColor="text1"/>
          <w:lang w:eastAsia="zh-CN"/>
        </w:rPr>
        <w:t xml:space="preserve">. The prediction can then be made by inferring the posterior distribution of the dose-response curve </w:t>
      </w:r>
      <m:oMath>
        <m:r>
          <w:rPr>
            <w:rFonts w:ascii="Cambria Math" w:hAnsi="Cambria Math" w:cs="Calibri"/>
            <w:color w:val="000000" w:themeColor="text1"/>
            <w:lang w:eastAsia="zh-CN"/>
          </w:rPr>
          <m:t>f(</m:t>
        </m:r>
        <m:r>
          <m:rPr>
            <m:sty m:val="bi"/>
          </m:rPr>
          <w:rPr>
            <w:rFonts w:ascii="Cambria Math" w:hAnsi="Cambria Math" w:cs="Calibri"/>
            <w:color w:val="000000" w:themeColor="text1"/>
            <w:lang w:eastAsia="zh-CN"/>
          </w:rPr>
          <m:t>A</m:t>
        </m:r>
        <m:r>
          <w:rPr>
            <w:rFonts w:ascii="Cambria Math" w:hAnsi="Cambria Math" w:cs="Calibri"/>
            <w:color w:val="000000" w:themeColor="text1"/>
            <w:lang w:eastAsia="zh-CN"/>
          </w:rPr>
          <m:t>)</m:t>
        </m:r>
      </m:oMath>
      <w:r w:rsidRPr="00D541E6">
        <w:rPr>
          <w:rFonts w:ascii="Calibri" w:hAnsi="Calibri" w:cs="Calibri"/>
          <w:color w:val="000000" w:themeColor="text1"/>
          <w:lang w:eastAsia="zh-CN"/>
        </w:rPr>
        <w:t xml:space="preserve"> or the individual posterior distribution over </w:t>
      </w:r>
      <m:oMath>
        <m:sSub>
          <m:sSubPr>
            <m:ctrlPr>
              <w:rPr>
                <w:rFonts w:ascii="Cambria Math" w:hAnsi="Cambria Math" w:cs="Calibri"/>
                <w:i/>
                <w:color w:val="000000" w:themeColor="text1"/>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obs</m:t>
            </m:r>
          </m:sub>
        </m:sSub>
        <m:r>
          <w:rPr>
            <w:rFonts w:ascii="Cambria Math" w:hAnsi="Cambria Math" w:cs="Calibri"/>
            <w:color w:val="000000" w:themeColor="text1"/>
            <w:lang w:eastAsia="zh-CN"/>
          </w:rPr>
          <m:t>(</m:t>
        </m:r>
        <m:r>
          <m:rPr>
            <m:sty m:val="bi"/>
          </m:rPr>
          <w:rPr>
            <w:rFonts w:ascii="Cambria Math" w:hAnsi="Cambria Math" w:cs="Calibri"/>
            <w:color w:val="000000" w:themeColor="text1"/>
            <w:lang w:eastAsia="zh-CN"/>
          </w:rPr>
          <m:t>A</m:t>
        </m:r>
        <m:r>
          <w:rPr>
            <w:rFonts w:ascii="Cambria Math" w:hAnsi="Cambria Math" w:cs="Calibri"/>
            <w:color w:val="000000" w:themeColor="text1"/>
            <w:lang w:eastAsia="zh-CN"/>
          </w:rPr>
          <m:t>)</m:t>
        </m:r>
      </m:oMath>
      <w:r w:rsidRPr="00D541E6">
        <w:rPr>
          <w:rFonts w:ascii="Calibri" w:hAnsi="Calibri" w:cs="Calibri"/>
          <w:color w:val="000000" w:themeColor="text1"/>
          <w:lang w:eastAsia="zh-CN"/>
        </w:rPr>
        <w:t xml:space="preserve">; conditional dose-response can also be estimated from </w:t>
      </w:r>
      <m:oMath>
        <m:r>
          <w:rPr>
            <w:rFonts w:ascii="Cambria Math" w:hAnsi="Cambria Math" w:cs="Calibri"/>
            <w:color w:val="000000" w:themeColor="text1"/>
            <w:lang w:eastAsia="zh-CN"/>
          </w:rPr>
          <m:t>f(</m:t>
        </m:r>
        <m:r>
          <m:rPr>
            <m:sty m:val="bi"/>
          </m:rPr>
          <w:rPr>
            <w:rFonts w:ascii="Cambria Math" w:hAnsi="Cambria Math" w:cs="Calibri"/>
            <w:color w:val="000000" w:themeColor="text1"/>
            <w:lang w:eastAsia="zh-CN"/>
          </w:rPr>
          <m:t>A</m:t>
        </m:r>
        <m:r>
          <w:rPr>
            <w:rFonts w:ascii="Cambria Math" w:hAnsi="Cambria Math" w:cs="Calibri"/>
            <w:color w:val="000000" w:themeColor="text1"/>
            <w:lang w:eastAsia="zh-CN"/>
          </w:rPr>
          <m:t>)</m:t>
        </m:r>
      </m:oMath>
      <w:r w:rsidRPr="00D541E6">
        <w:rPr>
          <w:rFonts w:ascii="Calibri" w:hAnsi="Calibri" w:cs="Calibri"/>
          <w:color w:val="000000" w:themeColor="text1"/>
          <w:lang w:eastAsia="zh-CN"/>
        </w:rPr>
        <w:t xml:space="preserve"> and </w:t>
      </w:r>
      <m:oMath>
        <m:sSub>
          <m:sSubPr>
            <m:ctrlPr>
              <w:rPr>
                <w:rFonts w:ascii="Cambria Math" w:hAnsi="Cambria Math" w:cs="Calibri"/>
                <w:i/>
                <w:color w:val="000000" w:themeColor="text1"/>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obs</m:t>
            </m:r>
          </m:sub>
        </m:sSub>
        <m:r>
          <w:rPr>
            <w:rFonts w:ascii="Cambria Math" w:hAnsi="Cambria Math" w:cs="Calibri"/>
            <w:color w:val="000000" w:themeColor="text1"/>
            <w:lang w:eastAsia="zh-CN"/>
          </w:rPr>
          <m:t>(</m:t>
        </m:r>
        <m:r>
          <m:rPr>
            <m:sty m:val="bi"/>
          </m:rPr>
          <w:rPr>
            <w:rFonts w:ascii="Cambria Math" w:hAnsi="Cambria Math" w:cs="Calibri"/>
            <w:color w:val="000000" w:themeColor="text1"/>
            <w:lang w:eastAsia="zh-CN"/>
          </w:rPr>
          <m:t>A</m:t>
        </m:r>
        <m:r>
          <w:rPr>
            <w:rFonts w:ascii="Cambria Math" w:hAnsi="Cambria Math" w:cs="Calibri"/>
            <w:color w:val="000000" w:themeColor="text1"/>
            <w:lang w:eastAsia="zh-CN"/>
          </w:rPr>
          <m:t>)</m:t>
        </m:r>
      </m:oMath>
      <w:r w:rsidRPr="00D541E6">
        <w:rPr>
          <w:rFonts w:ascii="Calibri" w:hAnsi="Calibri" w:cs="Calibri"/>
          <w:color w:val="000000" w:themeColor="text1"/>
          <w:lang w:eastAsia="zh-CN"/>
        </w:rPr>
        <w:t xml:space="preserve"> conditioned on a subset of covariates </w:t>
      </w:r>
      <m:oMath>
        <m:r>
          <w:rPr>
            <w:rFonts w:ascii="Cambria Math" w:hAnsi="Cambria Math" w:cs="Calibri"/>
            <w:color w:val="000000" w:themeColor="text1"/>
            <w:lang w:eastAsia="zh-CN"/>
          </w:rPr>
          <m:t>S⊂X</m:t>
        </m:r>
      </m:oMath>
      <w:r w:rsidRPr="00D541E6">
        <w:rPr>
          <w:rFonts w:ascii="Calibri" w:hAnsi="Calibri" w:cs="Calibri"/>
          <w:color w:val="000000" w:themeColor="text1"/>
          <w:lang w:eastAsia="zh-CN"/>
        </w:rPr>
        <w:t xml:space="preserve">. </w:t>
      </w:r>
    </w:p>
    <w:p w14:paraId="49B63181" w14:textId="3CAA9F2D"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lang w:eastAsia="zh-CN"/>
        </w:rPr>
        <w:t xml:space="preserve">All approaches discussed in this section are limited to a single intervention type and intervening at a single point in time. Approaches that directly apply the causal effects that have been estimated externally into CPMs assume that the estimated causal effects are generalisable to the population in which one wishes to apply the prediction model. Equally, combining individual data from both sources (i.e. the one-stage approach) ignored the issue of sample selection bias, which was highlighted in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lang w:eastAsia="zh-CN"/>
        </w:rPr>
        <w:instrText>ADDIN CSL_CITATION {"citationItems":[{"id":"ITEM-1","itemData":{"abstract":"Controlled interventions provide the most direct source of information for learning causal effects. In particular, a dose-response curve can be learned by varying the treatment level and observing the corresponding outcomes. However, interventions can be expensive and time-consuming. Observational data, where the treatment is not controlled by a known mechanism, is sometimes available. Under some strong assumptions, observational data allows for the estimation of dose-response curves. Estimating such curves nonparametrically is hard: sample sizes for controlled interventions may be small, while in the observational case a large number of measured confounders may need to be marginalized. In this paper, we introduce a hierarchical Gaussian process prior that constructs a distribution over the dose-response curve by learning from observational data, and reshapes the distribution with a nonparametric affine transform learned from controlled interventions. This function composition from different sources is shown to speed-up learning, which we demonstrate with a thorough sensitivity analysis and an application to modeling the effect of therapy on cognitive skills of premature infants. 1 Contribution We introduce a new solution to the problem of learning how an outcome variable Y varies under different levels of a control variable X that is manipulated. This is done by coupling different Gaussian process priors that combine observational and interventional data. The method outperforms estimates given by using only observational or only interventional data in a variety of scenarios and provides an alternative way of interpreting related methods in the design of computer experiments. Many problems in causal inference [14] consist of having a treatment variable X and and outcome Y , and estimating how Y varies as we control X at different levels. If we have data from a randomized controlled trial, where X and Y are not confounded, many standard modeling approaches can be used to learn the relationship between X and Y. If X and Y are measured in an observational study, the corresponding data can be used to estimate the association between X and Y , but this may not be the same as the causal relationship of these two variables because of possible confounders. To distinguish between the observational regime (where X is not controlled) and the interventional regime (where X is controlled), we adopt the causal graphical framework of [16] and [19]. In Figure 1 we illu…","author":[{"dropping-particle":"","family":"Silva","given":"Ricardo","non-dropping-particle":"","parse-names":false,"suffix":""}],"id":"ITEM-1","issued":{"date-parts":[["2016"]]},"publisher":"Advances in Neural Information Processing Systems 29 (NIPS 2016)","title":"Observational-Interventional Priors for Dose-Response Learning","type":"paper-conference"},"uris":["http://www.mendeley.com/documents/?uuid=872bfea0-2dc6-34a3-a7a8-dc02d5d66538"]}],"mendeley":{"formattedCitation":"(Silva, 2016)","plainTextFormattedCitation":"(Silva, 2016)","previouslyFormattedCitation":"(17)"},"properties":{"noteIndex":0},"schema":"https://github.com/citation-style-language/schema/raw/master/csl-citation.json"}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(Silva, 2016)</w:t>
      </w:r>
      <w:r w:rsidRPr="00D541E6">
        <w:rPr>
          <w:rFonts w:ascii="Calibri" w:hAnsi="Calibri" w:cs="Calibri"/>
          <w:color w:val="000000" w:themeColor="text1"/>
        </w:rPr>
        <w:fldChar w:fldCharType="end"/>
      </w:r>
      <w:r w:rsidRPr="00D541E6">
        <w:rPr>
          <w:rFonts w:ascii="Calibri" w:hAnsi="Calibri" w:cs="Calibri"/>
          <w:color w:val="000000" w:themeColor="text1"/>
        </w:rPr>
        <w:t xml:space="preserve">. Additionally, the one-stage approach </w:t>
      </w:r>
      <w:r w:rsidRPr="00D541E6">
        <w:rPr>
          <w:rFonts w:ascii="Calibri" w:hAnsi="Calibri" w:cs="Calibri"/>
          <w:color w:val="000000" w:themeColor="text1"/>
          <w:lang w:eastAsia="zh-CN"/>
        </w:rPr>
        <w:t xml:space="preserve">can </w:t>
      </w:r>
      <w:r w:rsidRPr="00D541E6">
        <w:rPr>
          <w:rFonts w:ascii="Calibri" w:hAnsi="Calibri" w:cs="Calibri"/>
          <w:color w:val="000000" w:themeColor="text1"/>
        </w:rPr>
        <w:t xml:space="preserve">become computationally intensive since the cost of computing the covariance matrix </w:t>
      </w:r>
      <m:oMath>
        <m:sSub>
          <m:sSubPr>
            <m:ctrlPr>
              <w:rPr>
                <w:rFonts w:ascii="Cambria Math" w:hAnsi="Cambria Math" w:cs="Calibri"/>
                <w:i/>
                <w:color w:val="000000" w:themeColor="text1"/>
              </w:rPr>
            </m:ctrlPr>
          </m:sSubPr>
          <m:e>
            <m:r>
              <w:rPr>
                <w:rFonts w:ascii="Cambria Math" w:hAnsi="Cambria Math" w:cs="Calibri"/>
                <w:color w:val="000000" w:themeColor="text1"/>
              </w:rPr>
              <m:t>K</m:t>
            </m:r>
          </m:e>
          <m:sub>
            <m:r>
              <w:rPr>
                <w:rFonts w:ascii="Cambria Math" w:hAnsi="Cambria Math" w:cs="Calibri"/>
                <w:color w:val="000000" w:themeColor="text1"/>
              </w:rPr>
              <m:t>obs</m:t>
            </m:r>
          </m:sub>
        </m:sSub>
      </m:oMath>
      <w:r w:rsidRPr="00D541E6">
        <w:rPr>
          <w:rFonts w:ascii="Calibri" w:hAnsi="Calibri" w:cs="Calibri"/>
          <w:color w:val="000000" w:themeColor="text1"/>
        </w:rPr>
        <w:t xml:space="preserve">, </w:t>
      </w:r>
      <m:oMath>
        <m:r>
          <m:rPr>
            <m:scr m:val="script"/>
          </m:rPr>
          <w:rPr>
            <w:rFonts w:ascii="Cambria Math" w:hAnsi="Cambria Math" w:cs="Calibri"/>
            <w:color w:val="000000" w:themeColor="text1"/>
          </w:rPr>
          <m:t>O(</m:t>
        </m:r>
        <m:sSup>
          <m:sSupPr>
            <m:ctrlPr>
              <w:rPr>
                <w:rFonts w:ascii="Cambria Math" w:hAnsi="Cambria Math" w:cs="Calibri"/>
                <w:i/>
                <w:color w:val="000000" w:themeColor="text1"/>
              </w:rPr>
            </m:ctrlPr>
          </m:sSupPr>
          <m:e>
            <m:r>
              <w:rPr>
                <w:rFonts w:ascii="Cambria Math" w:hAnsi="Cambria Math" w:cs="Calibri"/>
                <w:color w:val="000000" w:themeColor="text1"/>
              </w:rPr>
              <m:t>T</m:t>
            </m:r>
          </m:e>
          <m:sup>
            <m:r>
              <w:rPr>
                <w:rFonts w:ascii="Cambria Math" w:hAnsi="Cambria Math" w:cs="Calibri"/>
                <w:color w:val="000000" w:themeColor="text1"/>
              </w:rPr>
              <m:t>2</m:t>
            </m:r>
          </m:sup>
        </m:sSup>
        <m:sSup>
          <m:sSupPr>
            <m:ctrlPr>
              <w:rPr>
                <w:rFonts w:ascii="Cambria Math" w:hAnsi="Cambria Math" w:cs="Calibri"/>
                <w:i/>
                <w:color w:val="000000" w:themeColor="text1"/>
              </w:rPr>
            </m:ctrlPr>
          </m:sSupPr>
          <m:e>
            <m:r>
              <w:rPr>
                <w:rFonts w:ascii="Cambria Math" w:hAnsi="Cambria Math" w:cs="Calibri"/>
                <w:color w:val="000000" w:themeColor="text1"/>
              </w:rPr>
              <m:t>N</m:t>
            </m:r>
          </m:e>
          <m:sup>
            <m:r>
              <w:rPr>
                <w:rFonts w:ascii="Cambria Math" w:hAnsi="Cambria Math" w:cs="Calibri"/>
                <w:color w:val="000000" w:themeColor="text1"/>
              </w:rPr>
              <m:t>2</m:t>
            </m:r>
          </m:sup>
        </m:sSup>
        <m:r>
          <w:rPr>
            <w:rFonts w:ascii="Cambria Math" w:hAnsi="Cambria Math" w:cs="Calibri"/>
            <w:color w:val="000000" w:themeColor="text1"/>
          </w:rPr>
          <m:t>)</m:t>
        </m:r>
      </m:oMath>
      <w:r w:rsidRPr="00D541E6">
        <w:rPr>
          <w:rFonts w:ascii="Calibri" w:hAnsi="Calibri" w:cs="Calibri"/>
          <w:color w:val="000000" w:themeColor="text1"/>
        </w:rPr>
        <w:t xml:space="preserve">, is potentially high, </w:t>
      </w:r>
      <w:r w:rsidRPr="00D541E6">
        <w:rPr>
          <w:rFonts w:ascii="Calibri" w:hAnsi="Calibri" w:cs="Calibri"/>
          <w:color w:val="000000" w:themeColor="text1"/>
          <w:lang w:eastAsia="zh-CN"/>
        </w:rPr>
        <w:t>as</w:t>
      </w:r>
      <w:r w:rsidRPr="00D541E6">
        <w:rPr>
          <w:rFonts w:ascii="Calibri" w:hAnsi="Calibri" w:cs="Calibri"/>
          <w:color w:val="000000" w:themeColor="text1"/>
        </w:rPr>
        <w:t xml:space="preserve"> the size of the observational data (</w:t>
      </w:r>
      <m:oMath>
        <m:r>
          <w:rPr>
            <w:rFonts w:ascii="Cambria Math" w:hAnsi="Cambria Math" w:cs="Calibri"/>
            <w:color w:val="000000" w:themeColor="text1"/>
          </w:rPr>
          <m:t>N</m:t>
        </m:r>
      </m:oMath>
      <w:r w:rsidRPr="00D541E6">
        <w:rPr>
          <w:rFonts w:ascii="Calibri" w:hAnsi="Calibri" w:cs="Calibri"/>
          <w:color w:val="000000" w:themeColor="text1"/>
        </w:rPr>
        <w:t>) and number of treatment levels (</w:t>
      </w:r>
      <m:oMath>
        <m:r>
          <w:rPr>
            <w:rFonts w:ascii="Cambria Math" w:hAnsi="Cambria Math" w:cs="Calibri"/>
            <w:color w:val="000000" w:themeColor="text1"/>
          </w:rPr>
          <m:t>T</m:t>
        </m:r>
      </m:oMath>
      <w:r w:rsidRPr="00D541E6">
        <w:rPr>
          <w:rFonts w:ascii="Calibri" w:hAnsi="Calibri" w:cs="Calibri"/>
          <w:color w:val="000000" w:themeColor="text1"/>
        </w:rPr>
        <w:t xml:space="preserve">) increases. </w:t>
      </w:r>
    </w:p>
    <w:p w14:paraId="6D95EF09" w14:textId="624BCCE2" w:rsidR="00D26A9D" w:rsidRPr="00D541E6" w:rsidRDefault="00F40810" w:rsidP="00F40810">
      <w:pPr>
        <w:pStyle w:val="Heading2"/>
        <w:rPr>
          <w:rFonts w:ascii="Calibri" w:hAnsi="Calibri" w:cs="Calibri"/>
          <w:i/>
        </w:rPr>
      </w:pPr>
      <w:r>
        <w:t xml:space="preserve">E.2 </w:t>
      </w:r>
      <w:r w:rsidR="00D26A9D" w:rsidRPr="00D541E6">
        <w:t>Estimating both a prediction model and causal effects from observational data</w:t>
      </w:r>
      <w:r w:rsidR="00D26A9D" w:rsidRPr="00D541E6">
        <w:rPr>
          <w:rFonts w:ascii="Calibri" w:hAnsi="Calibri" w:cs="Calibri"/>
          <w:i/>
        </w:rPr>
        <w:t xml:space="preserve"> </w:t>
      </w:r>
    </w:p>
    <w:p w14:paraId="2C002FEC" w14:textId="65FF9BDA" w:rsidR="00D26A9D" w:rsidRPr="00D541E6" w:rsidRDefault="00D26A9D" w:rsidP="00D26A9D">
      <w:pPr>
        <w:autoSpaceDE w:val="0"/>
        <w:autoSpaceDN w:val="0"/>
        <w:adjustRightInd w:val="0"/>
        <w:spacing w:after="240" w:line="276" w:lineRule="auto"/>
        <w:rPr>
          <w:rFonts w:asciiTheme="majorHAnsi" w:hAnsiTheme="majorHAnsi" w:cs="Arial"/>
          <w:b/>
          <w:bCs/>
          <w:color w:val="000000" w:themeColor="text1"/>
        </w:rPr>
      </w:pPr>
      <w:r w:rsidRPr="00D541E6">
        <w:rPr>
          <w:rFonts w:ascii="Calibri" w:hAnsi="Calibri" w:cs="Calibri"/>
          <w:color w:val="000000" w:themeColor="text1"/>
        </w:rPr>
        <w:t xml:space="preserve">A total of 9 papers discussed modelling counterfactual predictions entirely from observational data. Approaches from these papers can </w:t>
      </w:r>
      <w:r w:rsidRPr="00D541E6">
        <w:rPr>
          <w:rFonts w:ascii="Calibri" w:hAnsi="Calibri" w:cs="Calibri"/>
          <w:color w:val="000000" w:themeColor="text1"/>
          <w:lang w:eastAsia="zh-CN"/>
        </w:rPr>
        <w:t xml:space="preserve">be further divided into two categories: (1) methods considering only one intervention at a single time point </w:t>
      </w:r>
      <w:r w:rsidRPr="00D541E6">
        <w:rPr>
          <w:rFonts w:ascii="Calibri" w:hAnsi="Calibri" w:cs="Calibri"/>
          <w:color w:val="000000" w:themeColor="text1"/>
          <w:lang w:eastAsia="zh-CN"/>
        </w:rPr>
        <w:fldChar w:fldCharType="begin" w:fldLock="1"/>
      </w:r>
      <w:r w:rsidR="009B218D" w:rsidRPr="00D541E6">
        <w:rPr>
          <w:rFonts w:ascii="Calibri" w:hAnsi="Calibri" w:cs="Calibri"/>
          <w:color w:val="000000" w:themeColor="text1"/>
          <w:lang w:eastAsia="zh-CN"/>
        </w:rPr>
        <w:instrText>ADDIN CSL_CITATION {"citationItems":[{"id":"ITEM-1","itemData":{"DOI":"10.1038/s41746-019-0194-x","abstract":"Deep learning has shown remarkable results for image analysis and is expected to aid individual treatment decisions in health care. Treatment recommendations are predictions with an inherently causal interpretation. To use deep learning for these applications in the setting of observational data, deep learning methods must be made compatible with the required causal assumptions. We present a scenario with real-world medical images (CT-scans of lung cancer) and simulated outcome data. Through the data simulation scheme, the images contain two distinct factors of variation that are associated with survival, but represent a collider (tumor size) and a prognostic factor (tumor heterogeneity), respectively. When a deep network would use all the information available in the image to predict survival, it would condition on the collider and thereby introduce bias in the estimation of the treatment effect. We show that when this collider can be quantified, unbiased individual prognosis predictions are attainable with deep learning. This is achieved by (1) setting a dual task for the network to predict both the outcome and the collider and (2) enforcing a form of linear independence of the activation distributions of the last layer. Our method provides an example of combining deep learning and structural causal models to achieve unbiased individual prognosis predictions. Extensions of machine learning methods for applications to causal questions are required to attain the long-standing goal of personalized medicine supported by artificial intelligence.","author":[{"dropping-particle":"","family":"Amsterdam","given":"W. A. C.","non-dropping-particle":"van","parse-names":false,"suffix":""},{"dropping-particle":"","family":"Verhoeff","given":"J. J. C.","non-dropping-particle":"","parse-names":false,"suffix":""},{"dropping-particle":"","family":"Jong","given":"P. A.","non-dropping-particle":"de","parse-names":false,"suffix":""},{"dropping-particle":"","family":"Leiner","given":"T.","non-dropping-particle":"","parse-names":false,"suffix":""},{"dropping-particle":"","family":"Eijkemans","given":"M. J. C.","non-dropping-particle":"","parse-names":false,"suffix":""}],"container-title":"npj Digital Medicine","id":"ITEM-1","issue":"1","issued":{"date-parts":[["2019","12","10"]]},"page":"1-6","publisher":"Springer Science and Business Media LLC","title":"Eliminating biasing signals in lung cancer images for prognosis predictions with deep learning","type":"article-journal","volume":"2"},"uris":["http://www.mendeley.com/documents/?uuid=903e39cc-4da0-3474-977a-aeeb859d7614"]},{"id":"ITEM-2","itemData":{"abstract":"Predicated on the increasing abundance of electronic health records, we investigate the problem of inferring individualized treatment effects using observational data. Stemming from the potential outcomes model, we propose a novel multi-task learning framework in which factual and counterfactual outcomes are mod-eled as the outputs of a function in a vector-valued reproducing kernel Hilbert space (vvRKHS). We develop a nonparametric Bayesian method for learning the treatment effects using a multi-task Gaussian process (GP) with a linear coregion-alization kernel as a prior over the vvRKHS. The Bayesian approach allows us to compute individualized measures of confidence in our estimates via pointwise credible intervals, which are crucial for realizing the full potential of precision medicine. The impact of selection bias is alleviated via a risk-based empirical Bayes method for adapting the multi-task GP prior, which jointly minimizes the empirical error in factual outcomes and the uncertainty in (unobserved) counter-factual outcomes. We conduct experiments on observational datasets for an inter-ventional social program applied to premature infants, and a left ventricular assist device applied to cardiac patients wait-listed for a heart transplant. In both experiments , we show that our method significantly outperforms the state-of-the-art.","author":[{"dropping-particle":"","family":"Alaa","given":"Ahmed M","non-dropping-particle":"","parse-names":false,"suffix":""},{"dropping-particle":"","family":"Schaar","given":"Mihaela","non-dropping-particle":"van der","parse-names":false,"suffix":""}],"container-title":"Advances in Neural Information Processing Systems 30 (NIPS 2017)","id":"ITEM-2","issued":{"date-parts":[["2017"]]},"title":"Bayesian Inference of Individualized Treatment Effects using Multi-task Gaussian Processes","type":"paper-conference"},"uris":["http://www.mendeley.com/documents/?uuid=170d58c1-a6c7-30f9-9d40-38ef57477193"]},{"id":"ITEM-3","itemData":{"DOI":"10.1007/s12561-013-9101-1","ISSN":"18671772","abstract":"The purpose of this paper is to illustrate the important but often neglected role which time has in the statistical treatment of causal problems. Another motivation is to provide a demonstration of how the tools offered by Bayesian modeling and inference, which likewise seem to have largely been ignored in the mainstream statistical literature on causality, can be usefully applied in this context. To offer a concrete example, I consider a particular problem, exploring the effect which the type of day care appears to have on the incidence of acute middle ear infections in small children. Existing epidemiological knowledge is used in setting up a stochastic model, which is formulated in terms of a suitably defined marked point process and applying non-parametric specification of model components where such prior knowledge seems vague. In this context, the important role of the concept of local independence is stressed. A combination of Bayesian inferential methods and an application of MCMC sampling in the numerical work are then shown to lead to immediately useful and understandable quantitative results, formulated in terms of predictive distributions of future observables. The approach adopted here differs in several respects from those currently considered standard in causal modeling and inference. The paper ends with some conclusions of a general nature.","author":[{"dropping-particle":"","family":"Arjas","given":"Elja","non-dropping-particle":"","parse-names":false,"suffix":""}],"container-title":"Statistics in Biosciences","id":"ITEM-3","issue":"2","issued":{"date-parts":[["2014","11","27"]]},"page":"189-203","publisher":"Springer New York LLC","title":"Time to Consider Time, and Time to Predict?","type":"article-journal","volume":"6"},"uris":["http://www.mendeley.com/documents/?uuid=7eefaeb7-9cae-3cb3-80b3-ce38dccedeb2"]}],"mendeley":{"formattedCitation":"(Alaa &amp; van der Schaar, 2017; Arjas, 2014; van Amsterdam, Verhoeff, de Jong, Leiner, &amp; Eijkemans, 2019)","plainTextFormattedCitation":"(Alaa &amp; van der Schaar, 2017; Arjas, 2014; van Amsterdam, Verhoeff, de Jong, Leiner, &amp; Eijkemans, 2019)","previouslyFormattedCitation":"(18–20)"},"properties":{"noteIndex":0},"schema":"https://github.com/citation-style-language/schema/raw/master/csl-citation.json"}</w:instrText>
      </w:r>
      <w:r w:rsidRPr="00D541E6">
        <w:rPr>
          <w:rFonts w:ascii="Calibri" w:hAnsi="Calibri" w:cs="Calibri"/>
          <w:color w:val="000000" w:themeColor="text1"/>
          <w:lang w:eastAsia="zh-CN"/>
        </w:rPr>
        <w:fldChar w:fldCharType="separate"/>
      </w:r>
      <w:r w:rsidR="009B218D" w:rsidRPr="00D541E6">
        <w:rPr>
          <w:rFonts w:ascii="Calibri" w:hAnsi="Calibri" w:cs="Calibri"/>
          <w:noProof/>
          <w:color w:val="000000" w:themeColor="text1"/>
          <w:lang w:eastAsia="zh-CN"/>
        </w:rPr>
        <w:t>(Alaa &amp; van der Schaar, 2017; Arjas, 2014; van Amsterdam, Verhoeff, de Jong, Leiner, &amp; Eijkemans, 2019)</w:t>
      </w:r>
      <w:r w:rsidRPr="00D541E6">
        <w:rPr>
          <w:rFonts w:ascii="Calibri" w:hAnsi="Calibri" w:cs="Calibri"/>
          <w:color w:val="000000" w:themeColor="text1"/>
          <w:lang w:eastAsia="zh-CN"/>
        </w:rPr>
        <w:fldChar w:fldCharType="end"/>
      </w:r>
      <w:r w:rsidRPr="00D541E6">
        <w:rPr>
          <w:rFonts w:ascii="Calibri" w:hAnsi="Calibri" w:cs="Calibri"/>
          <w:color w:val="000000" w:themeColor="text1"/>
          <w:lang w:eastAsia="zh-CN"/>
        </w:rPr>
        <w:t xml:space="preserve">, as discussed in the following section </w:t>
      </w:r>
      <w:r w:rsidR="008B4CFF">
        <w:rPr>
          <w:rFonts w:ascii="Calibri" w:hAnsi="Calibri" w:cs="Calibri"/>
          <w:color w:val="000000" w:themeColor="text1"/>
          <w:lang w:eastAsia="zh-CN"/>
        </w:rPr>
        <w:t>E</w:t>
      </w:r>
      <w:r w:rsidRPr="00D541E6">
        <w:rPr>
          <w:rFonts w:ascii="Calibri" w:hAnsi="Calibri" w:cs="Calibri"/>
          <w:color w:val="000000" w:themeColor="text1"/>
          <w:lang w:eastAsia="zh-CN"/>
        </w:rPr>
        <w:t xml:space="preserve">.2.1, </w:t>
      </w:r>
      <w:r w:rsidRPr="00D541E6">
        <w:rPr>
          <w:rFonts w:asciiTheme="majorHAnsi" w:hAnsiTheme="majorHAnsi" w:cs="Arial"/>
          <w:bCs/>
          <w:color w:val="000000" w:themeColor="text1"/>
          <w:lang w:eastAsia="zh-CN"/>
        </w:rPr>
        <w:t xml:space="preserve">and (2) methods allowing </w:t>
      </w:r>
      <w:r w:rsidRPr="00D541E6">
        <w:rPr>
          <w:rFonts w:ascii="Calibri" w:hAnsi="Calibri" w:cs="Calibri"/>
          <w:color w:val="000000" w:themeColor="text1"/>
          <w:lang w:eastAsia="zh-CN"/>
        </w:rPr>
        <w:t xml:space="preserve">time-dependent interventions </w:t>
      </w:r>
      <w:r w:rsidRPr="00D541E6">
        <w:rPr>
          <w:rFonts w:ascii="Calibri" w:hAnsi="Calibri" w:cs="Calibri"/>
          <w:color w:val="000000" w:themeColor="text1"/>
          <w:lang w:eastAsia="zh-CN"/>
        </w:rPr>
        <w:fldChar w:fldCharType="begin" w:fldLock="1"/>
      </w:r>
      <w:r w:rsidR="009B218D" w:rsidRPr="00D541E6">
        <w:rPr>
          <w:rFonts w:ascii="Calibri" w:hAnsi="Calibri" w:cs="Calibri"/>
          <w:color w:val="000000" w:themeColor="text1"/>
          <w:lang w:eastAsia="zh-CN"/>
        </w:rPr>
        <w:instrText>ADDIN CSL_CITATION {"citationItems":[{"id":"ITEM-1","itemData":{"DOI":"10.1002/sim.7913","ISSN":"02776715","author":[{"dropping-particle":"","family":"Sperrin","given":"Matthew","non-dropping-particle":"","parse-names":false,"suffix":""},{"dropping-particle":"","family":"Martin","given":"Glen P.","non-dropping-particle":"","parse-names":false,"suffix":""},{"dropping-particle":"","family":"Pate","given":"Alexander","non-dropping-particle":"","parse-names":false,"suffix":""},{"dropping-particle":"","family":"Staa","given":"Tjeerd","non-dropping-particle":"Van","parse-names":false,"suffix":""},{"dropping-particle":"","family":"Peek","given":"Niels","non-dropping-particle":"","parse-names":false,"suffix":""},{"dropping-particle":"","family":"Buchan","given":"Iain","non-dropping-particle":"","parse-names":false,"suffix":""}],"container-title":"Statistics in Medicine","id":"ITEM-1","issue":"28","issued":{"date-parts":[["2018","12","10"]]},"page":"4142-4154","publisher":"John Wiley &amp; Sons, Ltd","title":"Using marginal structural models to adjust for treatment drop-in when developing clinical prediction models","type":"article-journal","volume":"37"},"uris":["http://www.mendeley.com/documents/?uuid=088dc762-1b56-3e78-b915-2209b460fad7"]},{"id":"ITEM-2","itemData":{"author":[{"dropping-particle":"","family":"Lim","given":"Bryan","non-dropping-particle":"","parse-names":false,"suffix":""}],"container-title":"32nd Conference on Neural Information Processing Systems (NeurIPS 2018)","id":"ITEM-2","issued":{"date-parts":[["2018"]]},"page":"7494-7504","title":"Forecasting Treatment Responses Over Time Using Recurrent Marginal Structural Networks","type":"paper-conference"},"uris":["http://www.mendeley.com/documents/?uuid=374c2d1c-d9f6-33b7-9cc5-77da8e7e7217"]},{"id":"ITEM-3","itemData":{"abstract":"Identifying when to give treatments to patients and how to select among multiple treatments over time are important medical problems with a few existing solutions. In this paper, we introduce the Counterfactual Recurrent Network (CRN), a novel sequence-to-sequence model that leverages the increasingly available patient observational data to estimate treatment effects over time and answer such medical questions. To handle the bias from time-varying confounders, covariates affecting the treatment assignment policy in the observational data, CRN uses domain adversarial training to build balancing representations of the patient history. At each timestep, CRN constructs a treatment invariant representation which removes the association between patient history and treatment assignments and thus can be reliably used for making counterfactual predictions. On a simulated model of tumour growth, with varying degree of time-dependent confounding, we show how our model achieves lower error in estimating counterfactuals and in choosing the correct treatment and timing of treatment than current state-of-the-art methods.","author":[{"dropping-particle":"","family":"Bica","given":"Ioana","non-dropping-particle":"","parse-names":false,"suffix":""},{"dropping-particle":"","family":"Alaa","given":"Ahmed M.","non-dropping-particle":"","parse-names":false,"suffix":""},{"dropping-particle":"","family":"Jordon","given":"James","non-dropping-particle":"","parse-names":false,"suffix":""},{"dropping-particle":"","family":"Schaar","given":"Mihaela","non-dropping-particle":"van der","parse-names":false,"suffix":""}],"container-title":"8th International Conference on Learning Representations (ICLR)","id":"ITEM-3","issued":{"date-parts":[["2020","2"]]},"title":"Estimating Counterfactual Treatment Outcomes over Time Through Adversarially Balanced Representations","type":"paper-conference"},"uris":["http://www.mendeley.com/documents/?uuid=3fa93962-4bfa-30e3-ad6b-628442121dbb"]},{"id":"ITEM-4","itemData":{"abstract":"We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-4","issued":{"date-parts":[["2016","12","10"]]},"page":"282-300","publisher":"PMLR","title":"A Bayesian Nonparametric Approach for Estimating Individualized Treatment-Response Curves","type":"paper-conference"},"uris":["http://www.mendeley.com/documents/?uuid=2c4096bd-da51-4548-a129-fac3b6b32f16"]},{"id":"ITEM-5","itemData":{"abstract":"Treatment effects can be estimated from observational data as the difference in potential outcomes. In this paper, we address the challenge of estimating the potential outcome when treatment-dose levels can vary continuously over time. Further, the outcome variable may not be measured at a regular frequency. Our proposed solution represents the treatment response curves using linear time-invariant dynamical systems-this provides a flexible means for modeling response over time to highly variable dose curves. Moreover, for multivariate data, the proposed method: uncovers shared structure in treatment response and the baseline across multiple markers; and, flexibly models challenging correlation structure both across and within signals over time. For this, we build upon the framework of multiple-output Gaussian Processes. On simulated and a challenging clinical dataset, we show significant gains in accuracy over stateof- the-art models.","author":[{"dropping-particle":"","family":"Soleimani","given":"Hossein","non-dropping-particle":"","parse-names":false,"suffix":""},{"dropping-particle":"","family":"Subbaswamy","given":"Adarsh","non-dropping-particle":"","parse-names":false,"suffix":""},{"dropping-particle":"","family":"Saria","given":"Suchi","non-dropping-particle":"","parse-names":false,"suffix":""}],"container-title":"the 33rd Conference on Uncertainty in Artificial Intelligence (UAI)","id":"ITEM-5","issued":{"date-parts":[["2017"]]},"title":"Treatment-response models for counterfactual reasoning with continuous-time, continuous-valued interventions","type":"paper-conference"},"uris":["http://www.mendeley.com/documents/?uuid=e9654f68-bd98-343c-822e-399f63b28396"]},{"id":"ITEM-6","itemData":{"author":[{"dropping-particle":"","family":"Schulam","given":"Peter","non-dropping-particle":"","parse-names":false,"suffix":""},{"dropping-particle":"","family":"Saria","given":"Suchi","non-dropping-particle":"","parse-names":false,"suffix":""}],"container-title":"Advances in Neural Information Processing Systems 30 (NIPS 2017)","id":"ITEM-6","issued":{"date-parts":[["2017"]]},"page":"1697-1708","title":"Reliable Decision Support using Counterfactual Models","type":"paper-conference"},"uris":["http://www.mendeley.com/documents/?uuid=77abbf3a-8412-3779-b23e-c0cd21f6a2fe"]}],"mendeley":{"formattedCitation":"(Bica, Alaa, Jordon, &amp; van der Schaar, 2020; Lim, 2018; Schulam &amp; Saria, 2017; Soleimani, Subbaswamy, &amp; Saria, 2017; Sperrin et al., 2018; Xu, Xu, &amp; Saria, 2016)","plainTextFormattedCitation":"(Bica, Alaa, Jordon, &amp; van der Schaar, 2020; Lim, 2018; Schulam &amp; Saria, 2017; Soleimani, Subbaswamy, &amp; Saria, 2017; Sperrin et al., 2018; Xu, Xu, &amp; Saria, 2016)","previouslyFormattedCitation":"(21–26)"},"properties":{"noteIndex":0},"schema":"https://github.com/citation-style-language/schema/raw/master/csl-citation.json"}</w:instrText>
      </w:r>
      <w:r w:rsidRPr="00D541E6">
        <w:rPr>
          <w:rFonts w:ascii="Calibri" w:hAnsi="Calibri" w:cs="Calibri"/>
          <w:color w:val="000000" w:themeColor="text1"/>
          <w:lang w:eastAsia="zh-CN"/>
        </w:rPr>
        <w:fldChar w:fldCharType="separate"/>
      </w:r>
      <w:r w:rsidR="009B218D" w:rsidRPr="00D541E6">
        <w:rPr>
          <w:rFonts w:ascii="Calibri" w:hAnsi="Calibri" w:cs="Calibri"/>
          <w:noProof/>
          <w:color w:val="000000" w:themeColor="text1"/>
          <w:lang w:eastAsia="zh-CN"/>
        </w:rPr>
        <w:t>(Bica, Alaa, Jordon, &amp; van der Schaar, 2020; Lim, 2018; Schulam &amp; Saria, 2017; Soleimani, Subbaswamy, &amp; Saria, 2017; Sperrin et al., 2018; Xu, Xu, &amp; Saria, 2016)</w:t>
      </w:r>
      <w:r w:rsidRPr="00D541E6">
        <w:rPr>
          <w:rFonts w:ascii="Calibri" w:hAnsi="Calibri" w:cs="Calibri"/>
          <w:color w:val="000000" w:themeColor="text1"/>
          <w:lang w:eastAsia="zh-CN"/>
        </w:rPr>
        <w:fldChar w:fldCharType="end"/>
      </w:r>
      <w:r w:rsidRPr="00D541E6">
        <w:rPr>
          <w:rFonts w:ascii="Calibri" w:hAnsi="Calibri" w:cs="Calibri"/>
          <w:color w:val="000000" w:themeColor="text1"/>
          <w:lang w:eastAsia="zh-CN"/>
        </w:rPr>
        <w:t xml:space="preserve">, as discussed in section </w:t>
      </w:r>
      <w:r w:rsidR="008B4CFF">
        <w:rPr>
          <w:rFonts w:ascii="Calibri" w:hAnsi="Calibri" w:cs="Calibri"/>
          <w:color w:val="000000" w:themeColor="text1"/>
          <w:lang w:eastAsia="zh-CN"/>
        </w:rPr>
        <w:t>E</w:t>
      </w:r>
      <w:r w:rsidRPr="00D541E6">
        <w:rPr>
          <w:rFonts w:ascii="Calibri" w:hAnsi="Calibri" w:cs="Calibri"/>
          <w:color w:val="000000" w:themeColor="text1"/>
          <w:lang w:eastAsia="zh-CN"/>
        </w:rPr>
        <w:t>.2.2. Throughout the rest of this paper, we will use the following notations to illustrate the methods covered.</w:t>
      </w:r>
    </w:p>
    <w:p w14:paraId="1E3B29C2" w14:textId="77777777" w:rsidR="00D26A9D" w:rsidRPr="00D541E6" w:rsidRDefault="00D26A9D" w:rsidP="00707864">
      <w:pPr>
        <w:pStyle w:val="Heading5"/>
      </w:pPr>
      <w:r w:rsidRPr="00D541E6">
        <w:t>Notations</w:t>
      </w:r>
    </w:p>
    <w:p w14:paraId="5EBDB3B8"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lang w:eastAsia="zh-CN"/>
        </w:rPr>
      </w:pPr>
      <w:r w:rsidRPr="00D541E6">
        <w:rPr>
          <w:rFonts w:ascii="Calibri" w:hAnsi="Calibri" w:cs="Calibri"/>
          <w:color w:val="000000" w:themeColor="text1"/>
        </w:rPr>
        <w:t xml:space="preserve">For sequential outcomes and longitudinal data settings, we have repeated observations of outcome </w:t>
      </w:r>
      <m:oMath>
        <m:sSub>
          <m:sSubPr>
            <m:ctrlPr>
              <w:rPr>
                <w:rFonts w:ascii="Cambria Math" w:hAnsi="Cambria Math" w:cs="Arial"/>
                <w:b/>
                <w:i/>
                <w:color w:val="000000" w:themeColor="text1"/>
              </w:rPr>
            </m:ctrlPr>
          </m:sSubPr>
          <m:e>
            <m:r>
              <m:rPr>
                <m:sty m:val="bi"/>
              </m:rPr>
              <w:rPr>
                <w:rFonts w:ascii="Cambria Math" w:hAnsi="Cambria Math" w:cs="Arial"/>
                <w:color w:val="000000" w:themeColor="text1"/>
              </w:rPr>
              <m:t>Y</m:t>
            </m:r>
          </m:e>
          <m:sub>
            <m:r>
              <m:rPr>
                <m:sty m:val="bi"/>
              </m:rPr>
              <w:rPr>
                <w:rFonts w:ascii="Cambria Math" w:hAnsi="Cambria Math" w:cs="Arial"/>
                <w:color w:val="000000" w:themeColor="text1"/>
              </w:rPr>
              <m:t>i</m:t>
            </m:r>
          </m:sub>
        </m:sSub>
        <m:r>
          <w:rPr>
            <w:rFonts w:ascii="Cambria Math" w:hAnsi="Cambria Math" w:cs="Arial"/>
            <w:color w:val="000000" w:themeColor="text1"/>
          </w:rPr>
          <m:t>=</m:t>
        </m:r>
        <m:r>
          <m:rPr>
            <m:lit/>
          </m:rP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ij</m:t>
            </m:r>
          </m:sub>
        </m:sSub>
        <m:r>
          <w:rPr>
            <w:rFonts w:ascii="Cambria Math" w:hAnsi="Cambria Math" w:cs="Arial"/>
            <w:color w:val="000000" w:themeColor="text1"/>
          </w:rPr>
          <m:t xml:space="preserve">: j=1, …, </m:t>
        </m:r>
        <m:sSub>
          <m:sSubPr>
            <m:ctrlPr>
              <w:rPr>
                <w:rFonts w:ascii="Cambria Math" w:hAnsi="Cambria Math" w:cs="Arial"/>
                <w:i/>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i</m:t>
            </m:r>
          </m:sub>
        </m:sSub>
        <m:r>
          <m:rPr>
            <m:lit/>
          </m:rPr>
          <w:rPr>
            <w:rFonts w:ascii="Cambria Math" w:hAnsi="Cambria Math" w:cs="Arial"/>
            <w:color w:val="000000" w:themeColor="text1"/>
          </w:rPr>
          <m:t>}</m:t>
        </m:r>
      </m:oMath>
      <w:r w:rsidRPr="00D541E6">
        <w:rPr>
          <w:rFonts w:ascii="Calibri" w:hAnsi="Calibri" w:cs="Calibri"/>
          <w:color w:val="000000" w:themeColor="text1"/>
        </w:rPr>
        <w:t xml:space="preserve"> from the</w:t>
      </w:r>
      <m:oMath>
        <m:r>
          <w:rPr>
            <w:rFonts w:ascii="Cambria Math" w:hAnsi="Cambria Math" w:cs="Calibri"/>
            <w:color w:val="000000" w:themeColor="text1"/>
          </w:rPr>
          <m:t xml:space="preserve"> </m:t>
        </m:r>
        <m:r>
          <w:rPr>
            <w:rFonts w:ascii="Cambria Math" w:hAnsi="Cambria Math" w:cs="Arial"/>
            <w:color w:val="000000" w:themeColor="text1"/>
          </w:rPr>
          <m:t>i</m:t>
        </m:r>
      </m:oMath>
      <w:r w:rsidRPr="00D541E6">
        <w:rPr>
          <w:rFonts w:ascii="Calibri" w:hAnsi="Calibri" w:cs="Calibri"/>
          <w:color w:val="000000" w:themeColor="text1"/>
        </w:rPr>
        <w:t xml:space="preserve">th individual at (not </w:t>
      </w:r>
      <w:r w:rsidRPr="00D541E6">
        <w:rPr>
          <w:rFonts w:ascii="Calibri" w:hAnsi="Calibri" w:cs="Calibri"/>
          <w:color w:val="000000" w:themeColor="text1"/>
        </w:rPr>
        <w:lastRenderedPageBreak/>
        <w:t xml:space="preserve">necessarily regularly-sampled) times </w:t>
      </w:r>
      <m:oMath>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t</m:t>
            </m:r>
          </m:e>
          <m:sub>
            <m:r>
              <w:rPr>
                <w:rFonts w:ascii="Cambria Math" w:hAnsi="Cambria Math" w:cs="Arial"/>
                <w:color w:val="000000" w:themeColor="text1"/>
              </w:rPr>
              <m:t>i1</m:t>
            </m:r>
          </m:sub>
        </m:sSub>
        <m:r>
          <w:rPr>
            <w:rFonts w:ascii="Cambria Math" w:hAnsi="Cambria Math" w:cs="Arial"/>
            <w:color w:val="000000" w:themeColor="text1"/>
          </w:rPr>
          <m:t xml:space="preserve">,…, </m:t>
        </m:r>
        <m:sSub>
          <m:sSubPr>
            <m:ctrlPr>
              <w:rPr>
                <w:rFonts w:ascii="Cambria Math" w:hAnsi="Cambria Math" w:cs="Arial"/>
                <w:i/>
                <w:color w:val="000000" w:themeColor="text1"/>
              </w:rPr>
            </m:ctrlPr>
          </m:sSubPr>
          <m:e>
            <m:r>
              <w:rPr>
                <w:rFonts w:ascii="Cambria Math" w:hAnsi="Cambria Math" w:cs="Arial"/>
                <w:color w:val="000000" w:themeColor="text1"/>
              </w:rPr>
              <m:t>t</m:t>
            </m:r>
          </m:e>
          <m:sub>
            <m:r>
              <w:rPr>
                <w:rFonts w:ascii="Cambria Math" w:hAnsi="Cambria Math" w:cs="Arial"/>
                <w:color w:val="000000" w:themeColor="text1"/>
              </w:rPr>
              <m:t>i</m:t>
            </m:r>
            <m:sSub>
              <m:sSubPr>
                <m:ctrlPr>
                  <w:rPr>
                    <w:rFonts w:ascii="Cambria Math" w:hAnsi="Cambria Math" w:cs="Arial"/>
                    <w:i/>
                    <w:color w:val="000000" w:themeColor="text1"/>
                  </w:rPr>
                </m:ctrlPr>
              </m:sSubPr>
              <m:e>
                <m:r>
                  <w:rPr>
                    <w:rFonts w:ascii="Cambria Math" w:hAnsi="Cambria Math" w:cs="Arial"/>
                    <w:color w:val="000000" w:themeColor="text1"/>
                  </w:rPr>
                  <m:t>J</m:t>
                </m:r>
              </m:e>
              <m:sub>
                <m:r>
                  <w:rPr>
                    <w:rFonts w:ascii="Cambria Math" w:hAnsi="Cambria Math" w:cs="Arial"/>
                    <w:color w:val="000000" w:themeColor="text1"/>
                  </w:rPr>
                  <m:t>i</m:t>
                </m:r>
              </m:sub>
            </m:sSub>
          </m:sub>
        </m:sSub>
        <m:r>
          <w:rPr>
            <w:rFonts w:ascii="Cambria Math" w:hAnsi="Cambria Math" w:cs="Arial"/>
            <w:color w:val="000000" w:themeColor="text1"/>
          </w:rPr>
          <m:t>}</m:t>
        </m:r>
      </m:oMath>
      <w:r w:rsidRPr="00D541E6">
        <w:rPr>
          <w:rFonts w:ascii="Calibri" w:hAnsi="Calibri" w:cs="Calibri"/>
          <w:color w:val="000000" w:themeColor="text1"/>
        </w:rPr>
        <w:t xml:space="preserve">. The outcome </w:t>
      </w:r>
      <m:oMath>
        <m:sSub>
          <m:sSubPr>
            <m:ctrlPr>
              <w:rPr>
                <w:rFonts w:ascii="Cambria Math" w:hAnsi="Cambria Math" w:cs="Arial"/>
                <w:i/>
                <w:color w:val="000000" w:themeColor="text1"/>
              </w:rPr>
            </m:ctrlPr>
          </m:sSubPr>
          <m:e>
            <m:r>
              <w:rPr>
                <w:rFonts w:ascii="Cambria Math" w:hAnsi="Cambria Math" w:cs="Arial"/>
                <w:color w:val="000000" w:themeColor="text1"/>
              </w:rPr>
              <m:t>Y</m:t>
            </m:r>
          </m:e>
          <m:sub>
            <m:r>
              <w:rPr>
                <w:rFonts w:ascii="Cambria Math" w:hAnsi="Cambria Math" w:cs="Arial"/>
                <w:color w:val="000000" w:themeColor="text1"/>
              </w:rPr>
              <m:t>ij</m:t>
            </m:r>
          </m:sub>
        </m:sSub>
      </m:oMath>
      <w:r w:rsidRPr="00D541E6">
        <w:rPr>
          <w:rFonts w:ascii="Calibri" w:hAnsi="Calibri" w:cs="Calibri"/>
          <w:color w:val="000000" w:themeColor="text1"/>
        </w:rPr>
        <w:t xml:space="preserve"> can be any data type (binary, continuous, time-to-event, count data, etc.). In addition, we have </w:t>
      </w:r>
      <m:oMath>
        <m:sSub>
          <m:sSubPr>
            <m:ctrlPr>
              <w:rPr>
                <w:rFonts w:ascii="Cambria Math" w:hAnsi="Cambria Math" w:cs="Arial"/>
                <w:b/>
                <w:i/>
                <w:color w:val="000000" w:themeColor="text1"/>
              </w:rPr>
            </m:ctrlPr>
          </m:sSubPr>
          <m:e>
            <m:r>
              <m:rPr>
                <m:sty m:val="bi"/>
              </m:rPr>
              <w:rPr>
                <w:rFonts w:ascii="Cambria Math" w:hAnsi="Cambria Math" w:cs="Arial"/>
                <w:color w:val="000000" w:themeColor="text1"/>
              </w:rPr>
              <m:t>X</m:t>
            </m:r>
          </m:e>
          <m:sub>
            <m:r>
              <m:rPr>
                <m:sty m:val="bi"/>
              </m:rP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ij</m:t>
            </m:r>
          </m:sub>
        </m:sSub>
        <m:r>
          <w:rPr>
            <w:rFonts w:ascii="Cambria Math" w:hAnsi="Cambria Math" w:cs="Arial"/>
            <w:color w:val="000000" w:themeColor="text1"/>
          </w:rPr>
          <m:t>:j=1,…,</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i</m:t>
            </m:r>
          </m:sub>
        </m:sSub>
        <m:r>
          <w:rPr>
            <w:rFonts w:ascii="Cambria Math" w:hAnsi="Cambria Math" w:cs="Arial"/>
            <w:color w:val="000000" w:themeColor="text1"/>
          </w:rPr>
          <m:t>}</m:t>
        </m:r>
      </m:oMath>
      <w:r w:rsidRPr="00D541E6">
        <w:rPr>
          <w:rFonts w:ascii="Calibri" w:hAnsi="Calibri" w:cs="Calibri"/>
          <w:color w:val="000000" w:themeColor="text1"/>
        </w:rPr>
        <w:t xml:space="preserve">, where </w:t>
      </w:r>
      <m:oMath>
        <m:sSub>
          <m:sSubPr>
            <m:ctrlPr>
              <w:rPr>
                <w:rFonts w:ascii="Cambria Math" w:hAnsi="Cambria Math" w:cs="Arial"/>
                <w:i/>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ij</m:t>
            </m:r>
          </m:sub>
        </m:sSub>
      </m:oMath>
      <w:r w:rsidRPr="00D541E6">
        <w:rPr>
          <w:rFonts w:ascii="Calibri" w:hAnsi="Calibri" w:cs="Calibri"/>
          <w:color w:val="000000" w:themeColor="text1"/>
        </w:rPr>
        <w:t xml:space="preserve"> is a 1 by p vector of observed covariates (e.g. age, gender) about this individual, which may or may not be time-varying. We also have interventions </w:t>
      </w:r>
      <m:oMath>
        <m:sSub>
          <m:sSubPr>
            <m:ctrlPr>
              <w:rPr>
                <w:rFonts w:ascii="Cambria Math" w:hAnsi="Cambria Math" w:cs="Arial"/>
                <w:b/>
                <w:i/>
                <w:color w:val="000000" w:themeColor="text1"/>
              </w:rPr>
            </m:ctrlPr>
          </m:sSubPr>
          <m:e>
            <m:r>
              <m:rPr>
                <m:sty m:val="bi"/>
              </m:rPr>
              <w:rPr>
                <w:rFonts w:ascii="Cambria Math" w:hAnsi="Cambria Math" w:cs="Arial"/>
                <w:color w:val="000000" w:themeColor="text1"/>
              </w:rPr>
              <m:t>A</m:t>
            </m:r>
          </m:e>
          <m:sub>
            <m:r>
              <m:rPr>
                <m:sty m:val="bi"/>
              </m:rPr>
              <w:rPr>
                <w:rFonts w:ascii="Cambria Math" w:hAnsi="Cambria Math" w:cs="Arial"/>
                <w:color w:val="000000" w:themeColor="text1"/>
              </w:rPr>
              <m:t>i</m:t>
            </m:r>
          </m:sub>
        </m:sSub>
        <m:r>
          <w:rPr>
            <w:rFonts w:ascii="Cambria Math" w:hAnsi="Cambria Math" w:cs="Arial"/>
            <w:color w:val="000000" w:themeColor="text1"/>
          </w:rPr>
          <m:t>=</m:t>
        </m:r>
        <m:r>
          <m:rPr>
            <m:lit/>
          </m:rP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il</m:t>
            </m:r>
          </m:sub>
        </m:sSub>
        <m:r>
          <w:rPr>
            <w:rFonts w:ascii="Cambria Math" w:hAnsi="Cambria Math" w:cs="Arial"/>
            <w:color w:val="000000" w:themeColor="text1"/>
          </w:rPr>
          <m:t xml:space="preserve">: l=1, …, </m:t>
        </m:r>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i</m:t>
            </m:r>
          </m:sub>
        </m:sSub>
        <m:r>
          <m:rPr>
            <m:lit/>
          </m:rPr>
          <w:rPr>
            <w:rFonts w:ascii="Cambria Math" w:hAnsi="Cambria Math" w:cs="Arial"/>
            <w:color w:val="000000" w:themeColor="text1"/>
          </w:rPr>
          <m:t>}</m:t>
        </m:r>
      </m:oMath>
      <w:r w:rsidRPr="00D541E6">
        <w:rPr>
          <w:rFonts w:ascii="Calibri" w:hAnsi="Calibri" w:cs="Calibri"/>
          <w:color w:val="000000" w:themeColor="text1"/>
        </w:rPr>
        <w:t xml:space="preserve">  that were applied to patient </w:t>
      </w:r>
      <m:oMath>
        <m:r>
          <w:rPr>
            <w:rFonts w:ascii="Cambria Math" w:hAnsi="Cambria Math" w:cs="Arial"/>
            <w:color w:val="000000" w:themeColor="text1"/>
          </w:rPr>
          <m:t>i</m:t>
        </m:r>
      </m:oMath>
      <w:r w:rsidRPr="00D541E6">
        <w:rPr>
          <w:rFonts w:ascii="Calibri" w:hAnsi="Calibri" w:cs="Calibri"/>
          <w:color w:val="000000" w:themeColor="text1"/>
        </w:rPr>
        <w:t xml:space="preserve"> at times  </w:t>
      </w:r>
      <m:oMath>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i1</m:t>
            </m:r>
          </m:sub>
        </m:sSub>
        <m:r>
          <w:rPr>
            <w:rFonts w:ascii="Cambria Math" w:hAnsi="Cambria Math" w:cs="Arial"/>
            <w:color w:val="000000" w:themeColor="text1"/>
          </w:rPr>
          <m:t xml:space="preserve">,…, </m:t>
        </m:r>
        <m:sSub>
          <m:sSubPr>
            <m:ctrlPr>
              <w:rPr>
                <w:rFonts w:ascii="Cambria Math" w:hAnsi="Cambria Math" w:cs="Arial"/>
                <w:i/>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i</m:t>
            </m:r>
            <m:sSub>
              <m:sSubPr>
                <m:ctrlPr>
                  <w:rPr>
                    <w:rFonts w:ascii="Cambria Math" w:hAnsi="Cambria Math" w:cs="Arial"/>
                    <w:i/>
                    <w:color w:val="000000" w:themeColor="text1"/>
                  </w:rPr>
                </m:ctrlPr>
              </m:sSubPr>
              <m:e>
                <m:r>
                  <w:rPr>
                    <w:rFonts w:ascii="Cambria Math" w:hAnsi="Cambria Math" w:cs="Arial"/>
                    <w:color w:val="000000" w:themeColor="text1"/>
                  </w:rPr>
                  <m:t>L</m:t>
                </m:r>
              </m:e>
              <m:sub>
                <m:r>
                  <w:rPr>
                    <w:rFonts w:ascii="Cambria Math" w:hAnsi="Cambria Math" w:cs="Arial"/>
                    <w:color w:val="000000" w:themeColor="text1"/>
                  </w:rPr>
                  <m:t>i</m:t>
                </m:r>
              </m:sub>
            </m:sSub>
          </m:sub>
        </m:sSub>
        <m:r>
          <w:rPr>
            <w:rFonts w:ascii="Cambria Math" w:hAnsi="Cambria Math" w:cs="Arial"/>
            <w:color w:val="000000" w:themeColor="text1"/>
          </w:rPr>
          <m:t>}</m:t>
        </m:r>
      </m:oMath>
      <w:r w:rsidRPr="00D541E6">
        <w:rPr>
          <w:rFonts w:ascii="Calibri" w:hAnsi="Calibri" w:cs="Calibri"/>
          <w:color w:val="000000" w:themeColor="text1"/>
        </w:rPr>
        <w:t xml:space="preserve">, where </w:t>
      </w:r>
      <m:oMath>
        <m:sSub>
          <m:sSubPr>
            <m:ctrlPr>
              <w:rPr>
                <w:rFonts w:ascii="Cambria Math" w:hAnsi="Cambria Math" w:cs="Arial"/>
                <w:i/>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il</m:t>
            </m:r>
          </m:sub>
        </m:sSub>
        <m:r>
          <w:rPr>
            <w:rFonts w:ascii="Cambria Math" w:hAnsi="Cambria Math" w:cs="Arial"/>
            <w:color w:val="000000" w:themeColor="text1"/>
          </w:rPr>
          <m:t>=a</m:t>
        </m:r>
      </m:oMath>
      <w:r w:rsidRPr="00D541E6">
        <w:rPr>
          <w:rFonts w:ascii="Calibri" w:hAnsi="Calibri" w:cs="Calibri"/>
          <w:color w:val="000000" w:themeColor="text1"/>
        </w:rPr>
        <w:t xml:space="preserve"> for either a value </w:t>
      </w:r>
      <m:oMath>
        <m:r>
          <w:rPr>
            <w:rFonts w:ascii="Cambria Math" w:hAnsi="Cambria Math" w:cs="Arial"/>
            <w:color w:val="000000" w:themeColor="text1"/>
          </w:rPr>
          <m:t>a</m:t>
        </m:r>
        <m:r>
          <m:rPr>
            <m:scr m:val="double-struck"/>
          </m:rPr>
          <w:rPr>
            <w:rFonts w:ascii="Cambria Math" w:hAnsi="Cambria Math" w:cs="Arial"/>
            <w:color w:val="000000" w:themeColor="text1"/>
          </w:rPr>
          <m:t>∈R</m:t>
        </m:r>
      </m:oMath>
      <w:r w:rsidRPr="00D541E6">
        <w:rPr>
          <w:rFonts w:ascii="Calibri" w:hAnsi="Calibri" w:cs="Calibri"/>
          <w:color w:val="000000" w:themeColor="text1"/>
        </w:rPr>
        <w:t xml:space="preserve"> such as treatment dose, or</w:t>
      </w:r>
      <w:r w:rsidRPr="00D541E6">
        <w:rPr>
          <w:rFonts w:ascii="Calibri" w:hAnsi="Calibri" w:cs="Calibri"/>
          <w:color w:val="000000" w:themeColor="text1"/>
          <w:lang w:eastAsia="zh-CN"/>
        </w:rPr>
        <w:t xml:space="preserve"> </w:t>
      </w:r>
      <w:r w:rsidRPr="00D541E6">
        <w:rPr>
          <w:rFonts w:ascii="Calibri" w:hAnsi="Calibri" w:cs="Calibri"/>
          <w:color w:val="000000" w:themeColor="text1"/>
        </w:rPr>
        <w:t xml:space="preserve">some intervention type </w:t>
      </w:r>
      <m:oMath>
        <m:r>
          <w:rPr>
            <w:rFonts w:ascii="Cambria Math" w:hAnsi="Cambria Math" w:cs="Arial"/>
            <w:color w:val="000000" w:themeColor="text1"/>
          </w:rPr>
          <m:t>a∈{</m:t>
        </m:r>
        <m:sSub>
          <m:sSubPr>
            <m:ctrlPr>
              <w:rPr>
                <w:rFonts w:ascii="Cambria Math" w:hAnsi="Cambria Math" w:cs="Arial"/>
                <w:i/>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1</m:t>
            </m:r>
          </m:sub>
        </m:sSub>
        <m:r>
          <w:rPr>
            <w:rFonts w:ascii="Cambria Math" w:hAnsi="Cambria Math" w:cs="Arial"/>
            <w:color w:val="000000" w:themeColor="text1"/>
          </w:rPr>
          <m:t xml:space="preserve">, …, </m:t>
        </m:r>
        <m:sSub>
          <m:sSubPr>
            <m:ctrlPr>
              <w:rPr>
                <w:rFonts w:ascii="Cambria Math" w:hAnsi="Cambria Math" w:cs="Arial"/>
                <w:i/>
                <w:color w:val="000000" w:themeColor="text1"/>
              </w:rPr>
            </m:ctrlPr>
          </m:sSubPr>
          <m:e>
            <m:r>
              <w:rPr>
                <w:rFonts w:ascii="Cambria Math" w:hAnsi="Cambria Math" w:cs="Arial"/>
                <w:color w:val="000000" w:themeColor="text1"/>
              </w:rPr>
              <m:t>a</m:t>
            </m:r>
          </m:e>
          <m:sub>
            <m:r>
              <w:rPr>
                <w:rFonts w:ascii="Cambria Math" w:hAnsi="Cambria Math" w:cs="Arial"/>
                <w:color w:val="000000" w:themeColor="text1"/>
              </w:rPr>
              <m:t>D</m:t>
            </m:r>
          </m:sub>
        </m:sSub>
        <m:r>
          <w:rPr>
            <w:rFonts w:ascii="Cambria Math" w:hAnsi="Cambria Math" w:cs="Arial"/>
            <w:color w:val="000000" w:themeColor="text1"/>
          </w:rPr>
          <m:t>}</m:t>
        </m:r>
      </m:oMath>
      <w:r w:rsidRPr="00D541E6">
        <w:rPr>
          <w:rFonts w:ascii="Calibri" w:hAnsi="Calibri" w:cs="Calibri"/>
          <w:color w:val="000000" w:themeColor="text1"/>
        </w:rPr>
        <w:t xml:space="preserve">. Note that the time for interventions </w:t>
      </w:r>
      <m:oMath>
        <m:sSub>
          <m:sSubPr>
            <m:ctrlPr>
              <w:rPr>
                <w:rFonts w:ascii="Cambria Math" w:hAnsi="Cambria Math" w:cs="Arial"/>
                <w:i/>
                <w:color w:val="000000" w:themeColor="text1"/>
              </w:rPr>
            </m:ctrlPr>
          </m:sSubPr>
          <m:e>
            <m:r>
              <w:rPr>
                <w:rFonts w:ascii="Cambria Math" w:hAnsi="Cambria Math" w:cs="Arial"/>
                <w:color w:val="000000" w:themeColor="text1"/>
              </w:rPr>
              <m:t>τ</m:t>
            </m:r>
          </m:e>
          <m:sub>
            <m:r>
              <w:rPr>
                <w:rFonts w:ascii="Cambria Math" w:hAnsi="Cambria Math" w:cs="Arial"/>
                <w:color w:val="000000" w:themeColor="text1"/>
              </w:rPr>
              <m:t>il</m:t>
            </m:r>
          </m:sub>
        </m:sSub>
      </m:oMath>
      <w:r w:rsidRPr="00D541E6">
        <w:rPr>
          <w:rFonts w:ascii="Calibri" w:hAnsi="Calibri" w:cs="Calibri"/>
          <w:color w:val="000000" w:themeColor="text1"/>
        </w:rPr>
        <w:t xml:space="preserve"> and time for outcome measurements </w:t>
      </w:r>
      <m:oMath>
        <m:sSub>
          <m:sSubPr>
            <m:ctrlPr>
              <w:rPr>
                <w:rFonts w:ascii="Cambria Math" w:hAnsi="Cambria Math" w:cs="Arial"/>
                <w:i/>
                <w:color w:val="000000" w:themeColor="text1"/>
              </w:rPr>
            </m:ctrlPr>
          </m:sSubPr>
          <m:e>
            <m:r>
              <w:rPr>
                <w:rFonts w:ascii="Cambria Math" w:hAnsi="Cambria Math" w:cs="Arial"/>
                <w:color w:val="000000" w:themeColor="text1"/>
              </w:rPr>
              <m:t>t</m:t>
            </m:r>
          </m:e>
          <m:sub>
            <m:r>
              <w:rPr>
                <w:rFonts w:ascii="Cambria Math" w:hAnsi="Cambria Math" w:cs="Arial"/>
                <w:color w:val="000000" w:themeColor="text1"/>
              </w:rPr>
              <m:t>il</m:t>
            </m:r>
          </m:sub>
        </m:sSub>
      </m:oMath>
      <w:r w:rsidRPr="00D541E6">
        <w:rPr>
          <w:rFonts w:ascii="Calibri" w:hAnsi="Calibri" w:cs="Calibri"/>
          <w:color w:val="000000" w:themeColor="text1"/>
        </w:rPr>
        <w:t xml:space="preserve"> need not be the same. The potential outcome under an intervention </w:t>
      </w:r>
      <m:oMath>
        <m:r>
          <w:rPr>
            <w:rFonts w:ascii="Cambria Math" w:hAnsi="Cambria Math" w:cs="Arial"/>
            <w:color w:val="000000" w:themeColor="text1"/>
          </w:rPr>
          <m:t>a</m:t>
        </m:r>
      </m:oMath>
      <w:r w:rsidRPr="00D541E6">
        <w:rPr>
          <w:rFonts w:ascii="Calibri" w:hAnsi="Calibri" w:cs="Calibri"/>
          <w:color w:val="000000" w:themeColor="text1"/>
        </w:rPr>
        <w:t xml:space="preserve"> is denoted as </w:t>
      </w:r>
      <m:oMath>
        <m:sSup>
          <m:sSupPr>
            <m:ctrlPr>
              <w:rPr>
                <w:rFonts w:ascii="Cambria Math" w:hAnsi="Cambria Math" w:cs="Arial"/>
                <w:i/>
                <w:color w:val="000000" w:themeColor="text1"/>
              </w:rPr>
            </m:ctrlPr>
          </m:sSupPr>
          <m:e>
            <m:r>
              <w:rPr>
                <w:rFonts w:ascii="Cambria Math" w:hAnsi="Cambria Math" w:cs="Arial"/>
                <w:color w:val="000000" w:themeColor="text1"/>
              </w:rPr>
              <m:t>Y</m:t>
            </m:r>
          </m:e>
          <m:sup>
            <m:r>
              <w:rPr>
                <w:rFonts w:ascii="Cambria Math" w:hAnsi="Cambria Math" w:cs="Arial"/>
                <w:color w:val="000000" w:themeColor="text1"/>
              </w:rPr>
              <m:t>(a)</m:t>
            </m:r>
          </m:sup>
        </m:sSup>
      </m:oMath>
      <w:r w:rsidRPr="00D541E6">
        <w:rPr>
          <w:rFonts w:ascii="Calibri" w:hAnsi="Calibri" w:cs="Calibri"/>
          <w:color w:val="000000" w:themeColor="text1"/>
        </w:rPr>
        <w:t xml:space="preserve">. In the continuous-time setting, we use the subscript </w:t>
      </w:r>
      <m:oMath>
        <m:r>
          <w:rPr>
            <w:rFonts w:ascii="Cambria Math" w:hAnsi="Cambria Math" w:cs="Arial"/>
            <w:color w:val="000000" w:themeColor="text1"/>
            <w:lang w:eastAsia="zh-CN"/>
          </w:rPr>
          <m:t>t</m:t>
        </m:r>
      </m:oMath>
      <w:r w:rsidRPr="00D541E6">
        <w:rPr>
          <w:rFonts w:ascii="Calibri" w:hAnsi="Calibri" w:cs="Calibri"/>
          <w:color w:val="000000" w:themeColor="text1"/>
          <w:lang w:eastAsia="zh-CN"/>
        </w:rPr>
        <w:t xml:space="preserve"> to indicate measurements taken at time </w:t>
      </w:r>
      <m:oMath>
        <m:r>
          <w:rPr>
            <w:rFonts w:ascii="Cambria Math" w:hAnsi="Cambria Math" w:cs="Arial"/>
            <w:color w:val="000000" w:themeColor="text1"/>
            <w:lang w:eastAsia="zh-CN"/>
          </w:rPr>
          <m:t>t</m:t>
        </m:r>
      </m:oMath>
      <w:r w:rsidRPr="00D541E6">
        <w:rPr>
          <w:rFonts w:ascii="Calibri" w:hAnsi="Calibri" w:cs="Calibri"/>
          <w:color w:val="000000" w:themeColor="text1"/>
          <w:lang w:eastAsia="zh-CN"/>
        </w:rPr>
        <w:t xml:space="preserve">. </w:t>
      </w:r>
      <w:r w:rsidRPr="00D541E6">
        <w:rPr>
          <w:rFonts w:ascii="Calibri" w:hAnsi="Calibri" w:cs="Calibri"/>
          <w:color w:val="000000" w:themeColor="text1"/>
        </w:rPr>
        <w:t xml:space="preserve">The value of a measurement </w:t>
      </w:r>
      <m:oMath>
        <m:sSub>
          <m:sSubPr>
            <m:ctrlPr>
              <w:rPr>
                <w:rFonts w:ascii="Cambria Math" w:hAnsi="Cambria Math" w:cs="Arial"/>
                <w:b/>
                <w:i/>
                <w:color w:val="000000" w:themeColor="text1"/>
              </w:rPr>
            </m:ctrlPr>
          </m:sSubPr>
          <m:e>
            <m:r>
              <m:rPr>
                <m:sty m:val="bi"/>
              </m:rPr>
              <w:rPr>
                <w:rFonts w:ascii="Cambria Math" w:hAnsi="Cambria Math" w:cs="Arial"/>
                <w:color w:val="000000" w:themeColor="text1"/>
              </w:rPr>
              <m:t>X</m:t>
            </m:r>
          </m:e>
          <m:sub>
            <m:r>
              <m:rPr>
                <m:sty m:val="bi"/>
              </m:rPr>
              <w:rPr>
                <w:rFonts w:ascii="Cambria Math" w:hAnsi="Cambria Math" w:cs="Arial"/>
                <w:color w:val="000000" w:themeColor="text1"/>
              </w:rPr>
              <m:t>i</m:t>
            </m:r>
          </m:sub>
        </m:sSub>
      </m:oMath>
      <w:r w:rsidRPr="00D541E6">
        <w:rPr>
          <w:rFonts w:ascii="Calibri" w:hAnsi="Calibri" w:cs="Calibri"/>
          <w:b/>
          <w:color w:val="000000" w:themeColor="text1"/>
        </w:rPr>
        <w:t xml:space="preserve"> </w:t>
      </w:r>
      <w:r w:rsidRPr="00D541E6">
        <w:rPr>
          <w:rFonts w:ascii="Calibri" w:hAnsi="Calibri" w:cs="Calibri"/>
          <w:color w:val="000000" w:themeColor="text1"/>
        </w:rPr>
        <w:t xml:space="preserve">up to time </w:t>
      </w:r>
      <m:oMath>
        <m:r>
          <w:rPr>
            <w:rFonts w:ascii="Cambria Math" w:hAnsi="Cambria Math" w:cs="Arial"/>
            <w:color w:val="000000" w:themeColor="text1"/>
          </w:rPr>
          <m:t>t</m:t>
        </m:r>
      </m:oMath>
      <w:r w:rsidRPr="00D541E6">
        <w:rPr>
          <w:rFonts w:ascii="Calibri" w:hAnsi="Calibri" w:cs="Calibri"/>
          <w:color w:val="000000" w:themeColor="text1"/>
        </w:rPr>
        <w:t xml:space="preserve"> exclusive is denoted by </w:t>
      </w:r>
      <m:oMath>
        <m:sSub>
          <m:sSubPr>
            <m:ctrlPr>
              <w:rPr>
                <w:rFonts w:ascii="Cambria Math" w:hAnsi="Cambria Math" w:cs="Arial"/>
                <w:b/>
                <w:i/>
                <w:color w:val="000000" w:themeColor="text1"/>
              </w:rPr>
            </m:ctrlPr>
          </m:sSubPr>
          <m:e>
            <m:r>
              <m:rPr>
                <m:sty m:val="bi"/>
              </m:rPr>
              <w:rPr>
                <w:rFonts w:ascii="Cambria Math" w:hAnsi="Cambria Math" w:cs="Arial"/>
                <w:color w:val="000000" w:themeColor="text1"/>
              </w:rPr>
              <m:t>X</m:t>
            </m:r>
          </m:e>
          <m:sub>
            <m:r>
              <m:rPr>
                <m:sty m:val="bi"/>
              </m:rPr>
              <w:rPr>
                <w:rFonts w:ascii="Cambria Math" w:hAnsi="Cambria Math" w:cs="Arial"/>
                <w:color w:val="000000" w:themeColor="text1"/>
              </w:rPr>
              <m:t>i,&lt;t</m:t>
            </m:r>
          </m:sub>
        </m:sSub>
      </m:oMath>
      <w:r w:rsidRPr="00D541E6">
        <w:rPr>
          <w:rFonts w:ascii="Calibri" w:hAnsi="Calibri" w:cs="Calibri"/>
          <w:color w:val="000000" w:themeColor="text1"/>
        </w:rPr>
        <w:t xml:space="preserve">. We use the same notation for settings where one or more of </w:t>
      </w:r>
      <m:oMath>
        <m:r>
          <m:rPr>
            <m:sty m:val="bi"/>
          </m:rPr>
          <w:rPr>
            <w:rFonts w:ascii="Cambria Math" w:hAnsi="Cambria Math" w:cs="Arial"/>
            <w:color w:val="000000" w:themeColor="text1"/>
          </w:rPr>
          <m:t>Y,  X</m:t>
        </m:r>
      </m:oMath>
      <w:r w:rsidRPr="00D541E6">
        <w:rPr>
          <w:rFonts w:ascii="Calibri" w:hAnsi="Calibri" w:cs="Calibri"/>
          <w:color w:val="000000" w:themeColor="text1"/>
        </w:rPr>
        <w:t xml:space="preserve">, and </w:t>
      </w:r>
      <m:oMath>
        <m:r>
          <m:rPr>
            <m:sty m:val="bi"/>
          </m:rPr>
          <w:rPr>
            <w:rFonts w:ascii="Cambria Math" w:hAnsi="Cambria Math" w:cs="Arial"/>
            <w:color w:val="000000" w:themeColor="text1"/>
          </w:rPr>
          <m:t>A</m:t>
        </m:r>
      </m:oMath>
      <w:r w:rsidRPr="00D541E6">
        <w:rPr>
          <w:rFonts w:ascii="Calibri" w:hAnsi="Calibri" w:cs="Calibri"/>
          <w:color w:val="000000" w:themeColor="text1"/>
        </w:rPr>
        <w:t xml:space="preserve"> might only be measured once, in which case we restrict the corresponding respective </w:t>
      </w:r>
      <m:oMath>
        <m:r>
          <w:rPr>
            <w:rFonts w:ascii="Cambria Math" w:hAnsi="Cambria Math" w:cs="Arial"/>
            <w:color w:val="000000" w:themeColor="text1"/>
          </w:rPr>
          <m:t>J</m:t>
        </m:r>
      </m:oMath>
      <w:r w:rsidRPr="00D541E6">
        <w:rPr>
          <w:rFonts w:ascii="Calibri" w:hAnsi="Calibri" w:cs="Calibri"/>
          <w:color w:val="000000" w:themeColor="text1"/>
        </w:rPr>
        <w:t>,</w:t>
      </w:r>
      <m:oMath>
        <m:r>
          <w:rPr>
            <w:rFonts w:ascii="Cambria Math" w:hAnsi="Cambria Math" w:cs="Arial"/>
            <w:color w:val="000000" w:themeColor="text1"/>
          </w:rPr>
          <m:t xml:space="preserve"> K</m:t>
        </m:r>
      </m:oMath>
      <w:r w:rsidRPr="00D541E6">
        <w:rPr>
          <w:rFonts w:ascii="Calibri" w:hAnsi="Calibri" w:cs="Calibri"/>
          <w:color w:val="000000" w:themeColor="text1"/>
        </w:rPr>
        <w:t xml:space="preserve">, and/or </w:t>
      </w:r>
      <m:oMath>
        <m:r>
          <w:rPr>
            <w:rFonts w:ascii="Cambria Math" w:hAnsi="Cambria Math" w:cs="Arial"/>
            <w:color w:val="000000" w:themeColor="text1"/>
          </w:rPr>
          <m:t>L</m:t>
        </m:r>
      </m:oMath>
      <w:r w:rsidRPr="00D541E6">
        <w:rPr>
          <w:rFonts w:ascii="Calibri" w:hAnsi="Calibri" w:cs="Calibri"/>
          <w:color w:val="000000" w:themeColor="text1"/>
        </w:rPr>
        <w:t xml:space="preserve"> to be 1. When there is no ambiguity, subscripts of notations may be omitted where convenient, depending on the context. </w:t>
      </w:r>
    </w:p>
    <w:p w14:paraId="6068F897" w14:textId="7489E9C1" w:rsidR="000112C6" w:rsidRPr="00D541E6" w:rsidRDefault="00F40810" w:rsidP="0078648E">
      <w:pPr>
        <w:pStyle w:val="Heading3"/>
        <w:rPr>
          <w:rFonts w:cs="Arial"/>
          <w:bCs/>
          <w:color w:val="000000" w:themeColor="text1"/>
          <w:lang w:eastAsia="zh-CN"/>
        </w:rPr>
      </w:pPr>
      <w:r>
        <w:t xml:space="preserve">E.2.1 </w:t>
      </w:r>
      <w:r w:rsidR="00D26A9D" w:rsidRPr="000B577D">
        <w:t>Counterfactual</w:t>
      </w:r>
      <w:r w:rsidR="00D26A9D" w:rsidRPr="00D541E6">
        <w:t xml:space="preserve"> prediction models that consider an intervention at a single point in time</w:t>
      </w:r>
      <w:r w:rsidR="000112C6" w:rsidRPr="000112C6">
        <w:rPr>
          <w:rFonts w:cs="Arial"/>
          <w:bCs/>
          <w:color w:val="000000" w:themeColor="text1"/>
          <w:lang w:eastAsia="zh-CN"/>
        </w:rPr>
        <w:t xml:space="preserve"> </w:t>
      </w:r>
    </w:p>
    <w:p w14:paraId="0AA2BC51" w14:textId="77777777" w:rsidR="00E33AC7" w:rsidRDefault="00E33AC7" w:rsidP="000112C6">
      <w:pPr>
        <w:pStyle w:val="Heading3"/>
        <w:rPr>
          <w:rFonts w:cs="Arial"/>
          <w:b/>
          <w:bCs/>
          <w:i/>
          <w:color w:val="000000" w:themeColor="text1"/>
          <w:lang w:eastAsia="zh-CN"/>
        </w:rPr>
      </w:pPr>
    </w:p>
    <w:p w14:paraId="76304FA8" w14:textId="14DE7404" w:rsidR="00D26A9D" w:rsidRPr="008F50D1" w:rsidRDefault="000112C6" w:rsidP="008F50D1">
      <w:pPr>
        <w:autoSpaceDE w:val="0"/>
        <w:autoSpaceDN w:val="0"/>
        <w:adjustRightInd w:val="0"/>
        <w:spacing w:after="240" w:line="276" w:lineRule="auto"/>
        <w:rPr>
          <w:rFonts w:asciiTheme="majorHAnsi" w:hAnsiTheme="majorHAnsi" w:cs="Arial"/>
          <w:b/>
          <w:bCs/>
          <w:i/>
          <w:color w:val="000000" w:themeColor="text1"/>
          <w:lang w:eastAsia="zh-CN"/>
        </w:rPr>
      </w:pPr>
      <w:r>
        <w:rPr>
          <w:rFonts w:asciiTheme="majorHAnsi" w:hAnsiTheme="majorHAnsi" w:cs="Arial"/>
          <w:b/>
          <w:bCs/>
          <w:i/>
          <w:color w:val="000000" w:themeColor="text1"/>
          <w:lang w:eastAsia="zh-CN"/>
        </w:rPr>
        <w:t xml:space="preserve">Related </w:t>
      </w:r>
      <w:r w:rsidR="00CB4DC6">
        <w:rPr>
          <w:rFonts w:asciiTheme="majorHAnsi" w:hAnsiTheme="majorHAnsi" w:cs="Arial"/>
          <w:b/>
          <w:bCs/>
          <w:i/>
          <w:color w:val="000000" w:themeColor="text1"/>
        </w:rPr>
        <w:t>to</w:t>
      </w:r>
      <w:r w:rsidR="00D26A9D" w:rsidRPr="00D541E6">
        <w:rPr>
          <w:rFonts w:asciiTheme="majorHAnsi" w:hAnsiTheme="majorHAnsi" w:cs="Arial"/>
          <w:b/>
          <w:bCs/>
          <w:i/>
          <w:color w:val="000000" w:themeColor="text1"/>
        </w:rPr>
        <w:t xml:space="preserve"> average treatment </w:t>
      </w:r>
      <w:r w:rsidR="008F50D1" w:rsidRPr="00D541E6">
        <w:rPr>
          <w:rFonts w:asciiTheme="majorHAnsi" w:hAnsiTheme="majorHAnsi" w:cs="Arial"/>
          <w:b/>
          <w:bCs/>
          <w:i/>
          <w:color w:val="000000" w:themeColor="text1"/>
          <w:lang w:eastAsia="zh-CN"/>
        </w:rPr>
        <w:t xml:space="preserve">effects </w:t>
      </w:r>
    </w:p>
    <w:p w14:paraId="366CDA17" w14:textId="182CB7E5"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rPr>
        <w:t xml:space="preserve">In a scenario where there is a clinical need for outcome prediction and the individual outcome partly depends on treatments, one requires an unbiased estimate of the treatment effect at baseline to </w:t>
      </w:r>
      <w:r w:rsidRPr="00D541E6">
        <w:rPr>
          <w:rFonts w:asciiTheme="majorHAnsi" w:hAnsiTheme="majorHAnsi" w:cs="Arial"/>
          <w:bCs/>
          <w:color w:val="000000" w:themeColor="text1"/>
          <w:lang w:eastAsia="zh-CN"/>
        </w:rPr>
        <w:t>decide whether to intervene on treatment</w:t>
      </w:r>
      <w:r w:rsidRPr="00D541E6">
        <w:rPr>
          <w:rFonts w:asciiTheme="majorHAnsi" w:hAnsiTheme="majorHAnsi" w:cs="Arial"/>
          <w:bCs/>
          <w:color w:val="000000" w:themeColor="text1"/>
        </w:rPr>
        <w:t xml:space="preserve">. Assuming that the Directed Acyclic Graph (DAG) that encodes the relationship between all the relevant variables is known, then </w:t>
      </w:r>
      <w:r w:rsidRPr="00D541E6">
        <w:rPr>
          <w:rFonts w:asciiTheme="majorHAnsi" w:hAnsiTheme="majorHAnsi" w:cs="Arial"/>
          <w:bCs/>
          <w:i/>
          <w:color w:val="000000" w:themeColor="text1"/>
        </w:rPr>
        <w:t>do-calculus</w:t>
      </w:r>
      <w:r w:rsidRPr="00D541E6">
        <w:rPr>
          <w:rFonts w:asciiTheme="majorHAnsi" w:hAnsiTheme="majorHAnsi" w:cs="Arial"/>
          <w:bCs/>
          <w:color w:val="000000" w:themeColor="text1"/>
        </w:rPr>
        <w:t xml:space="preserve"> </w:t>
      </w:r>
      <w:r w:rsidRPr="00D541E6">
        <w:rPr>
          <w:rFonts w:asciiTheme="majorHAnsi" w:hAnsiTheme="majorHAnsi" w:cs="Arial"/>
          <w:bCs/>
          <w:color w:val="000000" w:themeColor="text1"/>
        </w:rPr>
        <w:fldChar w:fldCharType="begin" w:fldLock="1"/>
      </w:r>
      <w:r w:rsidR="009B218D" w:rsidRPr="00D541E6">
        <w:rPr>
          <w:rFonts w:asciiTheme="majorHAnsi" w:hAnsiTheme="majorHAnsi" w:cs="Arial"/>
          <w:bCs/>
          <w:color w:val="000000" w:themeColor="text1"/>
        </w:rPr>
        <w:instrText>ADDIN CSL_CITATION {"citationItems":[{"id":"ITEM-1","itemData":{"DOI":"10.1017/CBO9780511803161","ISBN":"9780511803161","abstract":"Written by one of the preeminent researchers in the field, this book provides a comprehensive exposition of modern analysis of causation. It shows how causality has grown from a nebulous concept into a mathematical theory with significant applications in the fields of statistics, artificial intelligence, economics, philosophy, cognitive science, and the health and social sciences. Judea Pearl presents and unifies the probabilistic, manipulative, counterfactual, and structural approaches to causation and devises simple mathematical tools for studying the relationships between causal connections and statistical associations. The book will open the way for including causal analysis in the standard curricula of statistics, artificial intelligence, business, epidemiology, social sciences, and economics. Students in these fields will find natural models, simple inferential procedures, and precise mathematical definitions of causal concepts that traditional texts have evaded or made unduly complicated. The first edition of Causality has led to a paradigmatic change in the way that causality is treated in statistics, philosophy, computer science, social science, and economics. Cited in more than 5,000 scientific publications, it continues to liberate scientists from the traditional molds of statistical thinking. In this revised edition, Judea Pearl elucidates thorny issues, answers readers’ questions, and offers a panoramic view of recent advances in this field of research. Causality will be of interests to students and professionals in a wide variety of fields. Anyone who wishes to elucidate meaningful relationships from data, predict effects of actions and policies, assess explanations of reported events, or form theories of causal understanding and causal speech will find this book stimulating and invaluable.","author":[{"dropping-particle":"","family":"Pearl","given":"Judea","non-dropping-particle":"","parse-names":false,"suffix":""}],"id":"ITEM-1","issued":{"date-parts":[["2011","1","1"]]},"number-of-pages":"1-464","publisher":"Cambridge University Press","title":"Causality: Models, reasoning, and inference, second edition","type":"book"},"uris":["http://www.mendeley.com/documents/?uuid=0ac2a974-2749-31e9-8ee6-8cd6096569d7"]}],"mendeley":{"formattedCitation":"(Pearl, 2011)","plainTextFormattedCitation":"(Pearl, 2011)","previouslyFormattedCitation":"(29)"},"properties":{"noteIndex":0},"schema":"https://github.com/citation-style-language/schema/raw/master/csl-citation.json"}</w:instrText>
      </w:r>
      <w:r w:rsidRPr="00D541E6">
        <w:rPr>
          <w:rFonts w:asciiTheme="majorHAnsi" w:hAnsiTheme="majorHAnsi" w:cs="Arial"/>
          <w:bCs/>
          <w:color w:val="000000" w:themeColor="text1"/>
        </w:rPr>
        <w:fldChar w:fldCharType="separate"/>
      </w:r>
      <w:r w:rsidR="009B218D" w:rsidRPr="00D541E6">
        <w:rPr>
          <w:rFonts w:asciiTheme="majorHAnsi" w:hAnsiTheme="majorHAnsi" w:cs="Arial"/>
          <w:bCs/>
          <w:noProof/>
          <w:color w:val="000000" w:themeColor="text1"/>
        </w:rPr>
        <w:t>(Pearl, 2011)</w:t>
      </w:r>
      <w:r w:rsidRPr="00D541E6">
        <w:rPr>
          <w:rFonts w:asciiTheme="majorHAnsi" w:hAnsiTheme="majorHAnsi" w:cs="Arial"/>
          <w:bCs/>
          <w:color w:val="000000" w:themeColor="text1"/>
        </w:rPr>
        <w:fldChar w:fldCharType="end"/>
      </w:r>
      <w:r w:rsidRPr="00D541E6">
        <w:rPr>
          <w:rFonts w:asciiTheme="majorHAnsi" w:hAnsiTheme="majorHAnsi" w:cs="Arial"/>
          <w:bCs/>
          <w:color w:val="000000" w:themeColor="text1"/>
        </w:rPr>
        <w:t xml:space="preserve"> provides an indication of whether this can be achieved in the setting of observational data with the required causal assumptions. Van Amsterdam</w:t>
      </w:r>
      <w:r w:rsidRPr="00D541E6" w:rsidDel="0002451F">
        <w:rPr>
          <w:rFonts w:asciiTheme="majorHAnsi" w:hAnsiTheme="majorHAnsi" w:cs="Arial"/>
          <w:bCs/>
          <w:color w:val="000000" w:themeColor="text1"/>
        </w:rPr>
        <w:t xml:space="preserve"> </w:t>
      </w:r>
      <w:r w:rsidRPr="00D541E6">
        <w:rPr>
          <w:rFonts w:asciiTheme="majorHAnsi" w:hAnsiTheme="majorHAnsi" w:cs="Arial"/>
          <w:bCs/>
          <w:i/>
          <w:color w:val="000000" w:themeColor="text1"/>
          <w:lang w:eastAsia="zh-CN"/>
        </w:rPr>
        <w:t>et al.</w:t>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{"citationItems":[{"id":"ITEM-1","itemData":{"DOI":"10.1038/s41746-019-0194-x","abstract":"Deep learning has shown remarkable results for image analysis and is expected to aid individual treatment decisions in health care. Treatment recommendations are predictions with an inherently causal interpretation. To use deep learning for these applications in the setting of observational data, deep learning methods must be made compatible with the required causal assumptions. We present a scenario with real-world medical images (CT-scans of lung cancer) and simulated outcome data. Through the data simulation scheme, the images contain two distinct factors of variation that are associated with survival, but represent a collider (tumor size) and a prognostic factor (tumor heterogeneity), respectively. When a deep network would use all the information available in the image to predict survival, it would condition on the collider and thereby introduce bias in the estimation of the treatment effect. We show that when this collider can be quantified, unbiased individual prognosis predictions are attainable with deep learning. This is achieved by (1) setting a dual task for the network to predict both the outcome and the collider and (2) enforcing a form of linear independence of the activation distributions of the last layer. Our method provides an example of combining deep learning and structural causal models to achieve unbiased individual prognosis predictions. Extensions of machine learning methods for applications to causal questions are required to attain the long-standing goal of personalized medicine supported by artificial intelligence.","author":[{"dropping-particle":"","family":"Amsterdam","given":"W. A. C.","non-dropping-particle":"van","parse-names":false,"suffix":""},{"dropping-particle":"","family":"Verhoeff","given":"J. J. C.","non-dropping-particle":"","parse-names":false,"suffix":""},{"dropping-particle":"","family":"Jong","given":"P. A.","non-dropping-particle":"de","parse-names":false,"suffix":""},{"dropping-particle":"","family":"Leiner","given":"T.","non-dropping-particle":"","parse-names":false,"suffix":""},{"dropping-particle":"","family":"Eijkemans","given":"M. J. C.","non-dropping-particle":"","parse-names":false,"suffix":""}],"container-title":"npj Digital Medicine","id":"ITEM-1","issue":"1","issued":{"date-parts":[["2019","12","10"]]},"page":"1-6","publisher":"Springer Science and Business Media LLC","title":"Eliminating biasing signals in lung cancer images for prognosis predictions with deep learning","type":"article-journal","volume":"2"},"uris":["http://www.mendeley.com/documents/?uuid=903e39cc-4da0-3474-977a-aeeb859d7614"]}],"mendeley":{"formattedCitation":"(van Amsterdam et al., 2019)","plainTextFormattedCitation":"(van Amsterdam et al., 2019)","previouslyFormattedCitation":"(18)"},"properties":{"noteIndex":0},"schema":"https://github.com/citation-style-language/schema/raw/master/csl-citation.json"}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(van Amsterdam et al., 2019)</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rPr>
        <w:t xml:space="preserve">addressed a particular scenario where the prognostic factors (CT-scans of lung cancer) also contained information of colliders (e.g. </w:t>
      </w:r>
      <w:proofErr w:type="spellStart"/>
      <w:r w:rsidRPr="00D541E6">
        <w:rPr>
          <w:rFonts w:asciiTheme="majorHAnsi" w:hAnsiTheme="majorHAnsi" w:cs="Arial"/>
          <w:bCs/>
          <w:color w:val="000000" w:themeColor="text1"/>
        </w:rPr>
        <w:t>tumor</w:t>
      </w:r>
      <w:proofErr w:type="spellEnd"/>
      <w:r w:rsidRPr="00D541E6">
        <w:rPr>
          <w:rFonts w:asciiTheme="majorHAnsi" w:hAnsiTheme="majorHAnsi" w:cs="Arial"/>
          <w:bCs/>
          <w:color w:val="000000" w:themeColor="text1"/>
        </w:rPr>
        <w:t xml:space="preserve"> size and heterogeneity) that appeared on the DAG for estimating treatment effects on the survival. The authors proposed a multi-task prediction scheme embedded in a convolutional neural network (CNN) framework for both the outcome and the collider. The collider </w:t>
      </w:r>
      <w:proofErr w:type="spellStart"/>
      <w:r w:rsidRPr="00D541E6">
        <w:rPr>
          <w:rFonts w:asciiTheme="majorHAnsi" w:hAnsiTheme="majorHAnsi" w:cs="Arial"/>
          <w:bCs/>
          <w:color w:val="000000" w:themeColor="text1"/>
        </w:rPr>
        <w:t>tumor</w:t>
      </w:r>
      <w:proofErr w:type="spellEnd"/>
      <w:r w:rsidRPr="00D541E6">
        <w:rPr>
          <w:rFonts w:asciiTheme="majorHAnsi" w:hAnsiTheme="majorHAnsi" w:cs="Arial"/>
          <w:bCs/>
          <w:color w:val="000000" w:themeColor="text1"/>
        </w:rPr>
        <w:t xml:space="preserve"> size </w:t>
      </w:r>
      <m:oMath>
        <m:r>
          <w:rPr>
            <w:rFonts w:ascii="Cambria Math" w:hAnsi="Cambria Math" w:cs="Arial"/>
            <w:color w:val="000000" w:themeColor="text1"/>
          </w:rPr>
          <m:t>x</m:t>
        </m:r>
      </m:oMath>
      <w:r w:rsidRPr="00D541E6">
        <w:rPr>
          <w:rFonts w:asciiTheme="majorHAnsi" w:hAnsiTheme="majorHAnsi" w:cs="Arial"/>
          <w:color w:val="000000" w:themeColor="text1"/>
        </w:rPr>
        <w:t>,</w:t>
      </w:r>
      <w:r w:rsidRPr="00D541E6">
        <w:rPr>
          <w:rFonts w:asciiTheme="majorHAnsi" w:hAnsiTheme="majorHAnsi" w:cs="Arial"/>
          <w:bCs/>
          <w:color w:val="000000" w:themeColor="text1"/>
        </w:rPr>
        <w:t xml:space="preserve"> cannot be directly observed but can be measured from the image. Given the survival time, treatment, and scan image for each patient, a CNN was trained to predict survival and estimate treatment effect. Following standard practice for predicting a continuous real outcome with deep learning, the last layer of the CNN resembles linear regression where</w:t>
      </w:r>
      <w:r w:rsidRPr="00D541E6">
        <w:rPr>
          <w:rFonts w:asciiTheme="majorHAnsi" w:hAnsiTheme="majorHAnsi" w:cs="Arial"/>
          <w:bCs/>
          <w:color w:val="000000" w:themeColor="text1"/>
        </w:rPr>
        <w:br/>
      </w:r>
      <m:oMathPara>
        <m:oMath>
          <m:acc>
            <m:accPr>
              <m:ctrlPr>
                <w:rPr>
                  <w:rFonts w:ascii="Cambria Math" w:hAnsi="Cambria Math" w:cs="Calibri"/>
                  <w:i/>
                  <w:color w:val="000000" w:themeColor="text1"/>
                </w:rPr>
              </m:ctrlPr>
            </m:accPr>
            <m:e>
              <m:r>
                <w:rPr>
                  <w:rFonts w:ascii="Cambria Math" w:hAnsi="Cambria Math" w:cs="Calibri"/>
                  <w:color w:val="000000" w:themeColor="text1"/>
                </w:rPr>
                <m:t>Y</m:t>
              </m:r>
            </m:e>
          </m:acc>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0</m:t>
              </m:r>
            </m:sub>
          </m:sSub>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a</m:t>
              </m:r>
            </m:sub>
          </m:sSub>
          <m:r>
            <w:rPr>
              <w:rFonts w:ascii="Cambria Math" w:hAnsi="Cambria Math" w:cs="Calibri"/>
              <w:color w:val="000000" w:themeColor="text1"/>
            </w:rPr>
            <m:t>a+</m:t>
          </m:r>
          <m:r>
            <m:rPr>
              <m:sty m:val="p"/>
            </m:rPr>
            <w:rPr>
              <w:rFonts w:ascii="Cambria Math" w:hAnsi="Cambria Math" w:cs="Calibri"/>
              <w:color w:val="000000" w:themeColor="text1"/>
            </w:rPr>
            <m:t xml:space="preserve"> </m:t>
          </m:r>
          <m:nary>
            <m:naryPr>
              <m:chr m:val="∑"/>
              <m:limLoc m:val="undOvr"/>
              <m:ctrlPr>
                <w:rPr>
                  <w:rFonts w:ascii="Cambria Math" w:hAnsi="Cambria Math" w:cs="Calibri"/>
                  <w:color w:val="000000" w:themeColor="text1"/>
                </w:rPr>
              </m:ctrlPr>
            </m:naryPr>
            <m:sub>
              <m:r>
                <w:rPr>
                  <w:rFonts w:ascii="Cambria Math" w:hAnsi="Cambria Math" w:cs="Calibri"/>
                  <w:color w:val="000000" w:themeColor="text1"/>
                </w:rPr>
                <m:t>j=1</m:t>
              </m:r>
            </m:sub>
            <m:sup>
              <m:sSub>
                <m:sSubPr>
                  <m:ctrlPr>
                    <w:rPr>
                      <w:rFonts w:ascii="Cambria Math" w:hAnsi="Cambria Math" w:cs="Calibri"/>
                      <w:i/>
                      <w:color w:val="000000" w:themeColor="text1"/>
                    </w:rPr>
                  </m:ctrlPr>
                </m:sSubPr>
                <m:e>
                  <m:r>
                    <w:rPr>
                      <w:rFonts w:ascii="Cambria Math" w:hAnsi="Cambria Math" w:cs="Calibri"/>
                      <w:color w:val="000000" w:themeColor="text1"/>
                    </w:rPr>
                    <m:t>N</m:t>
                  </m:r>
                </m:e>
                <m:sub>
                  <m:r>
                    <w:rPr>
                      <w:rFonts w:ascii="Cambria Math" w:hAnsi="Cambria Math" w:cs="Calibri"/>
                      <w:color w:val="000000" w:themeColor="text1"/>
                    </w:rPr>
                    <m:t>k</m:t>
                  </m:r>
                </m:sub>
              </m:sSub>
            </m:sup>
            <m:e>
              <m:sSubSup>
                <m:sSubSupPr>
                  <m:ctrlPr>
                    <w:rPr>
                      <w:rFonts w:ascii="Cambria Math" w:hAnsi="Cambria Math" w:cs="Calibri"/>
                      <w:i/>
                      <w:color w:val="000000" w:themeColor="text1"/>
                    </w:rPr>
                  </m:ctrlPr>
                </m:sSubSupPr>
                <m:e>
                  <m:r>
                    <w:rPr>
                      <w:rFonts w:ascii="Cambria Math" w:hAnsi="Cambria Math" w:cs="Calibri"/>
                      <w:color w:val="000000" w:themeColor="text1"/>
                    </w:rPr>
                    <m:t>β</m:t>
                  </m:r>
                </m:e>
                <m:sub>
                  <m:r>
                    <w:rPr>
                      <w:rFonts w:ascii="Cambria Math" w:hAnsi="Cambria Math" w:cs="Calibri"/>
                      <w:color w:val="000000" w:themeColor="text1"/>
                    </w:rPr>
                    <m:t>j</m:t>
                  </m:r>
                </m:sub>
                <m:sup>
                  <m:r>
                    <w:rPr>
                      <w:rFonts w:ascii="Cambria Math" w:hAnsi="Cambria Math" w:cs="Calibri"/>
                      <w:color w:val="000000" w:themeColor="text1"/>
                    </w:rPr>
                    <m:t>k</m:t>
                  </m:r>
                </m:sup>
              </m:sSubSup>
            </m:e>
          </m:nary>
          <m:sSubSup>
            <m:sSubSupPr>
              <m:ctrlPr>
                <w:rPr>
                  <w:rFonts w:ascii="Cambria Math" w:hAnsi="Cambria Math" w:cs="Calibri"/>
                  <w:i/>
                  <w:color w:val="000000" w:themeColor="text1"/>
                </w:rPr>
              </m:ctrlPr>
            </m:sSubSupPr>
            <m:e>
              <m:r>
                <w:rPr>
                  <w:rFonts w:ascii="Cambria Math" w:hAnsi="Cambria Math" w:cs="Calibri"/>
                  <w:color w:val="000000" w:themeColor="text1"/>
                </w:rPr>
                <m:t>ϕ</m:t>
              </m:r>
            </m:e>
            <m:sub>
              <m:r>
                <w:rPr>
                  <w:rFonts w:ascii="Cambria Math" w:hAnsi="Cambria Math" w:cs="Calibri"/>
                  <w:color w:val="000000" w:themeColor="text1"/>
                </w:rPr>
                <m:t>j</m:t>
              </m:r>
            </m:sub>
            <m:sup>
              <m:r>
                <w:rPr>
                  <w:rFonts w:ascii="Cambria Math" w:hAnsi="Cambria Math" w:cs="Calibri"/>
                  <w:color w:val="000000" w:themeColor="text1"/>
                </w:rPr>
                <m:t>k</m:t>
              </m:r>
            </m:sup>
          </m:sSubSup>
          <m:r>
            <m:rPr>
              <m:sty m:val="p"/>
            </m:rPr>
            <w:rPr>
              <w:rFonts w:ascii="Cambria Math" w:hAnsi="Cambria Math" w:cs="Arial"/>
              <w:color w:val="000000" w:themeColor="text1"/>
            </w:rPr>
            <w:br/>
          </m:r>
        </m:oMath>
      </m:oMathPara>
      <w:r w:rsidRPr="00D541E6">
        <w:rPr>
          <w:rFonts w:asciiTheme="majorHAnsi" w:hAnsiTheme="majorHAnsi" w:cs="Arial"/>
          <w:color w:val="000000" w:themeColor="text1"/>
        </w:rPr>
        <w:t xml:space="preserve">with </w:t>
      </w:r>
      <m:oMath>
        <m:sSubSup>
          <m:sSubSupPr>
            <m:ctrlPr>
              <w:rPr>
                <w:rFonts w:ascii="Cambria Math" w:hAnsi="Cambria Math" w:cs="Calibri"/>
                <w:i/>
                <w:color w:val="000000" w:themeColor="text1"/>
              </w:rPr>
            </m:ctrlPr>
          </m:sSubSupPr>
          <m:e>
            <m:r>
              <w:rPr>
                <w:rFonts w:ascii="Cambria Math" w:hAnsi="Cambria Math" w:cs="Calibri"/>
                <w:color w:val="000000" w:themeColor="text1"/>
              </w:rPr>
              <m:t>ϕ</m:t>
            </m:r>
          </m:e>
          <m:sub>
            <m:r>
              <w:rPr>
                <w:rFonts w:ascii="Cambria Math" w:hAnsi="Cambria Math" w:cs="Calibri"/>
                <w:color w:val="000000" w:themeColor="text1"/>
              </w:rPr>
              <m:t>j</m:t>
            </m:r>
          </m:sub>
          <m:sup>
            <m:r>
              <w:rPr>
                <w:rFonts w:ascii="Cambria Math" w:hAnsi="Cambria Math" w:cs="Calibri"/>
                <w:color w:val="000000" w:themeColor="text1"/>
              </w:rPr>
              <m:t>k</m:t>
            </m:r>
          </m:sup>
        </m:sSubSup>
      </m:oMath>
      <w:r w:rsidRPr="00D541E6">
        <w:rPr>
          <w:rFonts w:asciiTheme="majorHAnsi" w:hAnsiTheme="majorHAnsi" w:cs="Arial"/>
          <w:color w:val="000000" w:themeColor="text1"/>
        </w:rPr>
        <w:t xml:space="preserve"> being the </w:t>
      </w:r>
      <m:oMath>
        <m:sSub>
          <m:sSubPr>
            <m:ctrlPr>
              <w:rPr>
                <w:rFonts w:ascii="Cambria Math" w:hAnsi="Cambria Math" w:cs="Calibri"/>
                <w:i/>
                <w:color w:val="000000" w:themeColor="text1"/>
              </w:rPr>
            </m:ctrlPr>
          </m:sSubPr>
          <m:e>
            <m:r>
              <w:rPr>
                <w:rFonts w:ascii="Cambria Math" w:hAnsi="Cambria Math" w:cs="Calibri"/>
                <w:color w:val="000000" w:themeColor="text1"/>
              </w:rPr>
              <m:t>N</m:t>
            </m:r>
          </m:e>
          <m:sub>
            <m:r>
              <w:rPr>
                <w:rFonts w:ascii="Cambria Math" w:hAnsi="Cambria Math" w:cs="Calibri"/>
                <w:color w:val="000000" w:themeColor="text1"/>
              </w:rPr>
              <m:t>k</m:t>
            </m:r>
          </m:sub>
        </m:sSub>
      </m:oMath>
      <w:r w:rsidRPr="00D541E6">
        <w:rPr>
          <w:rFonts w:asciiTheme="majorHAnsi" w:hAnsiTheme="majorHAnsi" w:cs="Arial"/>
          <w:color w:val="000000" w:themeColor="text1"/>
        </w:rPr>
        <w:t xml:space="preserve"> activations of the final layer of a </w:t>
      </w:r>
      <m:oMath>
        <m:r>
          <w:rPr>
            <w:rFonts w:ascii="Cambria Math" w:hAnsi="Cambria Math" w:cs="Calibri"/>
            <w:color w:val="000000" w:themeColor="text1"/>
          </w:rPr>
          <m:t>k</m:t>
        </m:r>
      </m:oMath>
      <w:r w:rsidRPr="00D541E6">
        <w:rPr>
          <w:rFonts w:asciiTheme="majorHAnsi" w:hAnsiTheme="majorHAnsi" w:cs="Arial"/>
          <w:color w:val="000000" w:themeColor="text1"/>
        </w:rPr>
        <w:t xml:space="preserve">-layer CNN and </w:t>
      </w:r>
      <m:oMath>
        <m:sSub>
          <m:sSubPr>
            <m:ctrlPr>
              <w:rPr>
                <w:rFonts w:ascii="Cambria Math" w:hAnsi="Cambria Math" w:cs="Calibri"/>
                <w: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a</m:t>
            </m:r>
          </m:sub>
        </m:sSub>
      </m:oMath>
      <w:r w:rsidRPr="00D541E6">
        <w:rPr>
          <w:rFonts w:asciiTheme="majorHAnsi" w:hAnsiTheme="majorHAnsi" w:cs="Arial"/>
          <w:color w:val="000000" w:themeColor="text1"/>
        </w:rPr>
        <w:t xml:space="preserve"> </w:t>
      </w:r>
      <w:r w:rsidRPr="00D541E6">
        <w:rPr>
          <w:rFonts w:asciiTheme="majorHAnsi" w:hAnsiTheme="majorHAnsi" w:cs="Arial"/>
          <w:color w:val="000000" w:themeColor="text1"/>
        </w:rPr>
        <w:lastRenderedPageBreak/>
        <w:t xml:space="preserve">estimating the average treatment effect. The idea was to utilise this resemblance and separate the contributions of different factors of variation during training. To attain separation of the collider </w:t>
      </w:r>
      <m:oMath>
        <m:r>
          <w:rPr>
            <w:rFonts w:ascii="Cambria Math" w:hAnsi="Cambria Math" w:cs="Calibri"/>
            <w:color w:val="000000" w:themeColor="text1"/>
          </w:rPr>
          <m:t>x</m:t>
        </m:r>
      </m:oMath>
      <w:r w:rsidRPr="00D541E6">
        <w:rPr>
          <w:rFonts w:asciiTheme="majorHAnsi" w:hAnsiTheme="majorHAnsi" w:cs="Arial"/>
          <w:color w:val="000000" w:themeColor="text1"/>
        </w:rPr>
        <w:t xml:space="preserve"> from other factors of variation in the last layer, a loss term </w:t>
      </w:r>
      <m:oMath>
        <m:sSubSup>
          <m:sSubSupPr>
            <m:ctrlPr>
              <w:rPr>
                <w:rFonts w:ascii="Cambria Math" w:hAnsi="Cambria Math" w:cs="Calibri"/>
                <w:i/>
                <w:color w:val="000000" w:themeColor="text1"/>
              </w:rPr>
            </m:ctrlPr>
          </m:sSubSupPr>
          <m:e>
            <m:sSub>
              <m:sSubPr>
                <m:ctrlPr>
                  <w:rPr>
                    <w:rFonts w:ascii="Cambria Math" w:hAnsi="Cambria Math" w:cs="Calibri"/>
                    <w:i/>
                    <w:color w:val="000000" w:themeColor="text1"/>
                  </w:rPr>
                </m:ctrlPr>
              </m:sSubPr>
              <m:e>
                <m:r>
                  <w:rPr>
                    <w:rFonts w:ascii="Cambria Math" w:hAnsi="Cambria Math" w:cs="Calibri"/>
                    <w:color w:val="000000" w:themeColor="text1"/>
                  </w:rPr>
                  <m:t>L</m:t>
                </m:r>
              </m:e>
              <m:sub>
                <m:r>
                  <w:rPr>
                    <w:rFonts w:ascii="Cambria Math" w:hAnsi="Cambria Math" w:cs="Calibri"/>
                    <w:color w:val="000000" w:themeColor="text1"/>
                  </w:rPr>
                  <m:t>x</m:t>
                </m:r>
              </m:sub>
            </m:sSub>
            <m:r>
              <w:rPr>
                <w:rFonts w:ascii="Cambria Math" w:hAnsi="Cambria Math" w:cs="Calibri"/>
                <w:color w:val="000000" w:themeColor="text1"/>
              </w:rPr>
              <m:t>(ϕ</m:t>
            </m:r>
          </m:e>
          <m:sub>
            <m:r>
              <w:rPr>
                <w:rFonts w:ascii="Cambria Math" w:hAnsi="Cambria Math" w:cs="Calibri"/>
                <w:color w:val="000000" w:themeColor="text1"/>
              </w:rPr>
              <m:t>1</m:t>
            </m:r>
          </m:sub>
          <m:sup>
            <m:r>
              <w:rPr>
                <w:rFonts w:ascii="Cambria Math" w:hAnsi="Cambria Math" w:cs="Calibri"/>
                <w:color w:val="000000" w:themeColor="text1"/>
              </w:rPr>
              <m:t>k</m:t>
            </m:r>
          </m:sup>
        </m:sSubSup>
        <m:r>
          <w:rPr>
            <w:rFonts w:ascii="Cambria Math" w:hAnsi="Cambria Math" w:cs="Calibri"/>
            <w:color w:val="000000" w:themeColor="text1"/>
          </w:rPr>
          <m:t>,x)</m:t>
        </m:r>
      </m:oMath>
      <w:r w:rsidRPr="00D541E6">
        <w:rPr>
          <w:rFonts w:asciiTheme="majorHAnsi" w:hAnsiTheme="majorHAnsi" w:cs="Arial"/>
          <w:color w:val="000000" w:themeColor="text1"/>
        </w:rPr>
        <w:t xml:space="preserve"> was added to the total loss function such that a single activation will approximate the collider: </w:t>
      </w:r>
      <m:oMath>
        <m:sSubSup>
          <m:sSubSupPr>
            <m:ctrlPr>
              <w:rPr>
                <w:rFonts w:ascii="Cambria Math" w:hAnsi="Cambria Math" w:cs="Calibri"/>
                <w:i/>
                <w:color w:val="000000" w:themeColor="text1"/>
              </w:rPr>
            </m:ctrlPr>
          </m:sSubSupPr>
          <m:e>
            <m:r>
              <w:rPr>
                <w:rFonts w:ascii="Cambria Math" w:hAnsi="Cambria Math" w:cs="Calibri"/>
                <w:color w:val="000000" w:themeColor="text1"/>
              </w:rPr>
              <m:t>ϕ</m:t>
            </m:r>
          </m:e>
          <m:sub>
            <m:r>
              <w:rPr>
                <w:rFonts w:ascii="Cambria Math" w:hAnsi="Cambria Math" w:cs="Calibri"/>
                <w:color w:val="000000" w:themeColor="text1"/>
              </w:rPr>
              <m:t>1</m:t>
            </m:r>
          </m:sub>
          <m:sup>
            <m:r>
              <w:rPr>
                <w:rFonts w:ascii="Cambria Math" w:hAnsi="Cambria Math" w:cs="Calibri"/>
                <w:color w:val="000000" w:themeColor="text1"/>
              </w:rPr>
              <m:t>k</m:t>
            </m:r>
          </m:sup>
        </m:sSubSup>
        <m:r>
          <w:rPr>
            <w:rFonts w:ascii="Cambria Math" w:hAnsi="Cambria Math" w:cs="Calibri"/>
            <w:color w:val="000000" w:themeColor="text1"/>
          </w:rPr>
          <m:t>≈</m:t>
        </m:r>
        <m:r>
          <w:rPr>
            <w:rFonts w:ascii="Cambria Math" w:hAnsi="Cambria Math" w:cs="Arial"/>
            <w:color w:val="000000" w:themeColor="text1"/>
          </w:rPr>
          <m:t>x</m:t>
        </m:r>
      </m:oMath>
      <w:r w:rsidRPr="00D541E6">
        <w:rPr>
          <w:rFonts w:asciiTheme="majorHAnsi" w:hAnsiTheme="majorHAnsi" w:cs="Arial"/>
          <w:color w:val="000000" w:themeColor="text1"/>
        </w:rPr>
        <w:t>. Meanwhile, the other activations were constrained to be linearly independent of the collider so that performing linear regression on these activations (</w:t>
      </w:r>
      <m:oMath>
        <m:sSubSup>
          <m:sSubSupPr>
            <m:ctrlPr>
              <w:rPr>
                <w:rFonts w:ascii="Cambria Math" w:hAnsi="Cambria Math" w:cs="Calibri"/>
                <w:i/>
                <w:color w:val="000000" w:themeColor="text1"/>
              </w:rPr>
            </m:ctrlPr>
          </m:sSubSupPr>
          <m:e>
            <m:r>
              <w:rPr>
                <w:rFonts w:ascii="Cambria Math" w:hAnsi="Cambria Math" w:cs="Calibri"/>
                <w:color w:val="000000" w:themeColor="text1"/>
              </w:rPr>
              <m:t>ϕ</m:t>
            </m:r>
          </m:e>
          <m:sub>
            <m:r>
              <w:rPr>
                <w:rFonts w:ascii="Cambria Math" w:hAnsi="Cambria Math" w:cs="Calibri"/>
                <w:color w:val="000000" w:themeColor="text1"/>
              </w:rPr>
              <m:t>j</m:t>
            </m:r>
          </m:sub>
          <m:sup>
            <m:r>
              <w:rPr>
                <w:rFonts w:ascii="Cambria Math" w:hAnsi="Cambria Math" w:cs="Calibri"/>
                <w:color w:val="000000" w:themeColor="text1"/>
              </w:rPr>
              <m:t>k</m:t>
            </m:r>
          </m:sup>
        </m:sSubSup>
        <m:r>
          <w:rPr>
            <w:rFonts w:ascii="Cambria Math" w:hAnsi="Cambria Math" w:cs="Calibri"/>
            <w:color w:val="000000" w:themeColor="text1"/>
          </w:rPr>
          <m:t>, j&gt;1</m:t>
        </m:r>
      </m:oMath>
      <w:r w:rsidRPr="00D541E6">
        <w:rPr>
          <w:rFonts w:asciiTheme="majorHAnsi" w:hAnsiTheme="majorHAnsi" w:cs="Arial"/>
          <w:color w:val="000000" w:themeColor="text1"/>
        </w:rPr>
        <w:t xml:space="preserve">) and the treatment indicator </w:t>
      </w:r>
      <m:oMath>
        <m:r>
          <w:rPr>
            <w:rFonts w:ascii="Cambria Math" w:hAnsi="Cambria Math" w:cs="Calibri"/>
            <w:color w:val="000000" w:themeColor="text1"/>
          </w:rPr>
          <m:t xml:space="preserve">a </m:t>
        </m:r>
      </m:oMath>
      <w:r w:rsidRPr="00D541E6">
        <w:rPr>
          <w:rFonts w:asciiTheme="majorHAnsi" w:hAnsiTheme="majorHAnsi" w:cs="Arial"/>
          <w:color w:val="000000" w:themeColor="text1"/>
        </w:rPr>
        <w:t xml:space="preserve">should mimic ommitting the collider as a variable in the regression. After model convergence, one can fix all CNN parameters and do a single ordinary least squares on </w:t>
      </w:r>
      <m:oMath>
        <m:r>
          <w:rPr>
            <w:rFonts w:ascii="Cambria Math" w:hAnsi="Cambria Math" w:cs="Calibri"/>
            <w:color w:val="000000" w:themeColor="text1"/>
          </w:rPr>
          <m:t>{</m:t>
        </m:r>
        <m:sSubSup>
          <m:sSubSupPr>
            <m:ctrlPr>
              <w:rPr>
                <w:rFonts w:ascii="Cambria Math" w:hAnsi="Cambria Math" w:cs="Calibri"/>
                <w:i/>
                <w:color w:val="000000" w:themeColor="text1"/>
              </w:rPr>
            </m:ctrlPr>
          </m:sSubSupPr>
          <m:e>
            <m:r>
              <w:rPr>
                <w:rFonts w:ascii="Cambria Math" w:hAnsi="Cambria Math" w:cs="Calibri"/>
                <w:color w:val="000000" w:themeColor="text1"/>
              </w:rPr>
              <m:t>ϕ</m:t>
            </m:r>
          </m:e>
          <m:sub>
            <m:r>
              <w:rPr>
                <w:rFonts w:ascii="Cambria Math" w:hAnsi="Cambria Math" w:cs="Calibri"/>
                <w:color w:val="000000" w:themeColor="text1"/>
              </w:rPr>
              <m:t>j</m:t>
            </m:r>
          </m:sub>
          <m:sup>
            <m:r>
              <w:rPr>
                <w:rFonts w:ascii="Cambria Math" w:hAnsi="Cambria Math" w:cs="Calibri"/>
                <w:color w:val="000000" w:themeColor="text1"/>
              </w:rPr>
              <m:t>k</m:t>
            </m:r>
          </m:sup>
        </m:sSubSup>
        <m:r>
          <w:rPr>
            <w:rFonts w:ascii="Cambria Math" w:hAnsi="Cambria Math" w:cs="Calibri"/>
            <w:color w:val="000000" w:themeColor="text1"/>
          </w:rPr>
          <m:t>∪</m:t>
        </m:r>
        <m:r>
          <w:rPr>
            <w:rFonts w:ascii="Cambria Math" w:hAnsi="Cambria Math" w:cs="STIXGeneral-Regular"/>
            <w:color w:val="000000" w:themeColor="text1"/>
          </w:rPr>
          <m:t>a</m:t>
        </m:r>
        <m:r>
          <m:rPr>
            <m:sty m:val="p"/>
          </m:rPr>
          <w:rPr>
            <w:rFonts w:ascii="Cambria Math" w:hAnsi="Cambria Math" w:cs="STIXGeneral-Regular"/>
            <w:color w:val="000000" w:themeColor="text1"/>
          </w:rPr>
          <m:t xml:space="preserve">, </m:t>
        </m:r>
        <m:r>
          <w:rPr>
            <w:rFonts w:ascii="Cambria Math" w:hAnsi="Cambria Math" w:cs="STIXGeneral-Regular"/>
            <w:color w:val="000000" w:themeColor="text1"/>
          </w:rPr>
          <m:t>j&gt;1</m:t>
        </m:r>
        <m:r>
          <w:rPr>
            <w:rFonts w:ascii="Cambria Math" w:hAnsi="Cambria Math" w:cs="Calibri"/>
            <w:color w:val="000000" w:themeColor="text1"/>
          </w:rPr>
          <m:t xml:space="preserve">} </m:t>
        </m:r>
      </m:oMath>
      <w:r w:rsidRPr="00D541E6">
        <w:rPr>
          <w:rFonts w:asciiTheme="majorHAnsi" w:hAnsiTheme="majorHAnsi" w:cs="Arial"/>
          <w:color w:val="000000" w:themeColor="text1"/>
        </w:rPr>
        <w:t xml:space="preserve">to get a valid estimate of the treatment effect with </w:t>
      </w:r>
      <m:oMath>
        <m:sSub>
          <m:sSubPr>
            <m:ctrlPr>
              <w:rPr>
                <w:rFonts w:ascii="Cambria Math" w:hAnsi="Cambria Math" w:cs="Calibri"/>
                <w:i/>
                <w:color w:val="000000" w:themeColor="text1"/>
              </w:rPr>
            </m:ctrlPr>
          </m:sSubPr>
          <m:e>
            <m:r>
              <w:rPr>
                <w:rFonts w:ascii="Cambria Math" w:hAnsi="Cambria Math" w:cs="Calibri"/>
                <w:color w:val="000000" w:themeColor="text1"/>
              </w:rPr>
              <m:t>β</m:t>
            </m:r>
          </m:e>
          <m:sub>
            <m:r>
              <w:rPr>
                <w:rFonts w:ascii="Cambria Math" w:hAnsi="Cambria Math" w:cs="Calibri"/>
                <w:color w:val="000000" w:themeColor="text1"/>
              </w:rPr>
              <m:t>a</m:t>
            </m:r>
          </m:sub>
        </m:sSub>
      </m:oMath>
      <w:r w:rsidRPr="00D541E6">
        <w:rPr>
          <w:rFonts w:asciiTheme="majorHAnsi" w:hAnsiTheme="majorHAnsi" w:cs="Arial"/>
          <w:color w:val="000000" w:themeColor="text1"/>
        </w:rPr>
        <w:t xml:space="preserve"> and make prediction on the overall survival. </w:t>
      </w:r>
      <w:r w:rsidRPr="00D541E6">
        <w:rPr>
          <w:rFonts w:asciiTheme="majorHAnsi" w:hAnsiTheme="majorHAnsi" w:cs="Arial"/>
          <w:bCs/>
          <w:color w:val="000000" w:themeColor="text1"/>
          <w:lang w:eastAsia="zh-CN"/>
        </w:rPr>
        <w:t xml:space="preserve">    </w:t>
      </w:r>
    </w:p>
    <w:p w14:paraId="08F77A27" w14:textId="1F0CB494"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rPr>
        <w:t>Van Amsterdam</w:t>
      </w:r>
      <w:r w:rsidRPr="00D541E6" w:rsidDel="0002451F">
        <w:rPr>
          <w:rFonts w:asciiTheme="majorHAnsi" w:hAnsiTheme="majorHAnsi" w:cs="Arial"/>
          <w:bCs/>
          <w:color w:val="000000" w:themeColor="text1"/>
        </w:rPr>
        <w:t xml:space="preserve"> </w:t>
      </w:r>
      <w:r w:rsidRPr="00D541E6">
        <w:rPr>
          <w:rFonts w:asciiTheme="majorHAnsi" w:hAnsiTheme="majorHAnsi" w:cs="Arial"/>
          <w:bCs/>
          <w:i/>
          <w:color w:val="000000" w:themeColor="text1"/>
          <w:lang w:eastAsia="zh-CN"/>
        </w:rPr>
        <w:t>et al.</w:t>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{"citationItems":[{"id":"ITEM-1","itemData":{"DOI":"10.1038/s41746-019-0194-x","abstract":"Deep learning has shown remarkable results for image analysis and is expected to aid individual treatment decisions in health care. Treatment recommendations are predictions with an inherently causal interpretation. To use deep learning for these applications in the setting of observational data, deep learning methods must be made compatible with the required causal assumptions. We present a scenario with real-world medical images (CT-scans of lung cancer) and simulated outcome data. Through the data simulation scheme, the images contain two distinct factors of variation that are associated with survival, but represent a collider (tumor size) and a prognostic factor (tumor heterogeneity), respectively. When a deep network would use all the information available in the image to predict survival, it would condition on the collider and thereby introduce bias in the estimation of the treatment effect. We show that when this collider can be quantified, unbiased individual prognosis predictions are attainable with deep learning. This is achieved by (1) setting a dual task for the network to predict both the outcome and the collider and (2) enforcing a form of linear independence of the activation distributions of the last layer. Our method provides an example of combining deep learning and structural causal models to achieve unbiased individual prognosis predictions. Extensions of machine learning methods for applications to causal questions are required to attain the long-standing goal of personalized medicine supported by artificial intelligence.","author":[{"dropping-particle":"","family":"Amsterdam","given":"W. A. C.","non-dropping-particle":"van","parse-names":false,"suffix":""},{"dropping-particle":"","family":"Verhoeff","given":"J. J. C.","non-dropping-particle":"","parse-names":false,"suffix":""},{"dropping-particle":"","family":"Jong","given":"P. A.","non-dropping-particle":"de","parse-names":false,"suffix":""},{"dropping-particle":"","family":"Leiner","given":"T.","non-dropping-particle":"","parse-names":false,"suffix":""},{"dropping-particle":"","family":"Eijkemans","given":"M. J. C.","non-dropping-particle":"","parse-names":false,"suffix":""}],"container-title":"npj Digital Medicine","id":"ITEM-1","issue":"1","issued":{"date-parts":[["2019","12","10"]]},"page":"1-6","publisher":"Springer Science and Business Media LLC","title":"Eliminating biasing signals in lung cancer images for prognosis predictions with deep learning","type":"article-journal","volume":"2"},"uris":["http://www.mendeley.com/documents/?uuid=903e39cc-4da0-3474-977a-aeeb859d7614"]}],"mendeley":{"formattedCitation":"(van Amsterdam et al., 2019)","plainTextFormattedCitation":"(van Amsterdam et al., 2019)","previouslyFormattedCitation":"(18)"},"properties":{"noteIndex":0},"schema":"https://github.com/citation-style-language/schema/raw/master/csl-citation.json"}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(van Amsterdam et al., 2019)</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has demonstrated that deep learning can in principal be combined with insights from causal inference to estimate unbiased treatment effect for prediction. However, the causal structure applied here was in its simplest form, and further developments are needed for more realistic clinical scenarios where, e.g., there is confounding for treatment assignment, or a treatment effect modifier exists within the image. </w:t>
      </w:r>
    </w:p>
    <w:p w14:paraId="1915DCD2" w14:textId="2E43D581" w:rsidR="00D26A9D" w:rsidRPr="00D541E6" w:rsidRDefault="00A767D4" w:rsidP="00D26A9D">
      <w:pPr>
        <w:autoSpaceDE w:val="0"/>
        <w:autoSpaceDN w:val="0"/>
        <w:adjustRightInd w:val="0"/>
        <w:spacing w:after="240" w:line="276" w:lineRule="auto"/>
        <w:rPr>
          <w:rFonts w:asciiTheme="majorHAnsi" w:hAnsiTheme="majorHAnsi" w:cs="Arial"/>
          <w:b/>
          <w:bCs/>
          <w:i/>
          <w:color w:val="000000" w:themeColor="text1"/>
          <w:lang w:eastAsia="zh-CN"/>
        </w:rPr>
      </w:pPr>
      <w:r>
        <w:rPr>
          <w:rFonts w:asciiTheme="majorHAnsi" w:hAnsiTheme="majorHAnsi" w:cs="Arial"/>
          <w:b/>
          <w:bCs/>
          <w:i/>
          <w:color w:val="000000" w:themeColor="text1"/>
          <w:lang w:eastAsia="zh-CN"/>
        </w:rPr>
        <w:t>Related to</w:t>
      </w:r>
      <w:r w:rsidR="00D26A9D" w:rsidRPr="00D541E6">
        <w:rPr>
          <w:rFonts w:asciiTheme="majorHAnsi" w:hAnsiTheme="majorHAnsi" w:cs="Arial"/>
          <w:b/>
          <w:bCs/>
          <w:i/>
          <w:color w:val="000000" w:themeColor="text1"/>
          <w:lang w:eastAsia="zh-CN"/>
        </w:rPr>
        <w:t xml:space="preserve"> conditional treatment effects </w:t>
      </w:r>
    </w:p>
    <w:p w14:paraId="76C53608" w14:textId="332769A2"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Conditional treatment effects for subjects with a covariate </w:t>
      </w:r>
      <m:oMath>
        <m:r>
          <w:rPr>
            <w:rFonts w:ascii="Cambria Math" w:hAnsi="Cambria Math"/>
            <w:color w:val="000000" w:themeColor="text1"/>
          </w:rPr>
          <m:t>X=x</m:t>
        </m:r>
      </m:oMath>
      <w:r w:rsidRPr="00D541E6">
        <w:rPr>
          <w:rFonts w:asciiTheme="majorHAnsi" w:hAnsiTheme="majorHAnsi" w:cs="Arial"/>
          <w:bCs/>
          <w:color w:val="000000" w:themeColor="text1"/>
          <w:lang w:eastAsia="zh-CN"/>
        </w:rPr>
        <w:t xml:space="preserve"> in a population at a single time point is defined as </w:t>
      </w:r>
      <m:oMath>
        <m:r>
          <w:rPr>
            <w:rFonts w:ascii="Cambria Math" w:hAnsi="Cambria Math"/>
            <w:color w:val="000000" w:themeColor="text1"/>
          </w:rPr>
          <m:t>T</m:t>
        </m:r>
        <m:d>
          <m:dPr>
            <m:ctrlPr>
              <w:rPr>
                <w:rFonts w:ascii="Cambria Math" w:hAnsi="Cambria Math"/>
                <w:i/>
                <w:color w:val="000000" w:themeColor="text1"/>
              </w:rPr>
            </m:ctrlPr>
          </m:dPr>
          <m:e>
            <m:r>
              <w:rPr>
                <w:rFonts w:ascii="Cambria Math" w:hAnsi="Cambria Math"/>
                <w:color w:val="000000" w:themeColor="text1"/>
              </w:rPr>
              <m:t>x</m:t>
            </m:r>
          </m:e>
        </m:d>
        <m:r>
          <w:rPr>
            <w:rFonts w:ascii="Cambria Math" w:hAnsi="Cambria Math"/>
            <w:color w:val="000000" w:themeColor="text1"/>
          </w:rPr>
          <m:t>=E[</m:t>
        </m:r>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1</m:t>
                </m:r>
              </m:e>
            </m:d>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0</m:t>
                </m:r>
              </m:e>
            </m:d>
          </m:sup>
        </m:sSup>
        <m:r>
          <w:rPr>
            <w:rFonts w:ascii="Cambria Math" w:hAnsi="Cambria Math"/>
            <w:color w:val="000000" w:themeColor="text1"/>
          </w:rPr>
          <m:t>|X=x]</m:t>
        </m:r>
      </m:oMath>
      <w:r w:rsidRPr="00D541E6">
        <w:rPr>
          <w:rFonts w:asciiTheme="majorHAnsi" w:hAnsiTheme="majorHAnsi" w:cs="Arial"/>
          <w:color w:val="000000" w:themeColor="text1"/>
        </w:rPr>
        <w:t xml:space="preserve"> and our goal here is to estimate the counterfactual prediction of </w:t>
      </w:r>
      <m:oMath>
        <m:r>
          <w:rPr>
            <w:rFonts w:ascii="Cambria Math" w:hAnsi="Cambria Math"/>
            <w:color w:val="000000" w:themeColor="text1"/>
          </w:rPr>
          <m:t>E</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a</m:t>
                    </m:r>
                  </m:e>
                </m:d>
              </m:sup>
            </m:sSup>
          </m:e>
          <m:e>
            <m:r>
              <w:rPr>
                <w:rFonts w:ascii="Cambria Math" w:hAnsi="Cambria Math"/>
                <w:color w:val="000000" w:themeColor="text1"/>
              </w:rPr>
              <m:t>X=x</m:t>
            </m:r>
            <m:ctrlPr>
              <w:rPr>
                <w:rFonts w:ascii="Cambria Math" w:hAnsi="Cambria Math" w:cs="Arial"/>
                <w:i/>
                <w:color w:val="000000" w:themeColor="text1"/>
              </w:rPr>
            </m:ctrlPr>
          </m:e>
        </m:d>
        <m:r>
          <w:rPr>
            <w:rFonts w:ascii="Cambria Math" w:hAnsi="Cambria Math" w:cs="Arial"/>
            <w:color w:val="000000" w:themeColor="text1"/>
          </w:rPr>
          <m:t>, a∈</m:t>
        </m:r>
        <m:r>
          <m:rPr>
            <m:lit/>
          </m:rPr>
          <w:rPr>
            <w:rFonts w:ascii="Cambria Math" w:hAnsi="Cambria Math" w:cs="Arial"/>
            <w:color w:val="000000" w:themeColor="text1"/>
          </w:rPr>
          <m:t>{</m:t>
        </m:r>
        <m:r>
          <w:rPr>
            <w:rFonts w:ascii="Cambria Math" w:hAnsi="Cambria Math" w:cs="Arial"/>
            <w:color w:val="000000" w:themeColor="text1"/>
          </w:rPr>
          <m:t>0,1</m:t>
        </m:r>
        <m:r>
          <m:rPr>
            <m:lit/>
          </m:rPr>
          <w:rPr>
            <w:rFonts w:ascii="Cambria Math" w:hAnsi="Cambria Math" w:cs="Arial"/>
            <w:color w:val="000000" w:themeColor="text1"/>
          </w:rPr>
          <m:t>}</m:t>
        </m:r>
      </m:oMath>
      <w:r w:rsidRPr="00D541E6">
        <w:rPr>
          <w:rFonts w:asciiTheme="majorHAnsi" w:hAnsiTheme="majorHAnsi" w:cs="Arial"/>
          <w:color w:val="000000" w:themeColor="text1"/>
        </w:rPr>
        <w:t>.</w:t>
      </w:r>
      <w:r w:rsidRPr="00D541E6">
        <w:rPr>
          <w:rFonts w:asciiTheme="majorHAnsi" w:hAnsiTheme="majorHAnsi" w:cs="Arial"/>
          <w:bCs/>
          <w:color w:val="000000" w:themeColor="text1"/>
          <w:lang w:eastAsia="zh-CN"/>
        </w:rPr>
        <w:t xml:space="preserve"> In an RCT, given complete randomisation, i.e. </w:t>
      </w:r>
      <m:oMath>
        <m:r>
          <w:rPr>
            <w:rFonts w:ascii="Cambria Math" w:hAnsi="Cambria Math" w:cs="Arial"/>
            <w:color w:val="000000" w:themeColor="text1"/>
          </w:rPr>
          <m:t>a</m:t>
        </m:r>
      </m:oMath>
      <w:r w:rsidRPr="00D541E6">
        <w:rPr>
          <w:rFonts w:asciiTheme="majorHAnsi" w:hAnsiTheme="majorHAnsi" w:cs="Arial"/>
          <w:color w:val="000000" w:themeColor="text1"/>
        </w:rPr>
        <w:t xml:space="preserve"> is independent of  </w:t>
      </w:r>
      <m:oMath>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a</m:t>
                </m:r>
              </m:e>
            </m:d>
          </m:sup>
        </m:sSup>
      </m:oMath>
      <w:r w:rsidRPr="00D541E6">
        <w:rPr>
          <w:rFonts w:asciiTheme="majorHAnsi" w:hAnsiTheme="majorHAnsi" w:cs="Arial"/>
          <w:color w:val="000000" w:themeColor="text1"/>
        </w:rPr>
        <w:t xml:space="preserve"> and </w:t>
      </w:r>
      <m:oMath>
        <m:r>
          <w:rPr>
            <w:rFonts w:ascii="Cambria Math" w:hAnsi="Cambria Math"/>
            <w:color w:val="000000" w:themeColor="text1"/>
          </w:rPr>
          <m:t>X</m:t>
        </m:r>
      </m:oMath>
      <w:r w:rsidRPr="00D541E6">
        <w:rPr>
          <w:rFonts w:asciiTheme="majorHAnsi" w:hAnsiTheme="majorHAnsi" w:cs="Arial"/>
          <w:color w:val="000000" w:themeColor="text1"/>
        </w:rPr>
        <w:t xml:space="preserve">, under consistency, one can estimate </w:t>
      </w:r>
      <m:oMath>
        <m:r>
          <w:rPr>
            <w:rFonts w:ascii="Cambria Math" w:hAnsi="Cambria Math"/>
            <w:color w:val="000000" w:themeColor="text1"/>
          </w:rPr>
          <m:t>E</m:t>
        </m:r>
        <m:d>
          <m:dPr>
            <m:begChr m:val="["/>
            <m:endChr m:val="]"/>
            <m:ctrlPr>
              <w:rPr>
                <w:rFonts w:ascii="Cambria Math" w:hAnsi="Cambria Math"/>
                <w:i/>
                <w:color w:val="000000" w:themeColor="text1"/>
              </w:rPr>
            </m:ctrlPr>
          </m:dPr>
          <m:e>
            <m:sSup>
              <m:sSupPr>
                <m:ctrlPr>
                  <w:rPr>
                    <w:rFonts w:ascii="Cambria Math" w:hAnsi="Cambria Math"/>
                    <w:i/>
                    <w:color w:val="000000" w:themeColor="text1"/>
                  </w:rPr>
                </m:ctrlPr>
              </m:sSupPr>
              <m:e>
                <m:r>
                  <w:rPr>
                    <w:rFonts w:ascii="Cambria Math" w:hAnsi="Cambria Math"/>
                    <w:color w:val="000000" w:themeColor="text1"/>
                  </w:rPr>
                  <m:t>Y</m:t>
                </m:r>
              </m:e>
              <m:sup>
                <m:d>
                  <m:dPr>
                    <m:ctrlPr>
                      <w:rPr>
                        <w:rFonts w:ascii="Cambria Math" w:hAnsi="Cambria Math"/>
                        <w:i/>
                        <w:color w:val="000000" w:themeColor="text1"/>
                      </w:rPr>
                    </m:ctrlPr>
                  </m:dPr>
                  <m:e>
                    <m:r>
                      <w:rPr>
                        <w:rFonts w:ascii="Cambria Math" w:hAnsi="Cambria Math"/>
                        <w:color w:val="000000" w:themeColor="text1"/>
                      </w:rPr>
                      <m:t>a</m:t>
                    </m:r>
                  </m:e>
                </m:d>
              </m:sup>
            </m:sSup>
          </m:e>
          <m:e>
            <m:r>
              <w:rPr>
                <w:rFonts w:ascii="Cambria Math" w:hAnsi="Cambria Math"/>
                <w:color w:val="000000" w:themeColor="text1"/>
              </w:rPr>
              <m:t>X=x</m:t>
            </m:r>
            <m:ctrlPr>
              <w:rPr>
                <w:rFonts w:ascii="Cambria Math" w:hAnsi="Cambria Math" w:cs="Arial"/>
                <w:i/>
                <w:color w:val="000000" w:themeColor="text1"/>
              </w:rPr>
            </m:ctrlPr>
          </m:e>
        </m:d>
      </m:oMath>
      <w:r w:rsidRPr="00D541E6">
        <w:rPr>
          <w:rFonts w:asciiTheme="majorHAnsi" w:hAnsiTheme="majorHAnsi" w:cs="Arial"/>
          <w:color w:val="000000" w:themeColor="text1"/>
        </w:rPr>
        <w:t xml:space="preserve"> by fitting a prediction model to the treated arm (</w:t>
      </w:r>
      <m:oMath>
        <m:r>
          <w:rPr>
            <w:rFonts w:ascii="Cambria Math" w:hAnsi="Cambria Math" w:cs="Arial"/>
            <w:color w:val="000000" w:themeColor="text1"/>
          </w:rPr>
          <m:t>a=1</m:t>
        </m:r>
      </m:oMath>
      <w:r w:rsidRPr="00D541E6">
        <w:rPr>
          <w:rFonts w:asciiTheme="majorHAnsi" w:hAnsiTheme="majorHAnsi" w:cs="Arial"/>
          <w:color w:val="000000" w:themeColor="text1"/>
        </w:rPr>
        <w:t xml:space="preserve">) and the control arm </w:t>
      </w:r>
      <m:oMath>
        <m:r>
          <w:rPr>
            <w:rFonts w:ascii="Cambria Math" w:hAnsi="Cambria Math" w:cs="Arial"/>
            <w:color w:val="000000" w:themeColor="text1"/>
          </w:rPr>
          <m:t>(a=0)</m:t>
        </m:r>
      </m:oMath>
      <w:r w:rsidRPr="00D541E6">
        <w:rPr>
          <w:rFonts w:asciiTheme="majorHAnsi" w:hAnsiTheme="majorHAnsi" w:cs="Arial"/>
          <w:color w:val="000000" w:themeColor="text1"/>
        </w:rPr>
        <w:t xml:space="preserve">, respectively. The technique is often used in estimating </w:t>
      </w:r>
      <w:r w:rsidRPr="00D541E6">
        <w:rPr>
          <w:rFonts w:ascii="Calibri" w:hAnsi="Calibri" w:cs="Calibri"/>
          <w:noProof/>
          <w:color w:val="000000" w:themeColor="text1"/>
        </w:rPr>
        <w:t>conditional treatment effects</w:t>
      </w:r>
      <w:r w:rsidRPr="00D541E6">
        <w:rPr>
          <w:rFonts w:asciiTheme="majorHAnsi" w:hAnsiTheme="majorHAnsi" w:cs="Arial"/>
          <w:color w:val="000000" w:themeColor="text1"/>
        </w:rPr>
        <w:t xml:space="preserve"> </w:t>
      </w:r>
      <w:r w:rsidRPr="00D541E6">
        <w:rPr>
          <w:rFonts w:asciiTheme="majorHAnsi" w:hAnsiTheme="majorHAnsi" w:cs="Arial"/>
          <w:color w:val="000000" w:themeColor="text1"/>
        </w:rPr>
        <w:fldChar w:fldCharType="begin" w:fldLock="1"/>
      </w:r>
      <w:r w:rsidR="009B218D" w:rsidRPr="00D541E6">
        <w:rPr>
          <w:rFonts w:asciiTheme="majorHAnsi" w:hAnsiTheme="majorHAnsi" w:cs="Arial"/>
          <w:color w:val="000000" w:themeColor="text1"/>
        </w:rPr>
        <w:instrText>ADDIN CSL_CITATION {"citationItems":[{"id":"ITEM-1","itemData":{"DOI":"10.1016/j.jclinepi.2020.05.022","ISSN":"08954356","PMID":"32464321","abstract":"This is a PDF file of an article that has undergone enhancements after acceptance, such as the addition of a cover page and metadata, and formatting for readability, but it is not yet the definitive version of record. This version will undergo additional copyediting, typesetting and review before it is published in its final form, but we are providing this version to give early visibility of the article. Please note that, during the production process, errors may be discovered which could affect the content, and all legal disclaimers that apply to the journal pertain.","author":[{"dropping-particle":"","family":"Nguyen","given":"Tri-Long","non-dropping-particle":"","parse-names":false,"suffix":""},{"dropping-particle":"","family":"Collins","given":"Gary S.","non-dropping-particle":"","parse-names":false,"suffix":""},{"dropping-particle":"","family":"Landais","given":"Paul","non-dropping-particle":"","parse-names":false,"suffix":""},{"dropping-particle":"","family":"Manach","given":"Yannick","non-dropping-particle":"Le","parse-names":false,"suffix":""}],"container-title":"Journal of Clinical Epidemiology","id":"ITEM-1","issued":{"date-parts":[["2020","5"]]},"page":"47-56","publisher":"Elsevier BV","title":"Counterfactual Clinical Prediction Models Could help to Infer Individualised Treatment Effects in Randomised Controlled Trials – an Illustration with the International Stroke Trial","type":"article-journal","volume":"125"},"uris":["http://www.mendeley.com/documents/?uuid=2e4eee28-6d3c-371a-b1ba-7749ee8a0d4d"]},{"id":"ITEM-2","itemData":{"DOI":"10.1111/biom.12461","ISSN":"0006341X","abstract":"To evaluate a new therapy versus a control via a randomized, comparative clinical study or a series of trials, due to heterogeneity of the study patient population, a pre-specified, predictive enrichment procedure may be implemented to identify an \"enrichable\" subpopulation. For patients in this subpopulation, the therapy is expected to have a desirable overall risk-benefit profile. To develop and validate such a \"therapy-diagnostic co-development\" strategy, a three-step procedure may be conducted with three independent data sets from a series of similar studies or a single trial. At the first stage, we create various candidate scoring systems based on the baseline information of the patients via, for example, parametric models using the first data set. Each individual score reflects an anticipated average treatment difference for future patients who share similar baseline profiles. A large score indicates that these patients tend to benefit from the new therapy. At the second step, a potentially promising, enrichable subgroup is identified using the totality of evidence from these scoring systems. At the final stage, we validate such a selection via two-sample inference procedures for assessing the treatment effectiveness statistically and clinically with the third data set, the so-called holdout sample. When the study size is not large, one may combine the first two steps using a \"cross-training-evaluation\" process. Comprehensive numerical studies are conducted to investigate the operational characteristics of the proposed method. The entire enrichment procedure is illustrated with the data from a cardiovascular trial to evaluate a beta-blocker versus a placebo for treating chronic heart failure patients.","author":[{"dropping-particle":"","family":"Li","given":"Junlong","non-dropping-particle":"","parse-names":false,"suffix":""},{"dropping-particle":"","family":"Zhao","given":"Lihui","non-dropping-particle":"","parse-names":false,"suffix":""},{"dropping-particle":"","family":"Tian","given":"Lu","non-dropping-particle":"","parse-names":false,"suffix":""},{"dropping-particle":"","family":"Cai","given":"Tianxi","non-dropping-particle":"","parse-names":false,"suffix":""},{"dropping-particle":"","family":"Claggett","given":"Brian","non-dropping-particle":"","parse-names":false,"suffix":""},{"dropping-particle":"","family":"Callegaro","given":"Andrea","non-dropping-particle":"","parse-names":false,"suffix":""},{"dropping-particle":"","family":"Dizier","given":"Benjamin","non-dropping-particle":"","parse-names":false,"suffix":""},{"dropping-particle":"","family":"Spiessens","given":"Bart","non-dropping-particle":"","parse-names":false,"suffix":""},{"dropping-particle":"","family":"Ulloa-Montoya","given":"Fernando","non-dropping-particle":"","parse-names":false,"suffix":""},{"dropping-particle":"","family":"Wei","given":"Lee-Jen","non-dropping-particle":"","parse-names":false,"suffix":""}],"container-title":"Biometrics","id":"ITEM-2","issue":"3","issued":{"date-parts":[["2016","9","1"]]},"page":"877-887","publisher":"Blackwell Publishing Inc.","title":"A predictive enrichment procedure to identify potential responders to a new therapy for randomized, comparative controlled clinical studies","type":"article-journal","volume":"72"},"uris":["http://www.mendeley.com/documents/?uuid=7a46cb9e-d5bf-33f5-820e-d5924476c5be"]}],"mendeley":{"formattedCitation":"(Li et al., 2016; Nguyen, Collins, Landais, &amp; Le Manach, 2020)","plainTextFormattedCitation":"(Li et al., 2016; Nguyen, Collins, Landais, &amp; Le Manach, 2020)","previouslyFormattedCitation":"(14,30)"},"properties":{"noteIndex":0},"schema":"https://github.com/citation-style-language/schema/raw/master/csl-citation.json"}</w:instrText>
      </w:r>
      <w:r w:rsidRPr="00D541E6">
        <w:rPr>
          <w:rFonts w:asciiTheme="majorHAnsi" w:hAnsiTheme="majorHAnsi" w:cs="Arial"/>
          <w:color w:val="000000" w:themeColor="text1"/>
        </w:rPr>
        <w:fldChar w:fldCharType="separate"/>
      </w:r>
      <w:r w:rsidR="009B218D" w:rsidRPr="00D541E6">
        <w:rPr>
          <w:rFonts w:asciiTheme="majorHAnsi" w:hAnsiTheme="majorHAnsi" w:cs="Arial"/>
          <w:noProof/>
          <w:color w:val="000000" w:themeColor="text1"/>
        </w:rPr>
        <w:t>(Li et al., 2016; Nguyen, Collins, Landais, &amp; Le Manach, 2020)</w:t>
      </w:r>
      <w:r w:rsidRPr="00D541E6">
        <w:rPr>
          <w:rFonts w:asciiTheme="majorHAnsi" w:hAnsiTheme="majorHAnsi" w:cs="Arial"/>
          <w:color w:val="000000" w:themeColor="text1"/>
        </w:rPr>
        <w:fldChar w:fldCharType="end"/>
      </w:r>
      <w:r w:rsidRPr="00D541E6">
        <w:rPr>
          <w:rFonts w:asciiTheme="majorHAnsi" w:hAnsiTheme="majorHAnsi" w:cs="Arial"/>
          <w:color w:val="000000" w:themeColor="text1"/>
        </w:rPr>
        <w:t xml:space="preserve"> or identifying subgroups from RCTs </w:t>
      </w:r>
      <w:r w:rsidRPr="00D541E6">
        <w:rPr>
          <w:rFonts w:asciiTheme="majorHAnsi" w:hAnsiTheme="majorHAnsi" w:cs="Arial"/>
          <w:color w:val="000000" w:themeColor="text1"/>
        </w:rPr>
        <w:fldChar w:fldCharType="begin" w:fldLock="1"/>
      </w:r>
      <w:r w:rsidR="009B218D" w:rsidRPr="00D541E6">
        <w:rPr>
          <w:rFonts w:asciiTheme="majorHAnsi" w:hAnsiTheme="majorHAnsi" w:cs="Arial"/>
          <w:color w:val="000000" w:themeColor="text1"/>
        </w:rPr>
        <w:instrText>ADDIN CSL_CITATION {"citationItems":[{"id":"ITEM-1","itemData":{"DOI":"10.1177/0962280215623981","ISSN":"14770334","PMID":"26988928","abstract":"In most medical research, treatment effectiveness is assessed using the average treatment effect or some version of subgroup analysis. The practice of individualized or precision medicine, however, requires new approaches that predict how an individual will respond to treatment, rather than relying on aggregate measures of effect. In this study, we present a conceptual framework for estimating individual treatment effects, referred to as predicted individual treatment effects. We first apply the predicted individual treatment effect approach to a randomized controlled trial designed to improve behavioral and physical symptoms. Despite trivial average effects of the intervention, we show substantial heterogeneity in predicted individual treatment response using the predicted individual treatment effect approach. The predicted individual treatment effects can be used to predict individuals for whom the intervention may be most effective (or harmful). Next, we conduct a Monte Carlo simulation study to evaluate the accuracy of predicted individual treatment effects. We compare the performance of two methods used to obtain predictions: multiple imputation and nonparametric random decision trees. Results showed that, on average, both predictive methods produced accurate estimates at the individual level; however, the random decision trees tended to underestimate the predicted individual treatment effect for people at the extreme and showed more variability in predictions across repetitions compared to the imputation approach. Limitations and future directions are discussed.","author":[{"dropping-particle":"","family":"Lamont","given":"Andrea","non-dropping-particle":"","parse-names":false,"suffix":""},{"dropping-particle":"","family":"Lyons","given":"Michael D.","non-dropping-particle":"","parse-names":false,"suffix":""},{"dropping-particle":"","family":"Jaki","given":"Thomas","non-dropping-particle":"","parse-names":false,"suffix":""},{"dropping-particle":"","family":"Stuart","given":"Elizabeth","non-dropping-particle":"","parse-names":false,"suffix":""},{"dropping-particle":"","family":"Feaster","given":"Daniel J.","non-dropping-particle":"","parse-names":false,"suffix":""},{"dropping-particle":"","family":"Tharmaratnam","given":"Kukatharmini","non-dropping-particle":"","parse-names":false,"suffix":""},{"dropping-particle":"","family":"Oberski","given":"Daniel","non-dropping-particle":"","parse-names":false,"suffix":""},{"dropping-particle":"","family":"Ishwaran","given":"Hemant","non-dropping-particle":"","parse-names":false,"suffix":""},{"dropping-particle":"","family":"Wilson","given":"Dawn K.","non-dropping-particle":"","parse-names":false,"suffix":""},{"dropping-particle":"","family":"Horn","given":"M. Lee","non-dropping-particle":"Van","parse-names":false,"suffix":""}],"container-title":"Statistical Methods in Medical Research","id":"ITEM-1","issue":"1","issued":{"date-parts":[["2018","1","1"]]},"page":"142-157","publisher":"SAGE Publications Ltd","title":"Identification of predicted individual treatment effects in randomized clinical trials","type":"article-journal","volume":"27"},"uris":["http://www.mendeley.com/documents/?uuid=4b5956bc-25ca-3e34-abfd-48f64f08d029"]},{"id":"ITEM-2","itemData":{"DOI":"10.1093/BIOSTATISTICS","author":[{"dropping-particle":"","family":"Cai","given":"Tianxi","non-dropping-particle":"","parse-names":false,"suffix":""},{"dropping-particle":"","family":"Tian","given":"Lu","non-dropping-particle":"","parse-names":false,"suffix":""},{"dropping-particle":"","family":"Wong","given":"Peggy H","non-dropping-particle":"","parse-names":false,"suffix":""},{"dropping-particle":"","family":"Wei","given":"L J","non-dropping-particle":"","parse-names":false,"suffix":""}],"container-title":"Biostatistics","id":"ITEM-2","issue":"2","issued":{"date-parts":[["2016"]]},"page":"249-263","publisher":"Oxford Academic","title":"Analysis of randomized comparative clinical trial data for personalized treatment selections","type":"article-journal","volume":"17"},"uris":["http://www.mendeley.com/documents/?uuid=735dc22c-e6ad-36d7-a5b3-269850709d6a"]}],"mendeley":{"formattedCitation":"(Cai, Tian, Wong, &amp; Wei, 2016; Lamont et al., 2018)","plainTextFormattedCitation":"(Cai, Tian, Wong, &amp; Wei, 2016; Lamont et al., 2018)","previouslyFormattedCitation":"(31,32)"},"properties":{"noteIndex":0},"schema":"https://github.com/citation-style-language/schema/raw/master/csl-citation.json"}</w:instrText>
      </w:r>
      <w:r w:rsidRPr="00D541E6">
        <w:rPr>
          <w:rFonts w:asciiTheme="majorHAnsi" w:hAnsiTheme="majorHAnsi" w:cs="Arial"/>
          <w:color w:val="000000" w:themeColor="text1"/>
        </w:rPr>
        <w:fldChar w:fldCharType="separate"/>
      </w:r>
      <w:r w:rsidR="009B218D" w:rsidRPr="00D541E6">
        <w:rPr>
          <w:rFonts w:asciiTheme="majorHAnsi" w:hAnsiTheme="majorHAnsi" w:cs="Arial"/>
          <w:noProof/>
          <w:color w:val="000000" w:themeColor="text1"/>
        </w:rPr>
        <w:t>(Cai, Tian, Wong, &amp; Wei, 2016; Lamont et al., 2018)</w:t>
      </w:r>
      <w:r w:rsidRPr="00D541E6">
        <w:rPr>
          <w:rFonts w:asciiTheme="majorHAnsi" w:hAnsiTheme="majorHAnsi" w:cs="Arial"/>
          <w:color w:val="000000" w:themeColor="text1"/>
        </w:rPr>
        <w:fldChar w:fldCharType="end"/>
      </w:r>
      <w:r w:rsidRPr="00D541E6">
        <w:rPr>
          <w:rFonts w:asciiTheme="majorHAnsi" w:hAnsiTheme="majorHAnsi" w:cs="Arial"/>
          <w:color w:val="000000" w:themeColor="text1"/>
        </w:rPr>
        <w:t xml:space="preserve">, whereas our focus is counterfactual prediction under interventions. In </w:t>
      </w:r>
      <w:proofErr w:type="spellStart"/>
      <w:r w:rsidRPr="00D541E6">
        <w:rPr>
          <w:rFonts w:asciiTheme="majorHAnsi" w:hAnsiTheme="majorHAnsi" w:cs="Arial"/>
          <w:bCs/>
          <w:color w:val="000000" w:themeColor="text1"/>
          <w:lang w:eastAsia="zh-CN"/>
        </w:rPr>
        <w:t>Alaa</w:t>
      </w:r>
      <w:proofErr w:type="spellEnd"/>
      <w:r w:rsidRPr="00D541E6" w:rsidDel="00F75ACE">
        <w:rPr>
          <w:rFonts w:asciiTheme="majorHAnsi" w:hAnsiTheme="majorHAnsi" w:cs="Arial"/>
          <w:bCs/>
          <w:color w:val="000000" w:themeColor="text1"/>
          <w:lang w:eastAsia="zh-CN"/>
        </w:rPr>
        <w:t xml:space="preserve"> </w:t>
      </w:r>
      <w:r w:rsidRPr="00D541E6">
        <w:rPr>
          <w:rFonts w:asciiTheme="majorHAnsi" w:hAnsiTheme="majorHAnsi" w:cs="Arial"/>
          <w:bCs/>
          <w:i/>
          <w:color w:val="000000" w:themeColor="text1"/>
          <w:lang w:eastAsia="zh-CN"/>
        </w:rPr>
        <w:t xml:space="preserve">et al. </w:t>
      </w:r>
      <w:r w:rsidRPr="00D541E6">
        <w:rPr>
          <w:rFonts w:asciiTheme="majorHAnsi" w:hAnsiTheme="majorHAnsi" w:cs="Arial"/>
          <w:bCs/>
          <w:i/>
          <w:color w:val="000000" w:themeColor="text1"/>
          <w:lang w:eastAsia="zh-CN"/>
        </w:rPr>
        <w:fldChar w:fldCharType="begin" w:fldLock="1"/>
      </w:r>
      <w:r w:rsidR="009B218D" w:rsidRPr="00D541E6">
        <w:rPr>
          <w:rFonts w:asciiTheme="majorHAnsi" w:hAnsiTheme="majorHAnsi" w:cs="Arial"/>
          <w:bCs/>
          <w:i/>
          <w:color w:val="000000" w:themeColor="text1"/>
          <w:lang w:eastAsia="zh-CN"/>
        </w:rPr>
        <w:instrText>ADDIN CSL_CITATION {"citationItems":[{"id":"ITEM-1","itemData":{"abstract":"Predicated on the increasing abundance of electronic health records, we investigate the problem of inferring individualized treatment effects using observational data. Stemming from the potential outcomes model, we propose a novel multi-task learning framework in which factual and counterfactual outcomes are mod-eled as the outputs of a function in a vector-valued reproducing kernel Hilbert space (vvRKHS). We develop a nonparametric Bayesian method for learning the treatment effects using a multi-task Gaussian process (GP) with a linear coregion-alization kernel as a prior over the vvRKHS. The Bayesian approach allows us to compute individualized measures of confidence in our estimates via pointwise credible intervals, which are crucial for realizing the full potential of precision medicine. The impact of selection bias is alleviated via a risk-based empirical Bayes method for adapting the multi-task GP prior, which jointly minimizes the empirical error in factual outcomes and the uncertainty in (unobserved) counter-factual outcomes. We conduct experiments on observational datasets for an inter-ventional social program applied to premature infants, and a left ventricular assist device applied to cardiac patients wait-listed for a heart transplant. In both experiments , we show that our method significantly outperforms the state-of-the-art.","author":[{"dropping-particle":"","family":"Alaa","given":"Ahmed M","non-dropping-particle":"","parse-names":false,"suffix":""},{"dropping-particle":"","family":"Schaar","given":"Mihaela","non-dropping-particle":"van der","parse-names":false,"suffix":""}],"container-title":"Advances in Neural Information Processing Systems 30 (NIPS 2017)","id":"ITEM-1","issued":{"date-parts":[["2017"]]},"title":"Bayesian Inference of Individualized Treatment Effects using Multi-task Gaussian Processes","type":"paper-conference"},"uris":["http://www.mendeley.com/documents/?uuid=170d58c1-a6c7-30f9-9d40-38ef57477193"]}],"mendeley":{"formattedCitation":"(Alaa &amp; van der Schaar, 2017)","plainTextFormattedCitation":"(Alaa &amp; van der Schaar, 2017)","previouslyFormattedCitation":"(19)"},"properties":{"noteIndex":0},"schema":"https://github.com/citation-style-language/schema/raw/master/csl-citation.json"}</w:instrText>
      </w:r>
      <w:r w:rsidRPr="00D541E6">
        <w:rPr>
          <w:rFonts w:asciiTheme="majorHAnsi" w:hAnsiTheme="majorHAnsi" w:cs="Arial"/>
          <w:bCs/>
          <w:i/>
          <w:color w:val="000000" w:themeColor="text1"/>
          <w:lang w:eastAsia="zh-CN"/>
        </w:rPr>
        <w:fldChar w:fldCharType="separate"/>
      </w:r>
      <w:r w:rsidR="009B218D" w:rsidRPr="00D541E6">
        <w:rPr>
          <w:rFonts w:asciiTheme="majorHAnsi" w:hAnsiTheme="majorHAnsi" w:cs="Arial"/>
          <w:bCs/>
          <w:noProof/>
          <w:color w:val="000000" w:themeColor="text1"/>
          <w:lang w:eastAsia="zh-CN"/>
        </w:rPr>
        <w:t>(Alaa &amp; van der Schaar, 2017)</w:t>
      </w:r>
      <w:r w:rsidRPr="00D541E6">
        <w:rPr>
          <w:rFonts w:asciiTheme="majorHAnsi" w:hAnsiTheme="majorHAnsi" w:cs="Arial"/>
          <w:bCs/>
          <w:i/>
          <w:color w:val="000000" w:themeColor="text1"/>
          <w:lang w:eastAsia="zh-CN"/>
        </w:rPr>
        <w:fldChar w:fldCharType="end"/>
      </w:r>
      <w:r w:rsidRPr="00D541E6">
        <w:rPr>
          <w:rFonts w:asciiTheme="majorHAnsi" w:hAnsiTheme="majorHAnsi" w:cs="Arial"/>
          <w:bCs/>
          <w:i/>
          <w:color w:val="000000" w:themeColor="text1"/>
          <w:lang w:eastAsia="zh-CN"/>
        </w:rPr>
        <w:t xml:space="preserve">, </w:t>
      </w:r>
      <w:r w:rsidRPr="00D541E6">
        <w:rPr>
          <w:rFonts w:asciiTheme="majorHAnsi" w:hAnsiTheme="majorHAnsi" w:cs="Arial"/>
          <w:color w:val="000000" w:themeColor="text1"/>
        </w:rPr>
        <w:t>under a set of assumptions</w:t>
      </w:r>
      <w:r w:rsidRPr="00D541E6">
        <w:rPr>
          <w:rFonts w:asciiTheme="majorHAnsi" w:hAnsiTheme="majorHAnsi" w:cs="Arial"/>
          <w:bCs/>
          <w:color w:val="000000" w:themeColor="text1"/>
          <w:lang w:eastAsia="zh-CN"/>
        </w:rPr>
        <w:t xml:space="preserve">, this </w:t>
      </w:r>
      <w:r w:rsidRPr="00D541E6">
        <w:rPr>
          <w:rFonts w:asciiTheme="majorHAnsi" w:hAnsiTheme="majorHAnsi" w:cs="Arial"/>
          <w:color w:val="000000" w:themeColor="text1"/>
        </w:rPr>
        <w:t xml:space="preserve">technique was adapted for counterfactual prediction with observational data, </w:t>
      </w:r>
      <w:r w:rsidRPr="00D541E6">
        <w:rPr>
          <w:rFonts w:asciiTheme="majorHAnsi" w:hAnsiTheme="majorHAnsi" w:cs="Arial"/>
          <w:bCs/>
          <w:color w:val="000000" w:themeColor="text1"/>
          <w:lang w:eastAsia="zh-CN"/>
        </w:rPr>
        <w:t>which, nevertheless,</w:t>
      </w:r>
      <w:r w:rsidRPr="00D541E6">
        <w:rPr>
          <w:rFonts w:asciiTheme="majorHAnsi" w:hAnsiTheme="majorHAnsi" w:cs="Arial"/>
          <w:color w:val="000000" w:themeColor="text1"/>
        </w:rPr>
        <w:t xml:space="preserve"> used a more complex regression model to address for selection bias in the observational dataset. </w:t>
      </w:r>
    </w:p>
    <w:p w14:paraId="06B6D7A2" w14:textId="3BDE3E79" w:rsidR="00D26A9D" w:rsidRPr="00D541E6" w:rsidRDefault="00D26A9D" w:rsidP="00D26A9D">
      <w:pPr>
        <w:autoSpaceDE w:val="0"/>
        <w:autoSpaceDN w:val="0"/>
        <w:adjustRightInd w:val="0"/>
        <w:spacing w:after="240" w:line="300" w:lineRule="atLeast"/>
        <w:rPr>
          <w:rFonts w:asciiTheme="majorHAnsi" w:hAnsiTheme="majorHAnsi" w:cs="Arial"/>
          <w:bCs/>
          <w:color w:val="000000" w:themeColor="text1"/>
          <w:lang w:eastAsia="zh-CN"/>
        </w:rPr>
      </w:pPr>
      <w:proofErr w:type="spellStart"/>
      <w:r w:rsidRPr="00D541E6">
        <w:rPr>
          <w:rFonts w:asciiTheme="majorHAnsi" w:hAnsiTheme="majorHAnsi" w:cs="Arial"/>
          <w:bCs/>
          <w:color w:val="000000" w:themeColor="text1"/>
          <w:lang w:eastAsia="zh-CN"/>
        </w:rPr>
        <w:t>Alaa</w:t>
      </w:r>
      <w:proofErr w:type="spellEnd"/>
      <w:r w:rsidRPr="00D541E6" w:rsidDel="00F75ACE">
        <w:rPr>
          <w:rFonts w:asciiTheme="majorHAnsi" w:hAnsiTheme="majorHAnsi" w:cs="Arial"/>
          <w:bCs/>
          <w:color w:val="000000" w:themeColor="text1"/>
          <w:lang w:eastAsia="zh-CN"/>
        </w:rPr>
        <w:t xml:space="preserve"> </w:t>
      </w:r>
      <w:r w:rsidRPr="00D541E6">
        <w:rPr>
          <w:rFonts w:asciiTheme="majorHAnsi" w:hAnsiTheme="majorHAnsi" w:cs="Arial"/>
          <w:bCs/>
          <w:i/>
          <w:color w:val="000000" w:themeColor="text1"/>
          <w:lang w:eastAsia="zh-CN"/>
        </w:rPr>
        <w:t xml:space="preserve">et al. </w:t>
      </w:r>
      <w:r w:rsidRPr="00D541E6">
        <w:rPr>
          <w:rFonts w:asciiTheme="majorHAnsi" w:hAnsiTheme="majorHAnsi" w:cs="Arial"/>
          <w:bCs/>
          <w:i/>
          <w:color w:val="000000" w:themeColor="text1"/>
          <w:lang w:eastAsia="zh-CN"/>
        </w:rPr>
        <w:fldChar w:fldCharType="begin" w:fldLock="1"/>
      </w:r>
      <w:r w:rsidR="009B218D" w:rsidRPr="00D541E6">
        <w:rPr>
          <w:rFonts w:asciiTheme="majorHAnsi" w:hAnsiTheme="majorHAnsi" w:cs="Arial"/>
          <w:bCs/>
          <w:i/>
          <w:color w:val="000000" w:themeColor="text1"/>
          <w:lang w:eastAsia="zh-CN"/>
        </w:rPr>
        <w:instrText>ADDIN CSL_CITATION {"citationItems":[{"id":"ITEM-1","itemData":{"abstract":"Predicated on the increasing abundance of electronic health records, we investigate the problem of inferring individualized treatment effects using observational data. Stemming from the potential outcomes model, we propose a novel multi-task learning framework in which factual and counterfactual outcomes are mod-eled as the outputs of a function in a vector-valued reproducing kernel Hilbert space (vvRKHS). We develop a nonparametric Bayesian method for learning the treatment effects using a multi-task Gaussian process (GP) with a linear coregion-alization kernel as a prior over the vvRKHS. The Bayesian approach allows us to compute individualized measures of confidence in our estimates via pointwise credible intervals, which are crucial for realizing the full potential of precision medicine. The impact of selection bias is alleviated via a risk-based empirical Bayes method for adapting the multi-task GP prior, which jointly minimizes the empirical error in factual outcomes and the uncertainty in (unobserved) counter-factual outcomes. We conduct experiments on observational datasets for an inter-ventional social program applied to premature infants, and a left ventricular assist device applied to cardiac patients wait-listed for a heart transplant. In both experiments , we show that our method significantly outperforms the state-of-the-art.","author":[{"dropping-particle":"","family":"Alaa","given":"Ahmed M","non-dropping-particle":"","parse-names":false,"suffix":""},{"dropping-particle":"","family":"Schaar","given":"Mihaela","non-dropping-particle":"van der","parse-names":false,"suffix":""}],"container-title":"Advances in Neural Information Processing Systems 30 (NIPS 2017)","id":"ITEM-1","issued":{"date-parts":[["2017"]]},"title":"Bayesian Inference of Individualized Treatment Effects using Multi-task Gaussian Processes","type":"paper-conference"},"uris":["http://www.mendeley.com/documents/?uuid=170d58c1-a6c7-30f9-9d40-38ef57477193"]}],"mendeley":{"formattedCitation":"(Alaa &amp; van der Schaar, 2017)","plainTextFormattedCitation":"(Alaa &amp; van der Schaar, 2017)","previouslyFormattedCitation":"(19)"},"properties":{"noteIndex":0},"schema":"https://github.com/citation-style-language/schema/raw/master/csl-citation.json"}</w:instrText>
      </w:r>
      <w:r w:rsidRPr="00D541E6">
        <w:rPr>
          <w:rFonts w:asciiTheme="majorHAnsi" w:hAnsiTheme="majorHAnsi" w:cs="Arial"/>
          <w:bCs/>
          <w:i/>
          <w:color w:val="000000" w:themeColor="text1"/>
          <w:lang w:eastAsia="zh-CN"/>
        </w:rPr>
        <w:fldChar w:fldCharType="separate"/>
      </w:r>
      <w:r w:rsidR="009B218D" w:rsidRPr="00D541E6">
        <w:rPr>
          <w:rFonts w:asciiTheme="majorHAnsi" w:hAnsiTheme="majorHAnsi" w:cs="Arial"/>
          <w:bCs/>
          <w:noProof/>
          <w:color w:val="000000" w:themeColor="text1"/>
          <w:lang w:eastAsia="zh-CN"/>
        </w:rPr>
        <w:t>(Alaa &amp; van der Schaar, 2017)</w:t>
      </w:r>
      <w:r w:rsidRPr="00D541E6">
        <w:rPr>
          <w:rFonts w:asciiTheme="majorHAnsi" w:hAnsiTheme="majorHAnsi" w:cs="Arial"/>
          <w:bCs/>
          <w:i/>
          <w:color w:val="000000" w:themeColor="text1"/>
          <w:lang w:eastAsia="zh-CN"/>
        </w:rPr>
        <w:fldChar w:fldCharType="end"/>
      </w:r>
      <w:r w:rsidRPr="00D541E6">
        <w:rPr>
          <w:rFonts w:asciiTheme="majorHAnsi" w:hAnsiTheme="majorHAnsi" w:cs="Arial"/>
          <w:bCs/>
          <w:color w:val="000000" w:themeColor="text1"/>
          <w:lang w:eastAsia="zh-CN"/>
        </w:rPr>
        <w:t xml:space="preserve"> adopted standard assumptions of </w:t>
      </w:r>
      <w:r w:rsidRPr="00D541E6">
        <w:rPr>
          <w:rFonts w:asciiTheme="majorHAnsi" w:hAnsiTheme="majorHAnsi" w:cs="Arial"/>
          <w:bCs/>
          <w:i/>
          <w:color w:val="000000" w:themeColor="text1"/>
          <w:lang w:eastAsia="zh-CN"/>
        </w:rPr>
        <w:t>unconfoundedness</w:t>
      </w:r>
      <w:r w:rsidRPr="00D541E6">
        <w:rPr>
          <w:rFonts w:asciiTheme="majorHAnsi" w:hAnsiTheme="majorHAnsi" w:cs="Arial"/>
          <w:bCs/>
          <w:color w:val="000000" w:themeColor="text1"/>
          <w:lang w:eastAsia="zh-CN"/>
        </w:rPr>
        <w:t xml:space="preserve"> (or </w:t>
      </w:r>
      <w:r w:rsidRPr="00D541E6">
        <w:rPr>
          <w:rFonts w:asciiTheme="majorHAnsi" w:hAnsiTheme="majorHAnsi" w:cs="Arial"/>
          <w:bCs/>
          <w:i/>
          <w:color w:val="000000" w:themeColor="text1"/>
          <w:lang w:eastAsia="zh-CN"/>
        </w:rPr>
        <w:t>ignorability</w:t>
      </w:r>
      <w:r w:rsidRPr="00D541E6">
        <w:rPr>
          <w:rFonts w:asciiTheme="majorHAnsi" w:hAnsiTheme="majorHAnsi" w:cs="Arial"/>
          <w:bCs/>
          <w:color w:val="000000" w:themeColor="text1"/>
          <w:lang w:eastAsia="zh-CN"/>
        </w:rPr>
        <w:t xml:space="preserve">) and </w:t>
      </w:r>
      <w:r w:rsidRPr="00D541E6">
        <w:rPr>
          <w:rFonts w:asciiTheme="majorHAnsi" w:hAnsiTheme="majorHAnsi" w:cs="Arial"/>
          <w:bCs/>
          <w:i/>
          <w:color w:val="000000" w:themeColor="text1"/>
          <w:lang w:eastAsia="zh-CN"/>
        </w:rPr>
        <w:t>overlap (or positivity)</w:t>
      </w:r>
      <w:r w:rsidRPr="00D541E6">
        <w:rPr>
          <w:rFonts w:asciiTheme="majorHAnsi" w:hAnsiTheme="majorHAnsi" w:cs="Arial"/>
          <w:bCs/>
          <w:color w:val="000000" w:themeColor="text1"/>
          <w:lang w:eastAsia="zh-CN"/>
        </w:rPr>
        <w:t xml:space="preserve">, which is known as the "potential outcomes model with unconfoundedness". They used the signal-in-white-noise model for the potential outcomes </w:t>
      </w:r>
      <m:oMath>
        <m:sSubSup>
          <m:sSubSupPr>
            <m:ctrlPr>
              <w:rPr>
                <w:rFonts w:ascii="Cambria Math" w:hAnsi="Cambria Math" w:cs="Arial"/>
                <w:i/>
                <w:color w:val="000000" w:themeColor="text1"/>
              </w:rPr>
            </m:ctrlPr>
          </m:sSubSupPr>
          <m:e>
            <m:r>
              <w:rPr>
                <w:rFonts w:ascii="Cambria Math" w:hAnsi="Cambria Math" w:cs="Arial"/>
                <w:color w:val="000000" w:themeColor="text1"/>
              </w:rPr>
              <m:t>Y</m:t>
            </m:r>
          </m:e>
          <m:sub>
            <m:r>
              <w:rPr>
                <w:rFonts w:ascii="Cambria Math" w:hAnsi="Cambria Math" w:cs="Arial"/>
                <w:color w:val="000000" w:themeColor="text1"/>
              </w:rPr>
              <m:t>i</m:t>
            </m:r>
          </m:sub>
          <m:sup>
            <m:d>
              <m:dPr>
                <m:ctrlPr>
                  <w:rPr>
                    <w:rFonts w:ascii="Cambria Math" w:hAnsi="Cambria Math" w:cs="Arial"/>
                    <w:i/>
                    <w:color w:val="000000" w:themeColor="text1"/>
                  </w:rPr>
                </m:ctrlPr>
              </m:dPr>
              <m:e>
                <m:r>
                  <w:rPr>
                    <w:rFonts w:ascii="Cambria Math" w:hAnsi="Cambria Math" w:cs="Arial"/>
                    <w:color w:val="000000" w:themeColor="text1"/>
                  </w:rPr>
                  <m:t>a</m:t>
                </m:r>
              </m:e>
            </m:d>
          </m:sup>
        </m:sSubSup>
      </m:oMath>
      <w:r w:rsidRPr="00D541E6">
        <w:rPr>
          <w:rFonts w:asciiTheme="majorHAnsi" w:hAnsiTheme="majorHAnsi" w:cs="Arial"/>
          <w:color w:val="000000" w:themeColor="text1"/>
        </w:rPr>
        <w:t>, such that,</w:t>
      </w:r>
    </w:p>
    <w:p w14:paraId="2F7B05BE" w14:textId="77777777" w:rsidR="00D26A9D" w:rsidRPr="00D541E6" w:rsidRDefault="008A73B3" w:rsidP="00D26A9D">
      <w:pPr>
        <w:autoSpaceDE w:val="0"/>
        <w:autoSpaceDN w:val="0"/>
        <w:adjustRightInd w:val="0"/>
        <w:spacing w:after="240" w:line="300" w:lineRule="atLeast"/>
        <w:jc w:val="center"/>
        <w:rPr>
          <w:rFonts w:asciiTheme="majorHAnsi" w:hAnsiTheme="majorHAnsi" w:cs="Arial"/>
          <w:color w:val="000000" w:themeColor="text1"/>
        </w:rPr>
      </w:pPr>
      <m:oMathPara>
        <m:oMath>
          <m:sSubSup>
            <m:sSubSupPr>
              <m:ctrlPr>
                <w:rPr>
                  <w:rFonts w:ascii="Cambria Math" w:hAnsi="Cambria Math" w:cs="Arial"/>
                  <w:i/>
                  <w:color w:val="000000" w:themeColor="text1"/>
                </w:rPr>
              </m:ctrlPr>
            </m:sSubSupPr>
            <m:e>
              <m:r>
                <w:rPr>
                  <w:rFonts w:ascii="Cambria Math" w:hAnsi="Cambria Math" w:cs="Arial"/>
                  <w:color w:val="000000" w:themeColor="text1"/>
                </w:rPr>
                <m:t>Y</m:t>
              </m:r>
            </m:e>
            <m:sub>
              <m:r>
                <w:rPr>
                  <w:rFonts w:ascii="Cambria Math" w:hAnsi="Cambria Math" w:cs="Arial"/>
                  <w:color w:val="000000" w:themeColor="text1"/>
                </w:rPr>
                <m:t>i</m:t>
              </m:r>
            </m:sub>
            <m:sup>
              <m:d>
                <m:dPr>
                  <m:ctrlPr>
                    <w:rPr>
                      <w:rFonts w:ascii="Cambria Math" w:hAnsi="Cambria Math" w:cs="Arial"/>
                      <w:i/>
                      <w:color w:val="000000" w:themeColor="text1"/>
                    </w:rPr>
                  </m:ctrlPr>
                </m:dPr>
                <m:e>
                  <m:r>
                    <w:rPr>
                      <w:rFonts w:ascii="Cambria Math" w:hAnsi="Cambria Math" w:cs="Arial"/>
                      <w:color w:val="000000" w:themeColor="text1"/>
                    </w:rPr>
                    <m:t>a</m:t>
                  </m:r>
                </m:e>
              </m:d>
            </m:sup>
          </m:sSubSup>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a</m:t>
              </m:r>
            </m:sub>
          </m:sSub>
          <m:d>
            <m:dPr>
              <m:ctrlPr>
                <w:rPr>
                  <w:rFonts w:ascii="Cambria Math" w:hAnsi="Cambria Math" w:cs="Arial"/>
                  <w:i/>
                  <w:color w:val="000000" w:themeColor="text1"/>
                </w:rPr>
              </m:ctrlPr>
            </m:dPr>
            <m:e>
              <m:sSub>
                <m:sSubPr>
                  <m:ctrlPr>
                    <w:rPr>
                      <w:rFonts w:ascii="Cambria Math" w:hAnsi="Cambria Math" w:cs="Arial"/>
                      <w:i/>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m:t>
                  </m:r>
                </m:sub>
              </m:sSub>
            </m:e>
          </m:d>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ϵ</m:t>
              </m:r>
            </m:e>
            <m:sub>
              <m:r>
                <w:rPr>
                  <w:rFonts w:ascii="Cambria Math" w:hAnsi="Cambria Math" w:cs="Arial"/>
                  <w:color w:val="000000" w:themeColor="text1"/>
                </w:rPr>
                <m:t>i,a</m:t>
              </m:r>
            </m:sub>
          </m:sSub>
          <m:r>
            <w:rPr>
              <w:rFonts w:ascii="Cambria Math" w:hAnsi="Cambria Math" w:cs="Arial"/>
              <w:color w:val="000000" w:themeColor="text1"/>
            </w:rPr>
            <m:t>, a∈</m:t>
          </m:r>
          <m:r>
            <m:rPr>
              <m:lit/>
            </m:rPr>
            <w:rPr>
              <w:rFonts w:ascii="Cambria Math" w:hAnsi="Cambria Math" w:cs="Arial"/>
              <w:color w:val="000000" w:themeColor="text1"/>
            </w:rPr>
            <m:t>{</m:t>
          </m:r>
          <m:r>
            <w:rPr>
              <w:rFonts w:ascii="Cambria Math" w:hAnsi="Cambria Math" w:cs="Arial"/>
              <w:color w:val="000000" w:themeColor="text1"/>
            </w:rPr>
            <m:t>0,1</m:t>
          </m:r>
          <m:r>
            <m:rPr>
              <m:lit/>
            </m:rPr>
            <w:rPr>
              <w:rFonts w:ascii="Cambria Math" w:hAnsi="Cambria Math" w:cs="Arial"/>
              <w:color w:val="000000" w:themeColor="text1"/>
            </w:rPr>
            <m:t>}</m:t>
          </m:r>
          <m:r>
            <w:rPr>
              <w:rFonts w:ascii="Cambria Math" w:hAnsi="Cambria Math" w:cs="Arial"/>
              <w:color w:val="000000" w:themeColor="text1"/>
            </w:rPr>
            <m:t>,</m:t>
          </m:r>
        </m:oMath>
      </m:oMathPara>
    </w:p>
    <w:p w14:paraId="1D982417" w14:textId="1A53F499" w:rsidR="00D26A9D" w:rsidRPr="00D541E6" w:rsidRDefault="00D26A9D" w:rsidP="00D26A9D">
      <w:pPr>
        <w:autoSpaceDE w:val="0"/>
        <w:autoSpaceDN w:val="0"/>
        <w:adjustRightInd w:val="0"/>
        <w:spacing w:after="240" w:line="276" w:lineRule="auto"/>
        <w:rPr>
          <w:rFonts w:ascii="Times Roman" w:hAnsi="Times Roman" w:cs="Times Roman"/>
          <w:color w:val="000000" w:themeColor="text1"/>
        </w:rPr>
      </w:pPr>
      <w:r w:rsidRPr="00D541E6">
        <w:rPr>
          <w:rFonts w:asciiTheme="majorHAnsi" w:hAnsiTheme="majorHAnsi" w:cs="Arial"/>
          <w:color w:val="000000" w:themeColor="text1"/>
        </w:rPr>
        <w:lastRenderedPageBreak/>
        <w:t xml:space="preserve">where  </w:t>
      </w:r>
      <m:oMath>
        <m:sSub>
          <m:sSubPr>
            <m:ctrlPr>
              <w:rPr>
                <w:rFonts w:ascii="Cambria Math" w:hAnsi="Cambria Math" w:cs="Arial"/>
                <w:i/>
                <w:color w:val="000000" w:themeColor="text1"/>
              </w:rPr>
            </m:ctrlPr>
          </m:sSubPr>
          <m:e>
            <m:r>
              <w:rPr>
                <w:rFonts w:ascii="Cambria Math" w:hAnsi="Cambria Math" w:cs="Arial"/>
                <w:color w:val="000000" w:themeColor="text1"/>
              </w:rPr>
              <m:t>ϵ</m:t>
            </m:r>
          </m:e>
          <m:sub>
            <m:r>
              <w:rPr>
                <w:rFonts w:ascii="Cambria Math" w:hAnsi="Cambria Math" w:cs="Arial"/>
                <w:color w:val="000000" w:themeColor="text1"/>
              </w:rPr>
              <m:t>i,a</m:t>
            </m:r>
          </m:sub>
        </m:sSub>
        <m:r>
          <m:rPr>
            <m:scr m:val="script"/>
          </m:rPr>
          <w:rPr>
            <w:rFonts w:ascii="Cambria Math" w:hAnsi="Cambria Math" w:cs="Arial"/>
            <w:color w:val="000000" w:themeColor="text1"/>
          </w:rPr>
          <m:t>∼N</m:t>
        </m:r>
        <m:d>
          <m:dPr>
            <m:ctrlPr>
              <w:rPr>
                <w:rFonts w:ascii="Cambria Math" w:hAnsi="Cambria Math" w:cs="Arial"/>
                <w:i/>
                <w:color w:val="000000" w:themeColor="text1"/>
              </w:rPr>
            </m:ctrlPr>
          </m:dPr>
          <m:e>
            <m:r>
              <w:rPr>
                <w:rFonts w:ascii="Cambria Math" w:hAnsi="Cambria Math" w:cs="Arial"/>
                <w:color w:val="000000" w:themeColor="text1"/>
              </w:rPr>
              <m:t>0,</m:t>
            </m:r>
            <m:sSubSup>
              <m:sSubSupPr>
                <m:ctrlPr>
                  <w:rPr>
                    <w:rFonts w:ascii="Cambria Math" w:hAnsi="Cambria Math" w:cs="Arial"/>
                    <w:i/>
                    <w:color w:val="000000" w:themeColor="text1"/>
                  </w:rPr>
                </m:ctrlPr>
              </m:sSubSupPr>
              <m:e>
                <m:r>
                  <w:rPr>
                    <w:rFonts w:ascii="Cambria Math" w:hAnsi="Cambria Math" w:cs="Arial"/>
                    <w:color w:val="000000" w:themeColor="text1"/>
                  </w:rPr>
                  <m:t>σ</m:t>
                </m:r>
              </m:e>
              <m:sub>
                <m:r>
                  <w:rPr>
                    <w:rFonts w:ascii="Cambria Math" w:hAnsi="Cambria Math" w:cs="Arial"/>
                    <w:color w:val="000000" w:themeColor="text1"/>
                  </w:rPr>
                  <m:t>a</m:t>
                </m:r>
              </m:sub>
              <m:sup>
                <m:r>
                  <w:rPr>
                    <w:rFonts w:ascii="Cambria Math" w:hAnsi="Cambria Math" w:cs="Arial"/>
                    <w:color w:val="000000" w:themeColor="text1"/>
                  </w:rPr>
                  <m:t>2</m:t>
                </m:r>
              </m:sup>
            </m:sSubSup>
          </m:e>
        </m:d>
      </m:oMath>
      <w:r w:rsidRPr="00D541E6">
        <w:rPr>
          <w:rFonts w:asciiTheme="majorHAnsi" w:hAnsiTheme="majorHAnsi" w:cs="Arial"/>
          <w:color w:val="000000" w:themeColor="text1"/>
        </w:rPr>
        <w:t xml:space="preserve">, and the conditional treatment effects can then be estimated as </w:t>
      </w:r>
      <m:oMath>
        <m:acc>
          <m:accPr>
            <m:ctrlPr>
              <w:rPr>
                <w:rFonts w:ascii="Cambria Math" w:hAnsi="Cambria Math" w:cs="Arial"/>
                <w:i/>
                <w:color w:val="000000" w:themeColor="text1"/>
              </w:rPr>
            </m:ctrlPr>
          </m:accPr>
          <m:e>
            <m:r>
              <w:rPr>
                <w:rFonts w:ascii="Cambria Math" w:hAnsi="Cambria Math" w:cs="Arial"/>
                <w:color w:val="000000" w:themeColor="text1"/>
              </w:rPr>
              <m:t>T</m:t>
            </m:r>
          </m:e>
        </m:acc>
        <m:d>
          <m:dPr>
            <m:ctrlPr>
              <w:rPr>
                <w:rFonts w:ascii="Cambria Math" w:hAnsi="Cambria Math" w:cs="Arial"/>
                <w:i/>
                <w:color w:val="000000" w:themeColor="text1"/>
              </w:rPr>
            </m:ctrlPr>
          </m:dPr>
          <m:e>
            <m:r>
              <w:rPr>
                <w:rFonts w:ascii="Cambria Math" w:hAnsi="Cambria Math" w:cs="Arial"/>
                <w:color w:val="000000" w:themeColor="text1"/>
              </w:rPr>
              <m:t>x</m:t>
            </m:r>
          </m:e>
        </m:d>
        <m:r>
          <w:rPr>
            <w:rFonts w:ascii="Cambria Math" w:hAnsi="Cambria Math" w:cs="Arial"/>
            <w:color w:val="000000" w:themeColor="text1"/>
          </w:rPr>
          <m:t>=</m:t>
        </m:r>
        <m:sSub>
          <m:sSubPr>
            <m:ctrlPr>
              <w:rPr>
                <w:rFonts w:ascii="Cambria Math" w:hAnsi="Cambria Math" w:cs="Arial"/>
                <w:i/>
                <w:color w:val="000000" w:themeColor="text1"/>
              </w:rPr>
            </m:ctrlPr>
          </m:sSubPr>
          <m:e>
            <m:acc>
              <m:accPr>
                <m:ctrlPr>
                  <w:rPr>
                    <w:rFonts w:ascii="Cambria Math" w:hAnsi="Cambria Math" w:cs="Arial"/>
                    <w:i/>
                    <w:color w:val="000000" w:themeColor="text1"/>
                  </w:rPr>
                </m:ctrlPr>
              </m:accPr>
              <m:e>
                <m:r>
                  <w:rPr>
                    <w:rFonts w:ascii="Cambria Math" w:hAnsi="Cambria Math" w:cs="Arial"/>
                    <w:color w:val="000000" w:themeColor="text1"/>
                  </w:rPr>
                  <m:t>f</m:t>
                </m:r>
              </m:e>
            </m:acc>
          </m:e>
          <m:sub>
            <m:r>
              <w:rPr>
                <w:rFonts w:ascii="Cambria Math" w:hAnsi="Cambria Math" w:cs="Arial"/>
                <w:color w:val="000000" w:themeColor="text1"/>
              </w:rPr>
              <m:t>1</m:t>
            </m:r>
          </m:sub>
        </m:sSub>
        <m:d>
          <m:dPr>
            <m:ctrlPr>
              <w:rPr>
                <w:rFonts w:ascii="Cambria Math" w:hAnsi="Cambria Math" w:cs="Arial"/>
                <w:i/>
                <w:color w:val="000000" w:themeColor="text1"/>
              </w:rPr>
            </m:ctrlPr>
          </m:dPr>
          <m:e>
            <m:r>
              <w:rPr>
                <w:rFonts w:ascii="Cambria Math" w:hAnsi="Cambria Math" w:cs="Arial"/>
                <w:color w:val="000000" w:themeColor="text1"/>
              </w:rPr>
              <m:t>x</m:t>
            </m:r>
          </m:e>
        </m:d>
        <m:r>
          <w:rPr>
            <w:rFonts w:ascii="Cambria Math" w:hAnsi="Cambria Math" w:cs="Arial"/>
            <w:color w:val="000000" w:themeColor="text1"/>
          </w:rPr>
          <m:t>-</m:t>
        </m:r>
        <m:sSub>
          <m:sSubPr>
            <m:ctrlPr>
              <w:rPr>
                <w:rFonts w:ascii="Cambria Math" w:hAnsi="Cambria Math" w:cs="Arial"/>
                <w:i/>
                <w:color w:val="000000" w:themeColor="text1"/>
              </w:rPr>
            </m:ctrlPr>
          </m:sSubPr>
          <m:e>
            <m:acc>
              <m:accPr>
                <m:ctrlPr>
                  <w:rPr>
                    <w:rFonts w:ascii="Cambria Math" w:hAnsi="Cambria Math" w:cs="Arial"/>
                    <w:i/>
                    <w:color w:val="000000" w:themeColor="text1"/>
                  </w:rPr>
                </m:ctrlPr>
              </m:accPr>
              <m:e>
                <m:r>
                  <w:rPr>
                    <w:rFonts w:ascii="Cambria Math" w:hAnsi="Cambria Math" w:cs="Arial"/>
                    <w:color w:val="000000" w:themeColor="text1"/>
                  </w:rPr>
                  <m:t>f</m:t>
                </m:r>
              </m:e>
            </m:acc>
          </m:e>
          <m:sub>
            <m:r>
              <w:rPr>
                <w:rFonts w:ascii="Cambria Math" w:hAnsi="Cambria Math" w:cs="Arial"/>
                <w:color w:val="000000" w:themeColor="text1"/>
              </w:rPr>
              <m:t>0</m:t>
            </m:r>
          </m:sub>
        </m:sSub>
        <m:d>
          <m:dPr>
            <m:ctrlPr>
              <w:rPr>
                <w:rFonts w:ascii="Cambria Math" w:hAnsi="Cambria Math" w:cs="Arial"/>
                <w:i/>
                <w:color w:val="000000" w:themeColor="text1"/>
              </w:rPr>
            </m:ctrlPr>
          </m:dPr>
          <m:e>
            <m:r>
              <w:rPr>
                <w:rFonts w:ascii="Cambria Math" w:hAnsi="Cambria Math" w:cs="Arial"/>
                <w:color w:val="000000" w:themeColor="text1"/>
              </w:rPr>
              <m:t>x</m:t>
            </m:r>
          </m:e>
        </m:d>
      </m:oMath>
      <w:r w:rsidRPr="00D541E6">
        <w:rPr>
          <w:rFonts w:asciiTheme="majorHAnsi" w:hAnsiTheme="majorHAnsi" w:cs="Arial"/>
          <w:color w:val="000000" w:themeColor="text1"/>
        </w:rPr>
        <w:t xml:space="preserve">. The two target functions </w:t>
      </w:r>
      <m:oMath>
        <m:sSub>
          <m:sSubPr>
            <m:ctrlPr>
              <w:rPr>
                <w:rFonts w:ascii="Cambria Math" w:hAnsi="Cambria Math" w:cs="Arial"/>
                <w:i/>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0</m:t>
            </m:r>
          </m:sub>
        </m:sSub>
        <m:d>
          <m:dPr>
            <m:ctrlPr>
              <w:rPr>
                <w:rFonts w:ascii="Cambria Math" w:hAnsi="Cambria Math" w:cs="Arial"/>
                <w:i/>
                <w:color w:val="000000" w:themeColor="text1"/>
              </w:rPr>
            </m:ctrlPr>
          </m:dPr>
          <m:e>
            <m:r>
              <w:rPr>
                <w:rFonts w:ascii="Cambria Math" w:hAnsi="Cambria Math" w:cs="Arial"/>
                <w:color w:val="000000" w:themeColor="text1"/>
              </w:rPr>
              <m:t>⋅</m:t>
            </m:r>
          </m:e>
        </m:d>
      </m:oMath>
      <w:r w:rsidRPr="00D541E6">
        <w:rPr>
          <w:rFonts w:asciiTheme="majorHAnsi" w:hAnsiTheme="majorHAnsi" w:cs="Arial"/>
          <w:color w:val="000000" w:themeColor="text1"/>
        </w:rPr>
        <w:t xml:space="preserve"> and </w:t>
      </w:r>
      <m:oMath>
        <m:sSub>
          <m:sSubPr>
            <m:ctrlPr>
              <w:rPr>
                <w:rFonts w:ascii="Cambria Math" w:hAnsi="Cambria Math" w:cs="Arial"/>
                <w:i/>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1</m:t>
            </m:r>
          </m:sub>
        </m:sSub>
        <m:d>
          <m:dPr>
            <m:ctrlPr>
              <w:rPr>
                <w:rFonts w:ascii="Cambria Math" w:hAnsi="Cambria Math" w:cs="Arial"/>
                <w:i/>
                <w:color w:val="000000" w:themeColor="text1"/>
              </w:rPr>
            </m:ctrlPr>
          </m:dPr>
          <m:e>
            <m:r>
              <w:rPr>
                <w:rFonts w:ascii="Cambria Math" w:hAnsi="Cambria Math" w:cs="Arial"/>
                <w:color w:val="000000" w:themeColor="text1"/>
              </w:rPr>
              <m:t>⋅</m:t>
            </m:r>
          </m:e>
        </m:d>
      </m:oMath>
      <w:r w:rsidRPr="00D541E6">
        <w:rPr>
          <w:rFonts w:asciiTheme="majorHAnsi" w:hAnsiTheme="majorHAnsi" w:cs="Arial"/>
          <w:color w:val="000000" w:themeColor="text1"/>
        </w:rPr>
        <w:t xml:space="preserve"> were estimated simultaneously with training data through one loss function, known as the precision in estimating heterogeneous effects (PEHE), which jointly minimises the error of factual outcomes and the posterior counterfactual variance. The regularised empirical PEHE minimisation was shown to be equivalent to Bayesian inference with a multi-task Gaussian process prior on the vector-valued potential outcomes function </w:t>
      </w:r>
      <m:oMath>
        <m:sSup>
          <m:sSupPr>
            <m:ctrlPr>
              <w:rPr>
                <w:rFonts w:ascii="Cambria Math" w:hAnsi="Cambria Math" w:cs="Arial"/>
                <w:i/>
                <w:color w:val="000000" w:themeColor="text1"/>
              </w:rPr>
            </m:ctrlPr>
          </m:sSupPr>
          <m:e>
            <m:r>
              <w:rPr>
                <w:rFonts w:ascii="Cambria Math" w:hAnsi="Cambria Math" w:cs="Arial"/>
                <w:color w:val="000000" w:themeColor="text1"/>
              </w:rPr>
              <m:t>f</m:t>
            </m:r>
            <m:d>
              <m:dPr>
                <m:ctrlPr>
                  <w:rPr>
                    <w:rFonts w:ascii="Cambria Math" w:hAnsi="Cambria Math" w:cs="Arial"/>
                    <w:i/>
                    <w:color w:val="000000" w:themeColor="text1"/>
                  </w:rPr>
                </m:ctrlPr>
              </m:dPr>
              <m:e>
                <m:r>
                  <w:rPr>
                    <w:rFonts w:ascii="Cambria Math" w:hAnsi="Cambria Math" w:cs="Arial"/>
                    <w:color w:val="000000" w:themeColor="text1"/>
                  </w:rPr>
                  <m:t>⋅</m:t>
                </m:r>
              </m:e>
            </m:d>
            <m:r>
              <w:rPr>
                <w:rFonts w:ascii="Cambria Math" w:hAnsi="Cambria Math" w:cs="Arial"/>
                <w:color w:val="000000" w:themeColor="text1"/>
              </w:rPr>
              <m:t xml:space="preserve">= </m:t>
            </m:r>
            <m:sSub>
              <m:sSubPr>
                <m:ctrlPr>
                  <w:rPr>
                    <w:rFonts w:ascii="Cambria Math" w:hAnsi="Cambria Math" w:cs="Arial"/>
                    <w:i/>
                    <w:color w:val="000000" w:themeColor="text1"/>
                  </w:rPr>
                </m:ctrlPr>
              </m:sSubPr>
              <m:e>
                <m:r>
                  <w:rPr>
                    <w:rFonts w:ascii="Cambria Math" w:hAnsi="Cambria Math" w:cs="Arial"/>
                    <w:color w:val="000000" w:themeColor="text1"/>
                  </w:rPr>
                  <m:t>[f</m:t>
                </m:r>
              </m:e>
              <m:sub>
                <m:r>
                  <w:rPr>
                    <w:rFonts w:ascii="Cambria Math" w:hAnsi="Cambria Math" w:cs="Arial"/>
                    <w:color w:val="000000" w:themeColor="text1"/>
                  </w:rPr>
                  <m:t>0</m:t>
                </m:r>
              </m:sub>
            </m:sSub>
            <m:d>
              <m:dPr>
                <m:ctrlPr>
                  <w:rPr>
                    <w:rFonts w:ascii="Cambria Math" w:hAnsi="Cambria Math" w:cs="Arial"/>
                    <w:i/>
                    <w:color w:val="000000" w:themeColor="text1"/>
                  </w:rPr>
                </m:ctrlPr>
              </m:dPr>
              <m:e>
                <m:r>
                  <w:rPr>
                    <w:rFonts w:ascii="Cambria Math" w:hAnsi="Cambria Math" w:cs="Arial"/>
                    <w:color w:val="000000" w:themeColor="text1"/>
                  </w:rPr>
                  <m:t>⋅</m:t>
                </m:r>
              </m:e>
            </m:d>
            <m:sSub>
              <m:sSubPr>
                <m:ctrlPr>
                  <w:rPr>
                    <w:rFonts w:ascii="Cambria Math" w:hAnsi="Cambria Math" w:cs="Arial"/>
                    <w:i/>
                    <w:color w:val="000000" w:themeColor="text1"/>
                  </w:rPr>
                </m:ctrlPr>
              </m:sSubPr>
              <m:e>
                <m:r>
                  <w:rPr>
                    <w:rFonts w:ascii="Cambria Math" w:hAnsi="Cambria Math" w:cs="Arial"/>
                    <w:color w:val="000000" w:themeColor="text1"/>
                  </w:rPr>
                  <m:t>, f</m:t>
                </m:r>
              </m:e>
              <m:sub>
                <m:r>
                  <w:rPr>
                    <w:rFonts w:ascii="Cambria Math" w:hAnsi="Cambria Math" w:cs="Arial"/>
                    <w:color w:val="000000" w:themeColor="text1"/>
                  </w:rPr>
                  <m:t>1</m:t>
                </m:r>
              </m:sub>
            </m:sSub>
            <m:d>
              <m:dPr>
                <m:ctrlPr>
                  <w:rPr>
                    <w:rFonts w:ascii="Cambria Math" w:hAnsi="Cambria Math" w:cs="Arial"/>
                    <w:i/>
                    <w:color w:val="000000" w:themeColor="text1"/>
                  </w:rPr>
                </m:ctrlPr>
              </m:dPr>
              <m:e>
                <m:r>
                  <w:rPr>
                    <w:rFonts w:ascii="Cambria Math" w:hAnsi="Cambria Math" w:cs="Arial"/>
                    <w:color w:val="000000" w:themeColor="text1"/>
                  </w:rPr>
                  <m:t>⋅</m:t>
                </m:r>
              </m:e>
            </m:d>
            <m:r>
              <w:rPr>
                <w:rFonts w:ascii="Cambria Math" w:hAnsi="Cambria Math" w:cs="Arial"/>
                <w:color w:val="000000" w:themeColor="text1"/>
              </w:rPr>
              <m:t xml:space="preserve">] </m:t>
            </m:r>
          </m:e>
          <m:sup>
            <m:r>
              <w:rPr>
                <w:rFonts w:ascii="Cambria Math" w:hAnsi="Cambria Math" w:cs="Arial"/>
                <w:color w:val="000000" w:themeColor="text1"/>
              </w:rPr>
              <m:t>T</m:t>
            </m:r>
          </m:sup>
        </m:sSup>
        <m:r>
          <w:rPr>
            <w:rFonts w:ascii="Cambria Math" w:hAnsi="Cambria Math" w:cs="Arial"/>
            <w:color w:val="000000" w:themeColor="text1"/>
          </w:rPr>
          <m:t>:</m:t>
        </m:r>
      </m:oMath>
      <w:r w:rsidRPr="00D541E6">
        <w:rPr>
          <w:rFonts w:ascii="Times Roman" w:hAnsi="Times Roman" w:cs="Times Roman"/>
          <w:color w:val="000000" w:themeColor="text1"/>
        </w:rPr>
        <w:t xml:space="preserve"> </w:t>
      </w:r>
      <m:oMath>
        <m:r>
          <w:rPr>
            <w:rFonts w:ascii="Cambria Math" w:hAnsi="Cambria Math" w:cs="Arial"/>
            <w:color w:val="000000" w:themeColor="text1"/>
          </w:rPr>
          <m:t>f</m:t>
        </m:r>
        <m:r>
          <m:rPr>
            <m:sty m:val="p"/>
          </m:rPr>
          <w:rPr>
            <w:rFonts w:ascii="Cambria Math" w:hAnsi="Cambria Math" w:cs="Monaco"/>
            <w:color w:val="000000" w:themeColor="text1"/>
          </w:rPr>
          <m:t>∼</m:t>
        </m:r>
        <m:r>
          <m:rPr>
            <m:scr m:val="script"/>
            <m:sty m:val="p"/>
          </m:rPr>
          <w:rPr>
            <w:rFonts w:ascii="Cambria Math" w:hAnsi="Cambria Math" w:cs="Times Roman"/>
            <w:color w:val="000000" w:themeColor="text1"/>
          </w:rPr>
          <m:t>GP</m:t>
        </m:r>
        <m:r>
          <w:rPr>
            <w:rFonts w:ascii="Cambria Math" w:hAnsi="Cambria Math" w:cs="Times Roman"/>
            <w:color w:val="000000" w:themeColor="text1"/>
          </w:rPr>
          <m:t>(0,</m:t>
        </m:r>
        <m:sSub>
          <m:sSubPr>
            <m:ctrlPr>
              <w:rPr>
                <w:rFonts w:ascii="Cambria Math" w:hAnsi="Cambria Math" w:cs="Times Roman"/>
                <w:i/>
                <w:color w:val="000000" w:themeColor="text1"/>
              </w:rPr>
            </m:ctrlPr>
          </m:sSubPr>
          <m:e>
            <m:r>
              <w:rPr>
                <w:rFonts w:ascii="Cambria Math" w:hAnsi="Cambria Math" w:cs="Times Roman"/>
                <w:color w:val="000000" w:themeColor="text1"/>
              </w:rPr>
              <m:t>K</m:t>
            </m:r>
          </m:e>
          <m:sub>
            <m:r>
              <w:rPr>
                <w:rFonts w:ascii="Cambria Math" w:hAnsi="Cambria Math" w:cs="Times Roman"/>
                <w:color w:val="000000" w:themeColor="text1"/>
              </w:rPr>
              <m:t>θ</m:t>
            </m:r>
          </m:sub>
        </m:sSub>
        <m:r>
          <w:rPr>
            <w:rFonts w:ascii="Cambria Math" w:hAnsi="Cambria Math" w:cs="Times Roman"/>
            <w:color w:val="000000" w:themeColor="text1"/>
          </w:rPr>
          <m:t>)</m:t>
        </m:r>
      </m:oMath>
      <w:r w:rsidRPr="00D541E6">
        <w:rPr>
          <w:rFonts w:asciiTheme="majorHAnsi" w:hAnsiTheme="majorHAnsi" w:cs="Times Roman"/>
          <w:color w:val="000000" w:themeColor="text1"/>
        </w:rPr>
        <w:t xml:space="preserve">. This equivalence allowed reasoning about the unobserved counterfactual outcomes in a Bayesian fashion. The </w:t>
      </w:r>
      <w:r w:rsidRPr="00D541E6">
        <w:rPr>
          <w:rFonts w:asciiTheme="majorHAnsi" w:hAnsiTheme="majorHAnsi" w:cs="Arial"/>
          <w:color w:val="000000" w:themeColor="text1"/>
        </w:rPr>
        <w:t xml:space="preserve">potential outcomes function </w:t>
      </w:r>
      <m:oMath>
        <m:acc>
          <m:accPr>
            <m:ctrlPr>
              <w:rPr>
                <w:rFonts w:ascii="Cambria Math" w:hAnsi="Cambria Math" w:cs="Arial"/>
                <w:i/>
                <w:color w:val="000000" w:themeColor="text1"/>
              </w:rPr>
            </m:ctrlPr>
          </m:accPr>
          <m:e>
            <m:r>
              <w:rPr>
                <w:rFonts w:ascii="Cambria Math" w:hAnsi="Cambria Math" w:cs="Arial"/>
                <w:color w:val="000000" w:themeColor="text1"/>
              </w:rPr>
              <m:t>f</m:t>
            </m:r>
          </m:e>
        </m:acc>
      </m:oMath>
      <w:r w:rsidRPr="00D541E6">
        <w:rPr>
          <w:rFonts w:asciiTheme="majorHAnsi" w:hAnsiTheme="majorHAnsi" w:cs="Arial"/>
          <w:color w:val="000000" w:themeColor="text1"/>
        </w:rPr>
        <w:t xml:space="preserve"> can then be estimated from the posterior mean of the model, followed by the potential outcome prediction </w:t>
      </w:r>
      <m:oMath>
        <m:sSup>
          <m:sSupPr>
            <m:ctrlPr>
              <w:rPr>
                <w:rFonts w:ascii="Cambria Math" w:hAnsi="Cambria Math" w:cs="Arial"/>
                <w:i/>
                <w:color w:val="000000" w:themeColor="text1"/>
              </w:rPr>
            </m:ctrlPr>
          </m:sSupPr>
          <m:e>
            <m:acc>
              <m:accPr>
                <m:ctrlPr>
                  <w:rPr>
                    <w:rFonts w:ascii="Cambria Math" w:hAnsi="Cambria Math" w:cs="Arial"/>
                    <w:i/>
                    <w:color w:val="000000" w:themeColor="text1"/>
                  </w:rPr>
                </m:ctrlPr>
              </m:accPr>
              <m:e>
                <m:r>
                  <w:rPr>
                    <w:rFonts w:ascii="Cambria Math" w:hAnsi="Cambria Math" w:cs="Arial"/>
                    <w:color w:val="000000" w:themeColor="text1"/>
                  </w:rPr>
                  <m:t>Y</m:t>
                </m:r>
              </m:e>
            </m:acc>
          </m:e>
          <m:sup>
            <m:r>
              <w:rPr>
                <w:rFonts w:ascii="Cambria Math" w:hAnsi="Cambria Math" w:cs="Arial"/>
                <w:color w:val="000000" w:themeColor="text1"/>
              </w:rPr>
              <m:t>(a)</m:t>
            </m:r>
          </m:sup>
        </m:sSup>
      </m:oMath>
      <w:r w:rsidRPr="00D541E6">
        <w:rPr>
          <w:rFonts w:asciiTheme="majorHAnsi" w:hAnsiTheme="majorHAnsi" w:cs="Arial"/>
          <w:color w:val="000000" w:themeColor="text1"/>
        </w:rPr>
        <w:t xml:space="preserve">. Since the ground truth counterfactual outcomes are never available in real-world observational datasets, it is not straightforward to evaluate causal prediction algorithms and compare their performances, a semi-synthetic experimental setup was adopted in </w:t>
      </w:r>
      <w:r w:rsidRPr="00D541E6">
        <w:rPr>
          <w:rFonts w:asciiTheme="majorHAnsi" w:hAnsiTheme="majorHAnsi" w:cs="Arial"/>
          <w:color w:val="000000" w:themeColor="text1"/>
        </w:rPr>
        <w:fldChar w:fldCharType="begin" w:fldLock="1"/>
      </w:r>
      <w:r w:rsidR="009B218D" w:rsidRPr="00D541E6">
        <w:rPr>
          <w:rFonts w:asciiTheme="majorHAnsi" w:hAnsiTheme="majorHAnsi" w:cs="Arial"/>
          <w:color w:val="000000" w:themeColor="text1"/>
        </w:rPr>
        <w:instrText>ADDIN CSL_CITATION {"citationItems":[{"id":"ITEM-1","itemData":{"abstract":"Predicated on the increasing abundance of electronic health records, we investigate the problem of inferring individualized treatment effects using observational data. Stemming from the potential outcomes model, we propose a novel multi-task learning framework in which factual and counterfactual outcomes are mod-eled as the outputs of a function in a vector-valued reproducing kernel Hilbert space (vvRKHS). We develop a nonparametric Bayesian method for learning the treatment effects using a multi-task Gaussian process (GP) with a linear coregion-alization kernel as a prior over the vvRKHS. The Bayesian approach allows us to compute individualized measures of confidence in our estimates via pointwise credible intervals, which are crucial for realizing the full potential of precision medicine. The impact of selection bias is alleviated via a risk-based empirical Bayes method for adapting the multi-task GP prior, which jointly minimizes the empirical error in factual outcomes and the uncertainty in (unobserved) counter-factual outcomes. We conduct experiments on observational datasets for an inter-ventional social program applied to premature infants, and a left ventricular assist device applied to cardiac patients wait-listed for a heart transplant. In both experiments , we show that our method significantly outperforms the state-of-the-art.","author":[{"dropping-particle":"","family":"Alaa","given":"Ahmed M","non-dropping-particle":"","parse-names":false,"suffix":""},{"dropping-particle":"","family":"Schaar","given":"Mihaela","non-dropping-particle":"van der","parse-names":false,"suffix":""}],"container-title":"Advances in Neural Information Processing Systems 30 (NIPS 2017)","id":"ITEM-1","issued":{"date-parts":[["2017"]]},"title":"Bayesian Inference of Individualized Treatment Effects using Multi-task Gaussian Processes","type":"paper-conference"},"uris":["http://www.mendeley.com/documents/?uuid=170d58c1-a6c7-30f9-9d40-38ef57477193"]}],"mendeley":{"formattedCitation":"(Alaa &amp; van der Schaar, 2017)","plainTextFormattedCitation":"(Alaa &amp; van der Schaar, 2017)","previouslyFormattedCitation":"(19)"},"properties":{"noteIndex":0},"schema":"https://github.com/citation-style-language/schema/raw/master/csl-citation.json"}</w:instrText>
      </w:r>
      <w:r w:rsidRPr="00D541E6">
        <w:rPr>
          <w:rFonts w:asciiTheme="majorHAnsi" w:hAnsiTheme="majorHAnsi" w:cs="Arial"/>
          <w:color w:val="000000" w:themeColor="text1"/>
        </w:rPr>
        <w:fldChar w:fldCharType="separate"/>
      </w:r>
      <w:r w:rsidR="009B218D" w:rsidRPr="00D541E6">
        <w:rPr>
          <w:rFonts w:asciiTheme="majorHAnsi" w:hAnsiTheme="majorHAnsi" w:cs="Arial"/>
          <w:noProof/>
          <w:color w:val="000000" w:themeColor="text1"/>
        </w:rPr>
        <w:t>(Alaa &amp; van der Schaar, 2017)</w:t>
      </w:r>
      <w:r w:rsidRPr="00D541E6">
        <w:rPr>
          <w:rFonts w:asciiTheme="majorHAnsi" w:hAnsiTheme="majorHAnsi" w:cs="Arial"/>
          <w:color w:val="000000" w:themeColor="text1"/>
        </w:rPr>
        <w:fldChar w:fldCharType="end"/>
      </w:r>
      <w:r w:rsidRPr="00D541E6">
        <w:rPr>
          <w:rFonts w:asciiTheme="majorHAnsi" w:hAnsiTheme="majorHAnsi" w:cs="Arial"/>
          <w:color w:val="000000" w:themeColor="text1"/>
        </w:rPr>
        <w:t>, where covariates and treatment assignments are real but outcomes are simulated.</w:t>
      </w:r>
    </w:p>
    <w:p w14:paraId="70AD4691" w14:textId="07D33E2C"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For the longitudinal setting where the event history is fully observed, </w:t>
      </w:r>
      <w:proofErr w:type="spellStart"/>
      <w:r w:rsidRPr="00D541E6">
        <w:rPr>
          <w:rFonts w:asciiTheme="majorHAnsi" w:hAnsiTheme="majorHAnsi" w:cs="Arial"/>
          <w:bCs/>
          <w:color w:val="000000" w:themeColor="text1"/>
          <w:lang w:eastAsia="zh-CN"/>
        </w:rPr>
        <w:t>Arjas</w:t>
      </w:r>
      <w:proofErr w:type="spellEnd"/>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{"citationItems":[{"id":"ITEM-1","itemData":{"DOI":"10.1007/s12561-013-9101-1","ISSN":"18671772","abstract":"The purpose of this paper is to illustrate the important but often neglected role which time has in the statistical treatment of causal problems. Another motivation is to provide a demonstration of how the tools offered by Bayesian modeling and inference, which likewise seem to have largely been ignored in the mainstream statistical literature on causality, can be usefully applied in this context. To offer a concrete example, I consider a particular problem, exploring the effect which the type of day care appears to have on the incidence of acute middle ear infections in small children. Existing epidemiological knowledge is used in setting up a stochastic model, which is formulated in terms of a suitably defined marked point process and applying non-parametric specification of model components where such prior knowledge seems vague. In this context, the important role of the concept of local independence is stressed. A combination of Bayesian inferential methods and an application of MCMC sampling in the numerical work are then shown to lead to immediately useful and understandable quantitative results, formulated in terms of predictive distributions of future observables. The approach adopted here differs in several respects from those currently considered standard in causal modeling and inference. The paper ends with some conclusions of a general nature.","author":[{"dropping-particle":"","family":"Arjas","given":"Elja","non-dropping-particle":"","parse-names":false,"suffix":""}],"container-title":"Statistics in Biosciences","id":"ITEM-1","issue":"2","issued":{"date-parts":[["2014","11","27"]]},"page":"189-203","publisher":"Springer New York LLC","title":"Time to Consider Time, and Time to Predict?","type":"article-journal","volume":"6"},"uris":["http://www.mendeley.com/documents/?uuid=7eefaeb7-9cae-3cb3-80b3-ce38dccedeb2"]}],"mendeley":{"formattedCitation":"(Arjas, 2014)","plainTextFormattedCitation":"(Arjas, 2014)","previouslyFormattedCitation":"(20)"},"properties":{"noteIndex":0},"schema":"https://github.com/citation-style-language/schema/raw/master/csl-citation.json"}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(Arjas, 2014)</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adopted a marked point process (MPP) framework to predict a final outcome under a single intervention. In a Bayesian non-parametric hazard model for the final outcome occurrence, past measurements and treatments were wrapped up to form a “internal history” for each individual, and then a continuous-time outcome variable intensity function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λ</m:t>
            </m:r>
          </m:e>
          <m:sub>
            <m:r>
              <w:rPr>
                <w:rFonts w:ascii="Cambria Math" w:hAnsi="Cambria Math" w:cs="Arial"/>
                <w:color w:val="000000" w:themeColor="text1"/>
                <w:lang w:eastAsia="zh-CN"/>
              </w:rPr>
              <m:t>i</m:t>
            </m:r>
          </m:sub>
        </m:sSub>
        <m:r>
          <w:rPr>
            <w:rFonts w:ascii="Cambria Math" w:hAnsi="Cambria Math" w:cs="Arial"/>
            <w:color w:val="000000" w:themeColor="text1"/>
            <w:lang w:eastAsia="zh-CN"/>
          </w:rPr>
          <m:t>(t)</m:t>
        </m:r>
      </m:oMath>
      <w:r w:rsidRPr="00D541E6">
        <w:rPr>
          <w:rFonts w:asciiTheme="majorHAnsi" w:hAnsiTheme="majorHAnsi" w:cs="Arial"/>
          <w:bCs/>
          <w:color w:val="000000" w:themeColor="text1"/>
          <w:lang w:eastAsia="zh-CN"/>
        </w:rPr>
        <w:t xml:space="preserve"> relative to the histories was specified for each individual </w:t>
      </w:r>
      <m:oMath>
        <m:r>
          <w:rPr>
            <w:rFonts w:ascii="Cambria Math" w:hAnsi="Cambria Math" w:cs="Arial"/>
            <w:color w:val="000000" w:themeColor="text1"/>
            <w:lang w:eastAsia="zh-CN"/>
          </w:rPr>
          <m:t>i</m:t>
        </m:r>
      </m:oMath>
      <w:r w:rsidRPr="00D541E6">
        <w:rPr>
          <w:rFonts w:asciiTheme="majorHAnsi" w:hAnsiTheme="majorHAnsi" w:cs="Arial"/>
          <w:color w:val="000000" w:themeColor="text1"/>
          <w:lang w:eastAsia="zh-CN"/>
        </w:rPr>
        <w:t>. T</w:t>
      </w:r>
      <w:r w:rsidRPr="00D541E6">
        <w:rPr>
          <w:rFonts w:asciiTheme="majorHAnsi" w:hAnsiTheme="majorHAnsi" w:cs="Arial"/>
          <w:bCs/>
          <w:color w:val="000000" w:themeColor="text1"/>
          <w:lang w:eastAsia="zh-CN"/>
        </w:rPr>
        <w:t xml:space="preserve">he likelihood contribution from the outcome events of the individual </w:t>
      </w:r>
      <m:oMath>
        <m:r>
          <w:rPr>
            <w:rFonts w:ascii="Cambria Math" w:hAnsi="Cambria Math" w:cs="Arial"/>
            <w:color w:val="000000" w:themeColor="text1"/>
            <w:lang w:eastAsia="zh-CN"/>
          </w:rPr>
          <m:t>i</m:t>
        </m:r>
      </m:oMath>
      <w:r w:rsidRPr="00D541E6">
        <w:rPr>
          <w:rFonts w:asciiTheme="majorHAnsi" w:hAnsiTheme="majorHAnsi" w:cs="Arial"/>
          <w:bCs/>
          <w:color w:val="000000" w:themeColor="text1"/>
          <w:lang w:eastAsia="zh-CN"/>
        </w:rPr>
        <w:t xml:space="preserve"> was then of the standard Poisson form </w:t>
      </w:r>
      <m:oMath>
        <m:nary>
          <m:naryPr>
            <m:chr m:val="∏"/>
            <m:supHide m:val="1"/>
            <m:ctrlPr>
              <w:rPr>
                <w:rFonts w:ascii="Cambria Math" w:hAnsi="Cambria Math" w:cs="Arial"/>
                <w:bCs/>
                <w:i/>
                <w:color w:val="000000" w:themeColor="text1"/>
                <w:lang w:eastAsia="zh-CN"/>
              </w:rPr>
            </m:ctrlPr>
          </m:naryPr>
          <m:sub>
            <m:r>
              <w:rPr>
                <w:rFonts w:ascii="Cambria Math" w:hAnsi="Cambria Math" w:cs="Arial"/>
                <w:color w:val="000000" w:themeColor="text1"/>
                <w:lang w:eastAsia="zh-CN"/>
              </w:rPr>
              <m:t>j</m:t>
            </m:r>
          </m:sub>
          <m:sup/>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λ</m:t>
                </m:r>
              </m:e>
              <m:sub>
                <m:r>
                  <w:rPr>
                    <w:rFonts w:ascii="Cambria Math" w:hAnsi="Cambria Math" w:cs="Arial"/>
                    <w:color w:val="000000" w:themeColor="text1"/>
                    <w:lang w:eastAsia="zh-CN"/>
                  </w:rPr>
                  <m:t>i</m:t>
                </m:r>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t</m:t>
                    </m:r>
                  </m:e>
                  <m:sub>
                    <m:r>
                      <w:rPr>
                        <w:rFonts w:ascii="Cambria Math" w:hAnsi="Cambria Math" w:cs="Arial"/>
                        <w:color w:val="000000" w:themeColor="text1"/>
                        <w:lang w:eastAsia="zh-CN"/>
                      </w:rPr>
                      <m:t>ij</m:t>
                    </m:r>
                  </m:sub>
                </m:sSub>
              </m:e>
            </m:d>
            <m:r>
              <m:rPr>
                <m:nor/>
              </m:rPr>
              <w:rPr>
                <w:rFonts w:ascii="Cambria Math" w:hAnsi="Cambria Math" w:cs="Arial"/>
                <w:bCs/>
                <w:color w:val="000000" w:themeColor="text1"/>
                <w:lang w:eastAsia="zh-CN"/>
              </w:rPr>
              <m:t>exp</m:t>
            </m:r>
            <m:r>
              <m:rPr>
                <m:lit/>
              </m:rPr>
              <w:rPr>
                <w:rFonts w:ascii="Cambria Math" w:hAnsi="Cambria Math" w:cs="Arial"/>
                <w:color w:val="000000" w:themeColor="text1"/>
                <w:lang w:eastAsia="zh-CN"/>
              </w:rPr>
              <m:t xml:space="preserve"> {</m:t>
            </m:r>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λ</m:t>
                </m:r>
              </m:e>
              <m:sub>
                <m:r>
                  <w:rPr>
                    <w:rFonts w:ascii="Cambria Math" w:hAnsi="Cambria Math" w:cs="Arial"/>
                    <w:color w:val="000000" w:themeColor="text1"/>
                    <w:lang w:eastAsia="zh-CN"/>
                  </w:rPr>
                  <m:t>i</m:t>
                </m:r>
              </m:sub>
            </m:sSub>
            <m:d>
              <m:dPr>
                <m:ctrlPr>
                  <w:rPr>
                    <w:rFonts w:ascii="Cambria Math" w:hAnsi="Cambria Math" w:cs="Arial"/>
                    <w:bCs/>
                    <w:i/>
                    <w:color w:val="000000" w:themeColor="text1"/>
                    <w:lang w:eastAsia="zh-CN"/>
                  </w:rPr>
                </m:ctrlPr>
              </m:dPr>
              <m:e>
                <m:r>
                  <w:rPr>
                    <w:rFonts w:ascii="Cambria Math" w:hAnsi="Cambria Math" w:cs="Arial"/>
                    <w:color w:val="000000" w:themeColor="text1"/>
                    <w:lang w:eastAsia="zh-CN"/>
                  </w:rPr>
                  <m:t>s</m:t>
                </m:r>
              </m:e>
            </m:d>
            <m:r>
              <w:rPr>
                <w:rFonts w:ascii="Cambria Math" w:hAnsi="Cambria Math" w:cs="Arial"/>
                <w:color w:val="000000" w:themeColor="text1"/>
                <w:lang w:eastAsia="zh-CN"/>
              </w:rPr>
              <m:t>ds</m:t>
            </m:r>
            <m:r>
              <m:rPr>
                <m:lit/>
              </m:rPr>
              <w:rPr>
                <w:rFonts w:ascii="Cambria Math" w:hAnsi="Cambria Math" w:cs="Arial"/>
                <w:color w:val="000000" w:themeColor="text1"/>
                <w:lang w:eastAsia="zh-CN"/>
              </w:rPr>
              <m:t>}</m:t>
            </m:r>
          </m:e>
        </m:nary>
      </m:oMath>
      <w:r w:rsidRPr="00D541E6">
        <w:rPr>
          <w:rFonts w:asciiTheme="majorHAnsi" w:hAnsiTheme="majorHAnsi" w:cs="Arial"/>
          <w:bCs/>
          <w:color w:val="000000" w:themeColor="text1"/>
          <w:lang w:eastAsia="zh-CN"/>
        </w:rPr>
        <w:t xml:space="preserve">. The statistical inference can be made by embedding all observed events in the data in the form of marked points into a single MPP under the assumptions of </w:t>
      </w:r>
      <w:r w:rsidRPr="00D541E6">
        <w:rPr>
          <w:rFonts w:asciiTheme="majorHAnsi" w:hAnsiTheme="majorHAnsi" w:cs="Arial"/>
          <w:bCs/>
          <w:i/>
          <w:color w:val="000000" w:themeColor="text1"/>
          <w:lang w:eastAsia="zh-CN"/>
        </w:rPr>
        <w:t>local independence</w:t>
      </w:r>
      <w:r w:rsidRPr="00D541E6">
        <w:rPr>
          <w:rFonts w:asciiTheme="majorHAnsi" w:hAnsiTheme="majorHAnsi" w:cs="Arial"/>
          <w:bCs/>
          <w:color w:val="000000" w:themeColor="text1"/>
          <w:lang w:eastAsia="zh-CN"/>
        </w:rPr>
        <w:t xml:space="preserve"> and </w:t>
      </w:r>
      <w:r w:rsidRPr="00D541E6">
        <w:rPr>
          <w:rFonts w:asciiTheme="majorHAnsi" w:hAnsiTheme="majorHAnsi" w:cs="Arial"/>
          <w:bCs/>
          <w:i/>
          <w:color w:val="000000" w:themeColor="text1"/>
          <w:lang w:eastAsia="zh-CN"/>
        </w:rPr>
        <w:t>conditional independence</w:t>
      </w:r>
      <w:r w:rsidRPr="00D541E6">
        <w:rPr>
          <w:rFonts w:asciiTheme="majorHAnsi" w:hAnsiTheme="majorHAnsi" w:cs="Arial"/>
          <w:bCs/>
          <w:color w:val="000000" w:themeColor="text1"/>
          <w:lang w:eastAsia="zh-CN"/>
        </w:rPr>
        <w:t xml:space="preserve">, which can be seen as postulating a dynamic version of </w:t>
      </w:r>
      <w:r w:rsidRPr="00D541E6">
        <w:rPr>
          <w:rFonts w:asciiTheme="majorHAnsi" w:hAnsiTheme="majorHAnsi" w:cs="Arial"/>
          <w:bCs/>
          <w:i/>
          <w:color w:val="000000" w:themeColor="text1"/>
          <w:lang w:eastAsia="zh-CN"/>
        </w:rPr>
        <w:t>no unobserved confounders</w:t>
      </w:r>
      <w:r w:rsidRPr="00D541E6">
        <w:rPr>
          <w:rFonts w:asciiTheme="majorHAnsi" w:hAnsiTheme="majorHAnsi" w:cs="Arial"/>
          <w:bCs/>
          <w:color w:val="000000" w:themeColor="text1"/>
          <w:lang w:eastAsia="zh-CN"/>
        </w:rPr>
        <w:t xml:space="preserve"> and </w:t>
      </w:r>
      <w:r w:rsidRPr="00D541E6">
        <w:rPr>
          <w:rFonts w:asciiTheme="majorHAnsi" w:hAnsiTheme="majorHAnsi" w:cs="Arial"/>
          <w:bCs/>
          <w:i/>
          <w:color w:val="000000" w:themeColor="text1"/>
          <w:lang w:eastAsia="zh-CN"/>
        </w:rPr>
        <w:t>exchangeability</w:t>
      </w:r>
      <w:r w:rsidRPr="00D541E6">
        <w:rPr>
          <w:rFonts w:asciiTheme="majorHAnsi" w:hAnsiTheme="majorHAnsi" w:cs="Arial"/>
          <w:bCs/>
          <w:color w:val="000000" w:themeColor="text1"/>
          <w:lang w:eastAsia="zh-CN"/>
        </w:rPr>
        <w:t>, respectively. Counterfactual queries can be then answered by evaluating the corresponding predictive probabilities based on the available data.</w:t>
      </w:r>
    </w:p>
    <w:p w14:paraId="42791C11" w14:textId="4CF0A408"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Both methods in this subsection</w:t>
      </w:r>
      <w:r w:rsidRPr="00D541E6">
        <w:rPr>
          <w:rFonts w:asciiTheme="majorHAnsi" w:hAnsiTheme="majorHAnsi" w:cs="Arial"/>
          <w:bCs/>
          <w:color w:val="000000" w:themeColor="text1"/>
          <w:lang w:eastAsia="zh-CN"/>
        </w:rPr>
        <w:t xml:space="preserve"> can be computationally intensive as the number of observed samples increased. This could be ameliorated using conventional sparse approximations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{"citationItems":[{"id":"ITEM-1","itemData":{"abstract":"Predicated on the increasing abundance of electronic health records, we investigate the problem of inferring individualized treatment effects using observational data. Stemming from the potential outcomes model, we propose a novel multi-task learning framework in which factual and counterfactual outcomes are mod-eled as the outputs of a function in a vector-valued reproducing kernel Hilbert space (vvRKHS). We develop a nonparametric Bayesian method for learning the treatment effects using a multi-task Gaussian process (GP) with a linear coregion-alization kernel as a prior over the vvRKHS. The Bayesian approach allows us to compute individualized measures of confidence in our estimates via pointwise credible intervals, which are crucial for realizing the full potential of precision medicine. The impact of selection bias is alleviated via a risk-based empirical Bayes method for adapting the multi-task GP prior, which jointly minimizes the empirical error in factual outcomes and the uncertainty in (unobserved) counter-factual outcomes. We conduct experiments on observational datasets for an inter-ventional social program applied to premature infants, and a left ventricular assist device applied to cardiac patients wait-listed for a heart transplant. In both experiments , we show that our method significantly outperforms the state-of-the-art.","author":[{"dropping-particle":"","family":"Alaa","given":"Ahmed M","non-dropping-particle":"","parse-names":false,"suffix":""},{"dropping-particle":"","family":"Schaar","given":"Mihaela","non-dropping-particle":"van der","parse-names":false,"suffix":""}],"container-title":"Advances in Neural Information Processing Systems 30 (NIPS 2017)","id":"ITEM-1","issued":{"date-parts":[["2017"]]},"title":"Bayesian Inference of Individualized Treatment Effects using Multi-task Gaussian Processes","type":"paper-conference"},"uris":["http://www.mendeley.com/documents/?uuid=170d58c1-a6c7-30f9-9d40-38ef57477193"]},{"id":"ITEM-2","itemData":{"ISBN":"026218253X","author":[{"dropping-particle":"","family":"Rasmussen","given":"C E","non-dropping-particle":"","parse-names":false,"suffix":""},{"dropping-particle":"","family":"Williams","given":"C K I","non-dropping-particle":"","parse-names":false,"suffix":""}],"id":"ITEM-2","issued":{"date-parts":[["2006"]]},"publisher":"the MIT Press","title":"Gaussian Processes for Machine Learning","type":"book"},"uris":["http://www.mendeley.com/documents/?uuid=8810eb28-c2fe-3b08-bc6a-42591d0b9d96"]}],"mendeley":{"formattedCitation":"(Alaa &amp; van der Schaar, 2017; Rasmussen &amp; Williams, 2006)","plainTextFormattedCitation":"(Alaa &amp; van der Schaar, 2017; Rasmussen &amp; Williams, 2006)","previouslyFormattedCitation":"(19,33)"},"properties":{"noteIndex":0},"schema":"https://github.com/citation-style-language/schema/raw/master/csl-citation.json"}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(Alaa &amp; van der Schaar, 2017; Rasmussen &amp; Williams, 2006)</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Both methods are</w:t>
      </w:r>
      <w:r w:rsidRPr="00D541E6">
        <w:rPr>
          <w:rFonts w:ascii="Calibri" w:hAnsi="Calibri" w:cs="Calibri"/>
          <w:color w:val="000000" w:themeColor="text1"/>
        </w:rPr>
        <w:t xml:space="preserve"> limited to binary interventions, and prediction via treatment effect estimation can only make counterfactual prediction for outcomes with or without intervention.</w:t>
      </w:r>
    </w:p>
    <w:p w14:paraId="3B368787" w14:textId="70227BFD" w:rsidR="00D26A9D" w:rsidRPr="00D541E6" w:rsidRDefault="002E3E76" w:rsidP="000B577D">
      <w:pPr>
        <w:pStyle w:val="Heading3"/>
      </w:pPr>
      <w:r>
        <w:lastRenderedPageBreak/>
        <w:t>E</w:t>
      </w:r>
      <w:r w:rsidR="00431B31">
        <w:t>.</w:t>
      </w:r>
      <w:r w:rsidR="00D26A9D" w:rsidRPr="00D541E6">
        <w:t xml:space="preserve">2.2 Counterfactual prediction models that consider time-dependent treatments and treatment-confounder feedback </w:t>
      </w:r>
    </w:p>
    <w:p w14:paraId="35FA073B" w14:textId="5F768203"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Papers included in this category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{"citationItems":[{"id":"ITEM-1","itemData":{"DOI":"10.1002/sim.7913","ISSN":"02776715","author":[{"dropping-particle":"","family":"Sperrin","given":"Matthew","non-dropping-particle":"","parse-names":false,"suffix":""},{"dropping-particle":"","family":"Martin","given":"Glen P.","non-dropping-particle":"","parse-names":false,"suffix":""},{"dropping-particle":"","family":"Pate","given":"Alexander","non-dropping-particle":"","parse-names":false,"suffix":""},{"dropping-particle":"","family":"Staa","given":"Tjeerd","non-dropping-particle":"Van","parse-names":false,"suffix":""},{"dropping-particle":"","family":"Peek","given":"Niels","non-dropping-particle":"","parse-names":false,"suffix":""},{"dropping-particle":"","family":"Buchan","given":"Iain","non-dropping-particle":"","parse-names":false,"suffix":""}],"container-title":"Statistics in Medicine","id":"ITEM-1","issue":"28","issued":{"date-parts":[["2018","12","10"]]},"page":"4142-4154","publisher":"John Wiley &amp; Sons, Ltd","title":"Using marginal structural models to adjust for treatment drop-in when developing clinical prediction models","type":"article-journal","volume":"37"},"uris":["http://www.mendeley.com/documents/?uuid=088dc762-1b56-3e78-b915-2209b460fad7"]},{"id":"ITEM-2","itemData":{"author":[{"dropping-particle":"","family":"Lim","given":"Bryan","non-dropping-particle":"","parse-names":false,"suffix":""}],"container-title":"32nd Conference on Neural Information Processing Systems (NeurIPS 2018)","id":"ITEM-2","issued":{"date-parts":[["2018"]]},"page":"7494-7504","title":"Forecasting Treatment Responses Over Time Using Recurrent Marginal Structural Networks","type":"paper-conference"},"uris":["http://www.mendeley.com/documents/?uuid=374c2d1c-d9f6-33b7-9cc5-77da8e7e7217"]},{"id":"ITEM-3","itemData":{"abstract":"Identifying when to give treatments to patients and how to select among multiple treatments over time are important medical problems with a few existing solutions. In this paper, we introduce the Counterfactual Recurrent Network (CRN), a novel sequence-to-sequence model that leverages the increasingly available patient observational data to estimate treatment effects over time and answer such medical questions. To handle the bias from time-varying confounders, covariates affecting the treatment assignment policy in the observational data, CRN uses domain adversarial training to build balancing representations of the patient history. At each timestep, CRN constructs a treatment invariant representation which removes the association between patient history and treatment assignments and thus can be reliably used for making counterfactual predictions. On a simulated model of tumour growth, with varying degree of time-dependent confounding, we show how our model achieves lower error in estimating counterfactuals and in choosing the correct treatment and timing of treatment than current state-of-the-art methods.","author":[{"dropping-particle":"","family":"Bica","given":"Ioana","non-dropping-particle":"","parse-names":false,"suffix":""},{"dropping-particle":"","family":"Alaa","given":"Ahmed M.","non-dropping-particle":"","parse-names":false,"suffix":""},{"dropping-particle":"","family":"Jordon","given":"James","non-dropping-particle":"","parse-names":false,"suffix":""},{"dropping-particle":"","family":"Schaar","given":"Mihaela","non-dropping-particle":"van der","parse-names":false,"suffix":""}],"container-title":"8th International Conference on Learning Representations (ICLR)","id":"ITEM-3","issued":{"date-parts":[["2020","2"]]},"title":"Estimating Counterfactual Treatment Outcomes over Time Through Adversarially Balanced Representations","type":"paper-conference"},"uris":["http://www.mendeley.com/documents/?uuid=3fa93962-4bfa-30e3-ad6b-628442121dbb"]},{"id":"ITEM-4","itemData":{"abstract":"We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-4","issued":{"date-parts":[["2016","12","10"]]},"page":"282-300","publisher":"PMLR","title":"A Bayesian Nonparametric Approach for Estimating Individualized Treatment-Response Curves","type":"paper-conference"},"uris":["http://www.mendeley.com/documents/?uuid=2c4096bd-da51-4548-a129-fac3b6b32f16"]},{"id":"ITEM-5","itemData":{"abstract":"Treatment effects can be estimated from observational data as the difference in potential outcomes. In this paper, we address the challenge of estimating the potential outcome when treatment-dose levels can vary continuously over time. Further, the outcome variable may not be measured at a regular frequency. Our proposed solution represents the treatment response curves using linear time-invariant dynamical systems-this provides a flexible means for modeling response over time to highly variable dose curves. Moreover, for multivariate data, the proposed method: uncovers shared structure in treatment response and the baseline across multiple markers; and, flexibly models challenging correlation structure both across and within signals over time. For this, we build upon the framework of multiple-output Gaussian Processes. On simulated and a challenging clinical dataset, we show significant gains in accuracy over stateof- the-art models.","author":[{"dropping-particle":"","family":"Soleimani","given":"Hossein","non-dropping-particle":"","parse-names":false,"suffix":""},{"dropping-particle":"","family":"Subbaswamy","given":"Adarsh","non-dropping-particle":"","parse-names":false,"suffix":""},{"dropping-particle":"","family":"Saria","given":"Suchi","non-dropping-particle":"","parse-names":false,"suffix":""}],"container-title":"the 33rd Conference on Uncertainty in Artificial Intelligence (UAI)","id":"ITEM-5","issued":{"date-parts":[["2017"]]},"title":"Treatment-response models for counterfactual reasoning with continuous-time, continuous-valued interventions","type":"paper-conference"},"uris":["http://www.mendeley.com/documents/?uuid=e9654f68-bd98-343c-822e-399f63b28396"]},{"id":"ITEM-6","itemData":{"author":[{"dropping-particle":"","family":"Schulam","given":"Peter","non-dropping-particle":"","parse-names":false,"suffix":""},{"dropping-particle":"","family":"Saria","given":"Suchi","non-dropping-particle":"","parse-names":false,"suffix":""}],"container-title":"Advances in Neural Information Processing Systems 30 (NIPS 2017)","id":"ITEM-6","issued":{"date-parts":[["2017"]]},"page":"1697-1708","title":"Reliable Decision Support using Counterfactual Models","type":"paper-conference"},"uris":["http://www.mendeley.com/documents/?uuid=77abbf3a-8412-3779-b23e-c0cd21f6a2fe"]}],"mendeley":{"formattedCitation":"(Bica et al., 2020; Lim, 2018; Schulam &amp; Saria, 2017; Soleimani et al., 2017; Sperrin et al., 2018; Xu et al., 2016)","plainTextFormattedCitation":"(Bica et al., 2020; Lim, 2018; Schulam &amp; Saria, 2017; Soleimani et al., 2017; Sperrin et al., 2018; Xu et al., 2016)","previouslyFormattedCitation":"(21–26)"},"properties":{"noteIndex":0},"schema":"https://github.com/citation-style-language/schema/raw/master/csl-citation.json"}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(Bica et al., 2020; Lim, 2018; Schulam &amp; Saria, 2017; Soleimani et al., 2017; Sperrin et al., 2018; Xu et al., 2016)</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covered three types of approaches to deal with scenarios where the treatments of interest and confounders vary over time. One example of such confounding is in the sequential-treatment assignment setting, where doctors use a set of variable measurements, at the current time or in the past, to determine whether or not to treat, which in turn affects values of these variables at a subsequent time. The assumptions needed for identifying unbiased treatment effects in such scenarios are </w:t>
      </w:r>
      <w:r w:rsidRPr="00D541E6">
        <w:rPr>
          <w:rFonts w:asciiTheme="majorHAnsi" w:hAnsiTheme="majorHAnsi" w:cs="Arial"/>
          <w:bCs/>
          <w:i/>
          <w:color w:val="000000" w:themeColor="text1"/>
          <w:lang w:eastAsia="zh-CN"/>
        </w:rPr>
        <w:t>consistency</w:t>
      </w:r>
      <w:r w:rsidRPr="00D541E6">
        <w:rPr>
          <w:rFonts w:asciiTheme="majorHAnsi" w:hAnsiTheme="majorHAnsi" w:cs="Arial"/>
          <w:bCs/>
          <w:color w:val="000000" w:themeColor="text1"/>
          <w:lang w:eastAsia="zh-CN"/>
        </w:rPr>
        <w:t xml:space="preserve">, </w:t>
      </w:r>
      <w:r w:rsidRPr="00D541E6">
        <w:rPr>
          <w:rFonts w:asciiTheme="majorHAnsi" w:hAnsiTheme="majorHAnsi" w:cs="Arial"/>
          <w:bCs/>
          <w:i/>
          <w:color w:val="000000" w:themeColor="text1"/>
          <w:lang w:eastAsia="zh-CN"/>
        </w:rPr>
        <w:t>positivity</w:t>
      </w:r>
      <w:r w:rsidRPr="00D541E6">
        <w:rPr>
          <w:rFonts w:asciiTheme="majorHAnsi" w:hAnsiTheme="majorHAnsi" w:cs="Arial"/>
          <w:bCs/>
          <w:color w:val="000000" w:themeColor="text1"/>
          <w:lang w:eastAsia="zh-CN"/>
        </w:rPr>
        <w:t xml:space="preserve">, and </w:t>
      </w:r>
      <w:r w:rsidRPr="00D541E6">
        <w:rPr>
          <w:rFonts w:asciiTheme="majorHAnsi" w:hAnsiTheme="majorHAnsi" w:cs="Arial"/>
          <w:bCs/>
          <w:i/>
          <w:color w:val="000000" w:themeColor="text1"/>
          <w:lang w:eastAsia="zh-CN"/>
        </w:rPr>
        <w:t>sequential ignorability</w:t>
      </w:r>
      <w:r w:rsidRPr="00D541E6">
        <w:rPr>
          <w:rFonts w:asciiTheme="majorHAnsi" w:hAnsiTheme="majorHAnsi" w:cs="Arial"/>
          <w:bCs/>
          <w:color w:val="000000" w:themeColor="text1"/>
          <w:lang w:eastAsia="zh-CN"/>
        </w:rPr>
        <w:t xml:space="preserve">. </w:t>
      </w:r>
    </w:p>
    <w:p w14:paraId="53F43D52" w14:textId="77777777" w:rsidR="00D26A9D" w:rsidRPr="00D541E6" w:rsidRDefault="00D26A9D" w:rsidP="00D26A9D">
      <w:pPr>
        <w:autoSpaceDE w:val="0"/>
        <w:autoSpaceDN w:val="0"/>
        <w:adjustRightInd w:val="0"/>
        <w:spacing w:after="240" w:line="276" w:lineRule="auto"/>
        <w:rPr>
          <w:rFonts w:asciiTheme="majorHAnsi" w:hAnsiTheme="majorHAnsi" w:cs="Arial"/>
          <w:b/>
          <w:bCs/>
          <w:i/>
          <w:color w:val="000000" w:themeColor="text1"/>
          <w:lang w:eastAsia="zh-CN"/>
        </w:rPr>
      </w:pPr>
      <w:r w:rsidRPr="00D541E6">
        <w:rPr>
          <w:rFonts w:asciiTheme="majorHAnsi" w:hAnsiTheme="majorHAnsi" w:cs="Times New Roman"/>
          <w:b/>
          <w:i/>
          <w:color w:val="000000" w:themeColor="text1"/>
        </w:rPr>
        <w:t>Marginal structure models (MSMs) within a prediction model framework</w:t>
      </w:r>
    </w:p>
    <w:p w14:paraId="5BE1594A" w14:textId="2196DFF5" w:rsidR="00D26A9D" w:rsidRPr="00D541E6" w:rsidRDefault="00D26A9D" w:rsidP="00D26A9D">
      <w:pPr>
        <w:autoSpaceDE w:val="0"/>
        <w:autoSpaceDN w:val="0"/>
        <w:adjustRightInd w:val="0"/>
        <w:spacing w:after="240" w:line="276" w:lineRule="auto"/>
        <w:rPr>
          <w:rFonts w:ascii="Times Roman" w:hAnsi="Times Roman" w:cs="Times Roman"/>
          <w:color w:val="000000" w:themeColor="text1"/>
        </w:rPr>
      </w:pPr>
      <w:r w:rsidRPr="00D541E6">
        <w:rPr>
          <w:rFonts w:asciiTheme="majorHAnsi" w:hAnsiTheme="majorHAnsi" w:cs="Arial"/>
          <w:bCs/>
          <w:color w:val="000000" w:themeColor="text1"/>
          <w:lang w:eastAsia="zh-CN"/>
        </w:rPr>
        <w:t xml:space="preserve">MSMs with inverse probability treatment weighting (IPTW) for receipt of treatment is a common way to estimate the unbiased treatment effects where a pseudo-population is created such that treatment selection will be unconfounded. Motivated by estimating treatment-naïve risk in presence of </w:t>
      </w:r>
      <w:r w:rsidRPr="00D541E6">
        <w:rPr>
          <w:rFonts w:asciiTheme="majorHAnsi" w:hAnsiTheme="majorHAnsi" w:cs="Arial"/>
          <w:bCs/>
          <w:i/>
          <w:color w:val="000000" w:themeColor="text1"/>
          <w:lang w:eastAsia="zh-CN"/>
        </w:rPr>
        <w:t>treatment drop-ins</w:t>
      </w:r>
      <w:r w:rsidRPr="00D541E6">
        <w:rPr>
          <w:rFonts w:asciiTheme="majorHAnsi" w:hAnsiTheme="majorHAnsi" w:cs="Arial"/>
          <w:bCs/>
          <w:color w:val="000000" w:themeColor="text1"/>
          <w:lang w:eastAsia="zh-CN"/>
        </w:rPr>
        <w:t>, i.e., treatments initiated post baseline,</w:t>
      </w:r>
      <w:r w:rsidRPr="00D541E6" w:rsidDel="004E1CE4">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t xml:space="preserve">Sperrin </w:t>
      </w:r>
      <w:r w:rsidRPr="00D541E6">
        <w:rPr>
          <w:rFonts w:asciiTheme="majorHAnsi" w:hAnsiTheme="majorHAnsi" w:cs="Arial"/>
          <w:bCs/>
          <w:i/>
          <w:color w:val="000000" w:themeColor="text1"/>
          <w:lang w:eastAsia="zh-CN"/>
        </w:rPr>
        <w:t>et al.</w:t>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{"citationItems":[{"id":"ITEM-1","itemData":{"DOI":"10.1002/sim.7913","ISSN":"02776715","author":[{"dropping-particle":"","family":"Sperrin","given":"Matthew","non-dropping-particle":"","parse-names":false,"suffix":""},{"dropping-particle":"","family":"Martin","given":"Glen P.","non-dropping-particle":"","parse-names":false,"suffix":""},{"dropping-particle":"","family":"Pate","given":"Alexander","non-dropping-particle":"","parse-names":false,"suffix":""},{"dropping-particle":"","family":"Staa","given":"Tjeerd","non-dropping-particle":"Van","parse-names":false,"suffix":""},{"dropping-particle":"","family":"Peek","given":"Niels","non-dropping-particle":"","parse-names":false,"suffix":""},{"dropping-particle":"","family":"Buchan","given":"Iain","non-dropping-particle":"","parse-names":false,"suffix":""}],"container-title":"Statistics in Medicine","id":"ITEM-1","issue":"28","issued":{"date-parts":[["2018","12","10"]]},"page":"4142-4154","publisher":"John Wiley &amp; Sons, Ltd","title":"Using marginal structural models to adjust for treatment drop-in when developing clinical prediction models","type":"article-journal","volume":"37"},"uris":["http://www.mendeley.com/documents/?uuid=088dc762-1b56-3e78-b915-2209b460fad7"]}],"mendeley":{"formattedCitation":"(Sperrin et al., 2018)","plainTextFormattedCitation":"(Sperrin et al., 2018)","previouslyFormattedCitation":"(21)"},"properties":{"noteIndex":0},"schema":"https://github.com/citation-style-language/schema/raw/master/csl-citation.json"}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(Sperrin et al., 2018)</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proposed combining MSM with predictive modelling approaches to adjust for confounding and generate prediction models that could appropriately estimate risk under the required treatment regimens. Following the classic development of IPTW for an MSM, the model first calculated weights using the post baseline treatment history </w:t>
      </w:r>
      <m:oMath>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r>
          <w:rPr>
            <w:rFonts w:ascii="Cambria Math" w:hAnsi="Cambria Math" w:cs="Arial"/>
            <w:color w:val="000000" w:themeColor="text1"/>
            <w:lang w:eastAsia="zh-CN"/>
          </w:rPr>
          <m:t xml:space="preserve">, </m:t>
        </m:r>
      </m:oMath>
      <w:r w:rsidRPr="00D541E6">
        <w:rPr>
          <w:rFonts w:asciiTheme="majorHAnsi" w:hAnsiTheme="majorHAnsi" w:cs="Arial"/>
          <w:bCs/>
          <w:color w:val="000000" w:themeColor="text1"/>
          <w:lang w:eastAsia="zh-CN"/>
        </w:rPr>
        <w:t xml:space="preserve">and baseline variables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X</m:t>
            </m:r>
          </m:e>
          <m:sub>
            <m:r>
              <w:rPr>
                <w:rFonts w:ascii="Cambria Math" w:hAnsi="Cambria Math" w:cs="Arial"/>
                <w:color w:val="000000" w:themeColor="text1"/>
                <w:lang w:eastAsia="zh-CN"/>
              </w:rPr>
              <m:t>0</m:t>
            </m:r>
          </m:sub>
        </m:sSub>
      </m:oMath>
      <w:r w:rsidRPr="00D541E6">
        <w:rPr>
          <w:rFonts w:asciiTheme="majorHAnsi" w:hAnsiTheme="majorHAnsi" w:cs="Arial"/>
          <w:bCs/>
          <w:color w:val="000000" w:themeColor="text1"/>
          <w:lang w:eastAsia="zh-CN"/>
        </w:rPr>
        <w:t xml:space="preserve"> comprising all variables that are prognostic for </w:t>
      </w:r>
      <m:oMath>
        <m:r>
          <w:rPr>
            <w:rFonts w:ascii="Cambria Math" w:hAnsi="Cambria Math" w:cs="Arial"/>
            <w:color w:val="000000" w:themeColor="text1"/>
            <w:lang w:eastAsia="zh-CN"/>
          </w:rPr>
          <m:t>Y</m:t>
        </m:r>
      </m:oMath>
      <w:r w:rsidRPr="00D541E6">
        <w:rPr>
          <w:rFonts w:asciiTheme="majorHAnsi" w:hAnsiTheme="majorHAnsi" w:cs="Arial"/>
          <w:bCs/>
          <w:i/>
          <w:iCs/>
          <w:color w:val="000000" w:themeColor="text1"/>
          <w:lang w:eastAsia="zh-CN"/>
        </w:rPr>
        <w:t xml:space="preserve"> </w:t>
      </w:r>
      <w:r w:rsidRPr="00D541E6">
        <w:rPr>
          <w:rFonts w:asciiTheme="majorHAnsi" w:hAnsiTheme="majorHAnsi" w:cs="Arial"/>
          <w:bCs/>
          <w:iCs/>
          <w:color w:val="000000" w:themeColor="text1"/>
          <w:lang w:eastAsia="zh-CN"/>
        </w:rPr>
        <w:t>(</w:t>
      </w:r>
      <w:r w:rsidRPr="00D541E6">
        <w:rPr>
          <w:rFonts w:asciiTheme="majorHAnsi" w:hAnsiTheme="majorHAnsi" w:cs="Arial"/>
          <w:bCs/>
          <w:color w:val="000000" w:themeColor="text1"/>
          <w:lang w:eastAsia="zh-CN"/>
        </w:rPr>
        <w:t>rather than only the effect modifiers). For outcome prediction, it then fitted a logistic model with the derived weights</w:t>
      </w:r>
    </w:p>
    <w:p w14:paraId="6F2B584D" w14:textId="77777777" w:rsidR="00D26A9D" w:rsidRPr="00D541E6" w:rsidRDefault="00D26A9D" w:rsidP="00D26A9D">
      <w:pPr>
        <w:autoSpaceDE w:val="0"/>
        <w:autoSpaceDN w:val="0"/>
        <w:adjustRightInd w:val="0"/>
        <w:spacing w:after="240" w:line="276" w:lineRule="auto"/>
        <w:jc w:val="center"/>
        <w:rPr>
          <w:rFonts w:asciiTheme="majorHAnsi" w:hAnsiTheme="majorHAnsi" w:cs="Arial"/>
          <w:bCs/>
          <w:color w:val="000000" w:themeColor="text1"/>
          <w:lang w:eastAsia="zh-CN"/>
        </w:rPr>
      </w:pPr>
      <m:oMath>
        <m:r>
          <m:rPr>
            <m:nor/>
          </m:rPr>
          <w:rPr>
            <w:rFonts w:ascii="Cambria Math" w:hAnsi="Cambria Math" w:cs="Arial"/>
            <w:bCs/>
            <w:color w:val="000000" w:themeColor="text1"/>
            <w:lang w:eastAsia="zh-CN"/>
          </w:rPr>
          <m:t>logit</m:t>
        </m:r>
        <m:r>
          <w:rPr>
            <w:rFonts w:ascii="Cambria Math" w:hAnsi="Cambria Math" w:cs="Arial"/>
            <w:color w:val="000000" w:themeColor="text1"/>
            <w:lang w:eastAsia="zh-CN"/>
          </w:rPr>
          <m:t xml:space="preserve"> P</m:t>
        </m:r>
        <m:d>
          <m:dPr>
            <m:begChr m:val="["/>
            <m:endChr m:val="|"/>
            <m:ctrlPr>
              <w:rPr>
                <w:rFonts w:ascii="Cambria Math" w:hAnsi="Cambria Math" w:cs="Arial"/>
                <w:bCs/>
                <w:i/>
                <w:color w:val="000000" w:themeColor="text1"/>
                <w:lang w:eastAsia="zh-CN"/>
              </w:rPr>
            </m:ctrlPr>
          </m:dPr>
          <m:e>
            <m:r>
              <w:rPr>
                <w:rFonts w:ascii="Cambria Math" w:hAnsi="Cambria Math" w:cs="Arial"/>
                <w:color w:val="000000" w:themeColor="text1"/>
                <w:lang w:eastAsia="zh-CN"/>
              </w:rPr>
              <m:t>Y=1</m:t>
            </m:r>
          </m:e>
        </m:d>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X</m:t>
            </m:r>
          </m:e>
          <m:sub>
            <m:r>
              <w:rPr>
                <w:rFonts w:ascii="Cambria Math" w:hAnsi="Cambria Math" w:cs="Arial"/>
                <w:color w:val="000000" w:themeColor="text1"/>
                <w:lang w:eastAsia="zh-CN"/>
              </w:rPr>
              <m:t>0</m:t>
            </m:r>
          </m:sub>
        </m:sSub>
        <m:r>
          <w:rPr>
            <w:rFonts w:ascii="Cambria Math" w:hAnsi="Cambria Math" w:cs="Arial"/>
            <w:color w:val="000000" w:themeColor="text1"/>
            <w:lang w:eastAsia="zh-CN"/>
          </w:rPr>
          <m:t xml:space="preserve">, </m:t>
        </m:r>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β</m:t>
            </m:r>
          </m:e>
          <m:sub>
            <m:r>
              <w:rPr>
                <w:rFonts w:ascii="Cambria Math" w:hAnsi="Cambria Math" w:cs="Arial"/>
                <w:color w:val="000000" w:themeColor="text1"/>
                <w:lang w:eastAsia="zh-CN"/>
              </w:rPr>
              <m:t>0</m:t>
            </m:r>
          </m:sub>
        </m:sSub>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β</m:t>
            </m:r>
          </m:e>
          <m:sub>
            <m:r>
              <w:rPr>
                <w:rFonts w:ascii="Cambria Math" w:hAnsi="Cambria Math" w:cs="Arial"/>
                <w:color w:val="000000" w:themeColor="text1"/>
                <w:lang w:eastAsia="zh-CN"/>
              </w:rPr>
              <m:t>X</m:t>
            </m:r>
          </m:sub>
        </m:s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X</m:t>
            </m:r>
          </m:e>
          <m:sub>
            <m:r>
              <w:rPr>
                <w:rFonts w:ascii="Cambria Math" w:hAnsi="Cambria Math" w:cs="Arial"/>
                <w:color w:val="000000" w:themeColor="text1"/>
                <w:lang w:eastAsia="zh-CN"/>
              </w:rPr>
              <m:t>0</m:t>
            </m:r>
          </m:sub>
        </m:sSub>
        <m:r>
          <w:rPr>
            <w:rFonts w:ascii="Cambria Math" w:hAnsi="Cambria Math" w:cs="Arial"/>
            <w:color w:val="000000" w:themeColor="text1"/>
            <w:lang w:eastAsia="zh-CN"/>
          </w:rPr>
          <m:t>+</m:t>
        </m:r>
        <m:nary>
          <m:naryPr>
            <m:chr m:val="∑"/>
            <m:limLoc m:val="subSup"/>
            <m:ctrlPr>
              <w:rPr>
                <w:rFonts w:ascii="Cambria Math" w:hAnsi="Cambria Math" w:cs="Arial"/>
                <w:bCs/>
                <w:i/>
                <w:color w:val="000000" w:themeColor="text1"/>
                <w:lang w:eastAsia="zh-CN"/>
              </w:rPr>
            </m:ctrlPr>
          </m:naryPr>
          <m:sub>
            <m:r>
              <w:rPr>
                <w:rFonts w:ascii="Cambria Math" w:hAnsi="Cambria Math" w:cs="Arial"/>
                <w:color w:val="000000" w:themeColor="text1"/>
                <w:lang w:eastAsia="zh-CN"/>
              </w:rPr>
              <m:t>k=0</m:t>
            </m:r>
          </m:sub>
          <m:sup>
            <m:r>
              <w:rPr>
                <w:rFonts w:ascii="Cambria Math" w:hAnsi="Cambria Math" w:cs="Arial"/>
                <w:color w:val="000000" w:themeColor="text1"/>
                <w:lang w:eastAsia="zh-CN"/>
              </w:rPr>
              <m:t>K</m:t>
            </m:r>
          </m:sup>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 β</m:t>
                </m:r>
              </m:e>
              <m: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k</m:t>
                    </m:r>
                  </m:sub>
                </m:sSub>
              </m:sub>
            </m:sSub>
          </m:e>
        </m:nary>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k</m:t>
            </m:r>
          </m:sub>
        </m:sSub>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β</m:t>
            </m:r>
          </m:e>
          <m: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k</m:t>
                </m:r>
              </m:sub>
            </m:sSub>
            <m:r>
              <w:rPr>
                <w:rFonts w:ascii="Cambria Math" w:hAnsi="Cambria Math" w:cs="Arial"/>
                <w:color w:val="000000" w:themeColor="text1"/>
                <w:lang w:eastAsia="zh-CN"/>
              </w:rPr>
              <m:t>X</m:t>
            </m:r>
          </m:sub>
        </m:s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k</m:t>
            </m:r>
          </m:sub>
        </m:s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X</m:t>
            </m:r>
          </m:e>
          <m:sub>
            <m:r>
              <w:rPr>
                <w:rFonts w:ascii="Cambria Math" w:hAnsi="Cambria Math" w:cs="Arial"/>
                <w:color w:val="000000" w:themeColor="text1"/>
                <w:lang w:eastAsia="zh-CN"/>
              </w:rPr>
              <m:t>0</m:t>
            </m:r>
          </m:sub>
        </m:sSub>
        <m:r>
          <w:rPr>
            <w:rFonts w:ascii="Cambria Math" w:hAnsi="Cambria Math" w:cs="Arial"/>
            <w:color w:val="000000" w:themeColor="text1"/>
            <w:lang w:eastAsia="zh-CN"/>
          </w:rPr>
          <m:t>)</m:t>
        </m:r>
      </m:oMath>
      <w:r w:rsidRPr="00D541E6">
        <w:rPr>
          <w:rFonts w:asciiTheme="majorHAnsi" w:hAnsiTheme="majorHAnsi" w:cs="Arial"/>
          <w:bCs/>
          <w:color w:val="000000" w:themeColor="text1"/>
          <w:lang w:eastAsia="zh-CN"/>
        </w:rPr>
        <w:t xml:space="preserve"> .</w:t>
      </w:r>
    </w:p>
    <w:p w14:paraId="6CE77BCE" w14:textId="77777777"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Estimating treatment-naïve risk, which corresponds to the causal estimand </w:t>
      </w:r>
      <m:oMath>
        <m:r>
          <w:rPr>
            <w:rFonts w:ascii="Cambria Math" w:hAnsi="Cambria Math" w:cs="Arial"/>
            <w:color w:val="000000" w:themeColor="text1"/>
            <w:lang w:eastAsia="zh-CN"/>
          </w:rPr>
          <m:t>E</m:t>
        </m:r>
        <m:d>
          <m:dPr>
            <m:begChr m:val="["/>
            <m:endChr m:val="|"/>
            <m:ctrlPr>
              <w:rPr>
                <w:rFonts w:ascii="Cambria Math" w:hAnsi="Cambria Math" w:cs="Arial"/>
                <w:bCs/>
                <w:i/>
                <w:color w:val="000000" w:themeColor="text1"/>
                <w:lang w:eastAsia="zh-CN"/>
              </w:rPr>
            </m:ctrlPr>
          </m:dPr>
          <m:e>
            <m:sSup>
              <m:sSupPr>
                <m:ctrlPr>
                  <w:rPr>
                    <w:rFonts w:ascii="Cambria Math" w:hAnsi="Cambria Math" w:cs="Arial"/>
                    <w:i/>
                    <w:color w:val="000000" w:themeColor="text1"/>
                    <w:lang w:eastAsia="zh-CN"/>
                  </w:rPr>
                </m:ctrlPr>
              </m:sSupPr>
              <m:e>
                <m:r>
                  <w:rPr>
                    <w:rFonts w:ascii="Cambria Math" w:hAnsi="Cambria Math" w:cs="Arial"/>
                    <w:color w:val="000000" w:themeColor="text1"/>
                    <w:lang w:eastAsia="zh-CN"/>
                  </w:rPr>
                  <m:t>Y</m:t>
                </m:r>
              </m:e>
              <m:sup>
                <m:r>
                  <w:rPr>
                    <w:rFonts w:ascii="Cambria Math" w:hAnsi="Cambria Math" w:cs="Arial"/>
                    <w:color w:val="000000" w:themeColor="text1"/>
                    <w:lang w:eastAsia="zh-CN"/>
                  </w:rPr>
                  <m:t>(</m:t>
                </m:r>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r>
                  <w:rPr>
                    <w:rFonts w:ascii="Cambria Math" w:hAnsi="Cambria Math" w:cs="Arial"/>
                    <w:color w:val="000000" w:themeColor="text1"/>
                    <w:lang w:eastAsia="zh-CN"/>
                  </w:rPr>
                  <m:t>=0)</m:t>
                </m:r>
              </m:sup>
            </m:sSup>
          </m:e>
        </m:d>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X</m:t>
            </m:r>
          </m:e>
          <m:sub>
            <m:r>
              <w:rPr>
                <w:rFonts w:ascii="Cambria Math" w:hAnsi="Cambria Math" w:cs="Arial"/>
                <w:color w:val="000000" w:themeColor="text1"/>
                <w:lang w:eastAsia="zh-CN"/>
              </w:rPr>
              <m:t>0</m:t>
            </m:r>
          </m:sub>
        </m:sSub>
        <m:r>
          <w:rPr>
            <w:rFonts w:ascii="Cambria Math" w:hAnsi="Cambria Math" w:cs="Arial"/>
            <w:color w:val="000000" w:themeColor="text1"/>
            <w:lang w:eastAsia="zh-CN"/>
          </w:rPr>
          <m:t>]</m:t>
        </m:r>
      </m:oMath>
      <w:r w:rsidRPr="00D541E6">
        <w:rPr>
          <w:rFonts w:asciiTheme="majorHAnsi" w:hAnsiTheme="majorHAnsi" w:cs="Arial"/>
          <w:color w:val="000000" w:themeColor="text1"/>
          <w:lang w:eastAsia="zh-CN"/>
        </w:rPr>
        <w:t xml:space="preserve">, </w:t>
      </w:r>
      <w:r w:rsidRPr="00D541E6">
        <w:rPr>
          <w:rFonts w:asciiTheme="majorHAnsi" w:hAnsiTheme="majorHAnsi" w:cs="Arial"/>
          <w:bCs/>
          <w:color w:val="000000" w:themeColor="text1"/>
          <w:lang w:eastAsia="zh-CN"/>
        </w:rPr>
        <w:t>can truly support guiding treatment initiation. By carefully defining the required estimand for the target prediction, the proposed framework could estimate risks under a variety of treatment regimens. As with approaches described so far in this category, the model only considered a binary treatment. The extension to multiple treatment choices for the proposed method is possible in principal; although, the underlying causal structure and resulted model may become too complex.</w:t>
      </w:r>
    </w:p>
    <w:p w14:paraId="0785752A" w14:textId="1C4D4350"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Similarly to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{"citationItems":[{"id":"ITEM-1","itemData":{"DOI":"10.1002/sim.7913","ISSN":"02776715","author":[{"dropping-particle":"","family":"Sperrin","given":"Matthew","non-dropping-particle":"","parse-names":false,"suffix":""},{"dropping-particle":"","family":"Martin","given":"Glen P.","non-dropping-particle":"","parse-names":false,"suffix":""},{"dropping-particle":"","family":"Pate","given":"Alexander","non-dropping-particle":"","parse-names":false,"suffix":""},{"dropping-particle":"","family":"Staa","given":"Tjeerd","non-dropping-particle":"Van","parse-names":false,"suffix":""},{"dropping-particle":"","family":"Peek","given":"Niels","non-dropping-particle":"","parse-names":false,"suffix":""},{"dropping-particle":"","family":"Buchan","given":"Iain","non-dropping-particle":"","parse-names":false,"suffix":""}],"container-title":"Statistics in Medicine","id":"ITEM-1","issue":"28","issued":{"date-parts":[["2018","12","10"]]},"page":"4142-4154","publisher":"John Wiley &amp; Sons, Ltd","title":"Using marginal structural models to adjust for treatment drop-in when developing clinical prediction models","type":"article-journal","volume":"37"},"uris":["http://www.mendeley.com/documents/?uuid=088dc762-1b56-3e78-b915-2209b460fad7"]}],"mendeley":{"formattedCitation":"(Sperrin et al., 2018)","plainTextFormattedCitation":"(Sperrin et al., 2018)","previouslyFormattedCitation":"(21)"},"properties":{"noteIndex":0},"schema":"https://github.com/citation-style-language/schema/raw/master/csl-citation.json"}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(Sperrin et al., 2018)</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Lim </w:t>
      </w:r>
      <w:r w:rsidRPr="00D541E6">
        <w:rPr>
          <w:rFonts w:asciiTheme="majorHAnsi" w:hAnsiTheme="majorHAnsi" w:cs="Arial"/>
          <w:bCs/>
          <w:i/>
          <w:color w:val="000000" w:themeColor="text1"/>
          <w:lang w:eastAsia="zh-CN"/>
        </w:rPr>
        <w:t>et al.</w:t>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{"citationItems":[{"id":"ITEM-1","itemData":{"author":[{"dropping-particle":"","family":"Lim","given":"Bryan","non-dropping-particle":"","parse-names":false,"suffix":""}],"container-title":"32nd Conference on Neural Information Processing Systems (NeurIPS 2018)","id":"ITEM-1","issued":{"date-parts":[["2018"]]},"page":"7494-7504","title":"Forecasting Treatment Responses Over Time Using Recurrent Marginal Structural Networks","type":"paper-conference"},"uris":["http://www.mendeley.com/documents/?uuid=374c2d1c-d9f6-33b7-9cc5-77da8e7e7217"]}],"mendeley":{"formattedCitation":"(Lim, 2018)","plainTextFormattedCitation":"(Lim, 2018)","previouslyFormattedCitation":"(22)"},"properties":{"noteIndex":0},"schema":"https://github.com/citation-style-language/schema/raw/master/csl-citation.json"}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(Lim, 2018)</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adopted the MSM combined with IPTW approach. Instead of using linear or logistic regression models, they embedded the concept into a deep learning framework and proposed a </w:t>
      </w:r>
      <w:r w:rsidRPr="00D541E6">
        <w:rPr>
          <w:rFonts w:asciiTheme="majorHAnsi" w:hAnsiTheme="majorHAnsi" w:cs="Arial"/>
          <w:bCs/>
          <w:i/>
          <w:color w:val="000000" w:themeColor="text1"/>
          <w:lang w:eastAsia="zh-CN"/>
        </w:rPr>
        <w:t>Recurrent Marginal Structural Network</w:t>
      </w:r>
      <w:r w:rsidRPr="00D541E6">
        <w:rPr>
          <w:rFonts w:asciiTheme="majorHAnsi" w:hAnsiTheme="majorHAnsi" w:cs="Arial"/>
          <w:bCs/>
          <w:color w:val="000000" w:themeColor="text1"/>
          <w:lang w:eastAsia="zh-CN"/>
        </w:rPr>
        <w:t xml:space="preserve"> (RMSN). The model consisted of (1) a set propensity </w:t>
      </w:r>
      <w:r w:rsidRPr="00D541E6">
        <w:rPr>
          <w:rFonts w:asciiTheme="majorHAnsi" w:hAnsiTheme="majorHAnsi" w:cs="Arial"/>
          <w:bCs/>
          <w:color w:val="000000" w:themeColor="text1"/>
          <w:lang w:eastAsia="zh-CN"/>
        </w:rPr>
        <w:lastRenderedPageBreak/>
        <w:t xml:space="preserve">networks to compute treatment probabilities used for IPTW, and (2) a prediction network used to determine the treatment response for a given set of planned interventions. In propensity networks, the key probability functions </w:t>
      </w:r>
      <m:oMath>
        <m:r>
          <w:rPr>
            <w:rFonts w:ascii="Cambria Math" w:hAnsi="Cambria Math" w:cs="Arial"/>
            <w:color w:val="000000" w:themeColor="text1"/>
            <w:lang w:eastAsia="zh-CN"/>
          </w:rPr>
          <m:t>p</m:t>
        </m:r>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m:t>
                </m:r>
              </m:sub>
            </m:sSub>
          </m:e>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t-1</m:t>
                </m:r>
              </m:sub>
            </m:sSub>
          </m:e>
        </m:d>
      </m:oMath>
      <w:r w:rsidRPr="00D541E6">
        <w:rPr>
          <w:rFonts w:asciiTheme="majorHAnsi" w:hAnsiTheme="majorHAnsi" w:cs="Arial"/>
          <w:bCs/>
          <w:color w:val="000000" w:themeColor="text1"/>
          <w:lang w:eastAsia="zh-CN"/>
        </w:rPr>
        <w:t xml:space="preserve"> and </w:t>
      </w:r>
      <m:oMath>
        <m:r>
          <w:rPr>
            <w:rFonts w:ascii="Cambria Math" w:hAnsi="Cambria Math" w:cs="Arial"/>
            <w:color w:val="000000" w:themeColor="text1"/>
            <w:lang w:eastAsia="zh-CN"/>
          </w:rPr>
          <m:t>p</m:t>
        </m:r>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m:t>
                </m:r>
              </m:sub>
            </m:sSub>
          </m:e>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e>
              <m:sub>
                <m:r>
                  <w:rPr>
                    <w:rFonts w:ascii="Cambria Math" w:hAnsi="Cambria Math" w:cs="Arial"/>
                    <w:color w:val="000000" w:themeColor="text1"/>
                    <w:lang w:eastAsia="zh-CN"/>
                  </w:rPr>
                  <m:t>t-1</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oMath>
      <w:r w:rsidRPr="00D541E6">
        <w:rPr>
          <w:rFonts w:asciiTheme="majorHAnsi" w:hAnsiTheme="majorHAnsi" w:cs="Arial"/>
          <w:bCs/>
          <w:color w:val="000000" w:themeColor="text1"/>
          <w:lang w:eastAsia="zh-CN"/>
        </w:rPr>
        <w:t xml:space="preserve"> were parameterized with different long short-term memory (LSTM) models, </w:t>
      </w:r>
      <m:oMath>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RNN</m:t>
            </m:r>
          </m:e>
          <m:sub>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SW</m:t>
                </m:r>
              </m:e>
              <m:sub>
                <m:r>
                  <m:rPr>
                    <m:sty m:val="p"/>
                  </m:rPr>
                  <w:rPr>
                    <w:rFonts w:ascii="Cambria Math" w:hAnsi="Cambria Math" w:cs="Arial"/>
                    <w:color w:val="000000" w:themeColor="text1"/>
                    <w:lang w:eastAsia="zh-CN"/>
                  </w:rPr>
                  <m:t>1</m:t>
                </m:r>
              </m:sub>
            </m:sSub>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t-1</m:t>
                </m:r>
              </m:sub>
            </m:sSub>
          </m:e>
        </m:d>
      </m:oMath>
      <w:r w:rsidRPr="00D541E6">
        <w:rPr>
          <w:rFonts w:asciiTheme="majorHAnsi" w:hAnsiTheme="majorHAnsi" w:cs="Arial"/>
          <w:bCs/>
          <w:color w:val="000000" w:themeColor="text1"/>
          <w:lang w:eastAsia="zh-CN"/>
        </w:rPr>
        <w:t xml:space="preserve"> and </w:t>
      </w:r>
      <m:oMath>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RNN</m:t>
            </m:r>
          </m:e>
          <m:sub>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SW</m:t>
                </m:r>
              </m:e>
              <m:sub>
                <m:r>
                  <m:rPr>
                    <m:sty m:val="p"/>
                  </m:rPr>
                  <w:rPr>
                    <w:rFonts w:ascii="Cambria Math" w:hAnsi="Cambria Math" w:cs="Arial"/>
                    <w:color w:val="000000" w:themeColor="text1"/>
                    <w:lang w:eastAsia="zh-CN"/>
                  </w:rPr>
                  <m:t>2</m:t>
                </m:r>
              </m:sub>
            </m:sSub>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e>
              <m:sub>
                <m:r>
                  <w:rPr>
                    <w:rFonts w:ascii="Cambria Math" w:hAnsi="Cambria Math" w:cs="Arial"/>
                    <w:color w:val="000000" w:themeColor="text1"/>
                    <w:lang w:eastAsia="zh-CN"/>
                  </w:rPr>
                  <m:t>t-1</m:t>
                </m:r>
              </m:sub>
            </m:sSub>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oMath>
      <w:r w:rsidRPr="00D541E6">
        <w:rPr>
          <w:rFonts w:asciiTheme="majorHAnsi" w:hAnsiTheme="majorHAnsi" w:cs="Arial"/>
          <w:color w:val="000000" w:themeColor="text1"/>
          <w:lang w:eastAsia="zh-CN"/>
        </w:rPr>
        <w:t>, respectively.</w:t>
      </w:r>
      <w:r w:rsidRPr="00D541E6">
        <w:rPr>
          <w:rFonts w:asciiTheme="majorHAnsi" w:hAnsiTheme="majorHAnsi" w:cs="Arial"/>
          <w:bCs/>
          <w:color w:val="000000" w:themeColor="text1"/>
          <w:lang w:eastAsia="zh-CN"/>
        </w:rPr>
        <w:t xml:space="preserve"> In the prediction network, RMSN used an encoder network (a standard LSTM) to predict one-step-ahead outcome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Y</m:t>
            </m:r>
          </m:e>
          <m:sub>
            <m:r>
              <w:rPr>
                <w:rFonts w:ascii="Cambria Math" w:hAnsi="Cambria Math" w:cs="Arial"/>
                <w:color w:val="000000" w:themeColor="text1"/>
                <w:lang w:eastAsia="zh-CN"/>
              </w:rPr>
              <m:t>t+1</m:t>
            </m:r>
          </m:sub>
        </m:sSub>
      </m:oMath>
      <w:r w:rsidRPr="00D541E6">
        <w:rPr>
          <w:rFonts w:asciiTheme="majorHAnsi" w:hAnsiTheme="majorHAnsi" w:cs="Arial"/>
          <w:bCs/>
          <w:color w:val="000000" w:themeColor="text1"/>
          <w:lang w:eastAsia="zh-CN"/>
        </w:rPr>
        <w:t xml:space="preserve"> given observations of covariates and actual treatments, and to generate the internal state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h</m:t>
            </m:r>
          </m:e>
          <m:sub>
            <m:r>
              <w:rPr>
                <w:rFonts w:ascii="Cambria Math" w:hAnsi="Cambria Math" w:cs="Arial"/>
                <w:color w:val="000000" w:themeColor="text1"/>
                <w:lang w:eastAsia="zh-CN"/>
              </w:rPr>
              <m:t>t</m:t>
            </m:r>
          </m:sub>
        </m:sSub>
      </m:oMath>
      <w:r w:rsidRPr="00D541E6">
        <w:rPr>
          <w:rFonts w:asciiTheme="majorHAnsi" w:hAnsiTheme="majorHAnsi" w:cs="Arial"/>
          <w:bCs/>
          <w:color w:val="000000" w:themeColor="text1"/>
          <w:lang w:eastAsia="zh-CN"/>
        </w:rPr>
        <w:t xml:space="preserve"> of the LSTM</w:t>
      </w:r>
    </w:p>
    <w:p w14:paraId="25EC9251" w14:textId="77777777"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m:oMathPara>
        <m:oMath>
          <m:r>
            <w:rPr>
              <w:rFonts w:ascii="Cambria Math" w:hAnsi="Cambria Math" w:cs="Arial"/>
              <w:color w:val="000000" w:themeColor="text1"/>
              <w:lang w:eastAsia="zh-CN"/>
            </w:rPr>
            <m:t>g</m:t>
          </m:r>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r>
            <w:rPr>
              <w:rFonts w:ascii="Cambria Math" w:hAnsi="Cambria Math" w:cs="Arial"/>
              <w:color w:val="000000" w:themeColor="text1"/>
              <w:lang w:eastAsia="zh-CN"/>
            </w:rPr>
            <m:t>=</m:t>
          </m:r>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RNN</m:t>
              </m:r>
            </m:e>
            <m:sub>
              <m:r>
                <m:rPr>
                  <m:sty m:val="p"/>
                </m:rPr>
                <w:rPr>
                  <w:rFonts w:ascii="Cambria Math" w:hAnsi="Cambria Math" w:cs="Arial"/>
                  <w:color w:val="000000" w:themeColor="text1"/>
                  <w:lang w:eastAsia="zh-CN"/>
                </w:rPr>
                <m:t>E</m:t>
              </m:r>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e>
                <m:sub>
                  <m:r>
                    <w:rPr>
                      <w:rFonts w:ascii="Cambria Math" w:hAnsi="Cambria Math" w:cs="Arial"/>
                      <w:color w:val="000000" w:themeColor="text1"/>
                      <w:lang w:eastAsia="zh-CN"/>
                    </w:rPr>
                    <m:t>t</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h</m:t>
              </m:r>
            </m:e>
            <m:sub>
              <m:r>
                <w:rPr>
                  <w:rFonts w:ascii="Cambria Math" w:hAnsi="Cambria Math" w:cs="Arial"/>
                  <w:color w:val="000000" w:themeColor="text1"/>
                  <w:lang w:eastAsia="zh-CN"/>
                </w:rPr>
                <m:t>t</m:t>
              </m:r>
            </m:sub>
          </m:sSub>
          <m:r>
            <w:rPr>
              <w:rFonts w:ascii="Cambria Math" w:hAnsi="Cambria Math" w:cs="Arial"/>
              <w:color w:val="000000" w:themeColor="text1"/>
              <w:lang w:eastAsia="zh-CN"/>
            </w:rPr>
            <m:t>=</m:t>
          </m:r>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RNN</m:t>
              </m:r>
            </m:e>
            <m:sub>
              <m:acc>
                <m:accPr>
                  <m:ctrlPr>
                    <w:rPr>
                      <w:rFonts w:ascii="Cambria Math" w:hAnsi="Cambria Math" w:cs="Arial"/>
                      <w:bCs/>
                      <w:color w:val="000000" w:themeColor="text1"/>
                      <w:lang w:eastAsia="zh-CN"/>
                    </w:rPr>
                  </m:ctrlPr>
                </m:accPr>
                <m:e>
                  <m:r>
                    <w:rPr>
                      <w:rFonts w:ascii="Cambria Math" w:hAnsi="Cambria Math" w:cs="Arial"/>
                      <w:color w:val="000000" w:themeColor="text1"/>
                      <w:lang w:eastAsia="zh-CN"/>
                    </w:rPr>
                    <m:t>E</m:t>
                  </m:r>
                  <m:ctrlPr>
                    <w:rPr>
                      <w:rFonts w:ascii="Cambria Math" w:hAnsi="Cambria Math" w:cs="Arial"/>
                      <w:bCs/>
                      <w:i/>
                      <w:color w:val="000000" w:themeColor="text1"/>
                      <w:lang w:eastAsia="zh-CN"/>
                    </w:rPr>
                  </m:ctrlPr>
                </m:e>
              </m:acc>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A</m:t>
                      </m:r>
                    </m:e>
                  </m:acc>
                </m:e>
                <m:sub>
                  <m:r>
                    <w:rPr>
                      <w:rFonts w:ascii="Cambria Math" w:hAnsi="Cambria Math" w:cs="Arial"/>
                      <w:color w:val="000000" w:themeColor="text1"/>
                      <w:lang w:eastAsia="zh-CN"/>
                    </w:rPr>
                    <m:t>t</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r>
            <w:rPr>
              <w:rFonts w:ascii="Cambria Math" w:hAnsi="Cambria Math" w:cs="Arial"/>
              <w:color w:val="000000" w:themeColor="text1"/>
              <w:lang w:eastAsia="zh-CN"/>
            </w:rPr>
            <m:t>.</m:t>
          </m:r>
        </m:oMath>
      </m:oMathPara>
    </w:p>
    <w:p w14:paraId="7FB600E4" w14:textId="77777777" w:rsidR="00D26A9D" w:rsidRPr="00D541E6" w:rsidRDefault="00D26A9D" w:rsidP="00D26A9D">
      <w:pPr>
        <w:autoSpaceDE w:val="0"/>
        <w:autoSpaceDN w:val="0"/>
        <w:adjustRightInd w:val="0"/>
        <w:spacing w:after="240" w:line="276" w:lineRule="auto"/>
        <w:rPr>
          <w:rFonts w:asciiTheme="majorHAnsi" w:hAnsiTheme="majorHAnsi" w:cs="Arial"/>
          <w:bCs/>
          <w:color w:val="000000" w:themeColor="text1"/>
          <w:lang w:eastAsia="zh-CN"/>
        </w:rPr>
      </w:pPr>
      <w:r w:rsidRPr="00D541E6">
        <w:rPr>
          <w:rFonts w:asciiTheme="majorHAnsi" w:hAnsiTheme="majorHAnsi" w:cs="Arial"/>
          <w:bCs/>
          <w:color w:val="000000" w:themeColor="text1"/>
          <w:lang w:eastAsia="zh-CN"/>
        </w:rPr>
        <w:t xml:space="preserve">RMSN then used a decoder network to propagate the encoder representation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h</m:t>
            </m:r>
          </m:e>
          <m:sub>
            <m:r>
              <w:rPr>
                <w:rFonts w:ascii="Cambria Math" w:hAnsi="Cambria Math" w:cs="Arial"/>
                <w:color w:val="000000" w:themeColor="text1"/>
                <w:lang w:eastAsia="zh-CN"/>
              </w:rPr>
              <m:t>t</m:t>
            </m:r>
          </m:sub>
        </m:sSub>
      </m:oMath>
      <w:r w:rsidRPr="00D541E6">
        <w:rPr>
          <w:rFonts w:asciiTheme="majorHAnsi" w:hAnsiTheme="majorHAnsi" w:cs="Arial"/>
          <w:bCs/>
          <w:color w:val="000000" w:themeColor="text1"/>
          <w:lang w:eastAsia="zh-CN"/>
        </w:rPr>
        <w:t xml:space="preserve"> forwards in time and estimate the treatment responses for a sequence of planned treatments in the future</w:t>
      </w:r>
    </w:p>
    <w:p w14:paraId="044D385F" w14:textId="77777777" w:rsidR="00D26A9D" w:rsidRPr="00D541E6" w:rsidRDefault="00D26A9D" w:rsidP="00D26A9D">
      <w:pPr>
        <w:autoSpaceDE w:val="0"/>
        <w:autoSpaceDN w:val="0"/>
        <w:adjustRightInd w:val="0"/>
        <w:spacing w:after="240" w:line="276" w:lineRule="auto"/>
        <w:rPr>
          <w:rFonts w:asciiTheme="majorHAnsi" w:hAnsiTheme="majorHAnsi" w:cs="Arial"/>
          <w:color w:val="000000" w:themeColor="text1"/>
          <w:lang w:eastAsia="zh-CN"/>
        </w:rPr>
      </w:pPr>
      <m:oMathPara>
        <m:oMath>
          <m:r>
            <w:rPr>
              <w:rFonts w:ascii="Cambria Math" w:hAnsi="Cambria Math" w:cs="Arial"/>
              <w:color w:val="000000" w:themeColor="text1"/>
              <w:lang w:eastAsia="zh-CN"/>
            </w:rPr>
            <m:t>g</m:t>
          </m:r>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t+1</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t+τ</m:t>
                  </m:r>
                </m:sub>
              </m:s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 xml:space="preserve">, </m:t>
                  </m:r>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r>
            <w:rPr>
              <w:rFonts w:ascii="Cambria Math" w:hAnsi="Cambria Math" w:cs="Arial"/>
              <w:color w:val="000000" w:themeColor="text1"/>
              <w:lang w:eastAsia="zh-CN"/>
            </w:rPr>
            <m:t xml:space="preserve">= </m:t>
          </m:r>
          <m:sSub>
            <m:sSubPr>
              <m:ctrlPr>
                <w:rPr>
                  <w:rFonts w:ascii="Cambria Math" w:hAnsi="Cambria Math" w:cs="Arial"/>
                  <w:bCs/>
                  <w:color w:val="000000" w:themeColor="text1"/>
                  <w:lang w:eastAsia="zh-CN"/>
                </w:rPr>
              </m:ctrlPr>
            </m:sSubPr>
            <m:e>
              <m:r>
                <m:rPr>
                  <m:sty m:val="p"/>
                </m:rPr>
                <w:rPr>
                  <w:rFonts w:ascii="Cambria Math" w:hAnsi="Cambria Math" w:cs="Arial"/>
                  <w:color w:val="000000" w:themeColor="text1"/>
                  <w:lang w:eastAsia="zh-CN"/>
                </w:rPr>
                <m:t>RNN</m:t>
              </m:r>
              <m:ctrlPr>
                <w:rPr>
                  <w:rFonts w:ascii="Cambria Math" w:hAnsi="Cambria Math" w:cs="Arial"/>
                  <w:bCs/>
                  <w:i/>
                  <w:color w:val="000000" w:themeColor="text1"/>
                  <w:lang w:eastAsia="zh-CN"/>
                </w:rPr>
              </m:ctrlPr>
            </m:e>
            <m:sub>
              <m:r>
                <m:rPr>
                  <m:sty m:val="p"/>
                </m:rPr>
                <w:rPr>
                  <w:rFonts w:ascii="Cambria Math" w:hAnsi="Cambria Math" w:cs="Arial"/>
                  <w:color w:val="000000" w:themeColor="text1"/>
                  <w:lang w:eastAsia="zh-CN"/>
                </w:rPr>
                <m:t>D</m:t>
              </m:r>
            </m:sub>
          </m:sSub>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h</m:t>
                  </m:r>
                </m:e>
                <m:sub>
                  <m:r>
                    <w:rPr>
                      <w:rFonts w:ascii="Cambria Math" w:hAnsi="Cambria Math" w:cs="Arial"/>
                      <w:color w:val="000000" w:themeColor="text1"/>
                      <w:lang w:eastAsia="zh-CN"/>
                    </w:rPr>
                    <m:t>t</m:t>
                  </m:r>
                </m:sub>
              </m:sSub>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t+1</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t+τ</m:t>
                  </m:r>
                </m:sub>
              </m:sSub>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 xml:space="preserve">, </m:t>
                  </m:r>
                  <m:acc>
                    <m:accPr>
                      <m:chr m:val="̅"/>
                      <m:ctrlPr>
                        <w:rPr>
                          <w:rFonts w:ascii="Cambria Math" w:hAnsi="Cambria Math" w:cs="Arial"/>
                          <w:bCs/>
                          <w:i/>
                          <w:color w:val="000000" w:themeColor="text1"/>
                          <w:lang w:eastAsia="zh-CN"/>
                        </w:rPr>
                      </m:ctrlPr>
                    </m:accPr>
                    <m:e>
                      <m:r>
                        <w:rPr>
                          <w:rFonts w:ascii="Cambria Math" w:hAnsi="Cambria Math" w:cs="Arial"/>
                          <w:color w:val="000000" w:themeColor="text1"/>
                          <w:lang w:eastAsia="zh-CN"/>
                        </w:rPr>
                        <m:t>X</m:t>
                      </m:r>
                    </m:e>
                  </m:acc>
                </m:e>
                <m:sub>
                  <m:r>
                    <w:rPr>
                      <w:rFonts w:ascii="Cambria Math" w:hAnsi="Cambria Math" w:cs="Arial"/>
                      <w:color w:val="000000" w:themeColor="text1"/>
                      <w:lang w:eastAsia="zh-CN"/>
                    </w:rPr>
                    <m:t>t</m:t>
                  </m:r>
                </m:sub>
              </m:sSub>
            </m:e>
          </m:d>
          <m:r>
            <w:rPr>
              <w:rFonts w:ascii="Cambria Math" w:hAnsi="Cambria Math" w:cs="Arial"/>
              <w:color w:val="000000" w:themeColor="text1"/>
              <w:lang w:eastAsia="zh-CN"/>
            </w:rPr>
            <m:t>,  ∀τ&gt;1.</m:t>
          </m:r>
        </m:oMath>
      </m:oMathPara>
    </w:p>
    <w:p w14:paraId="21784CA3" w14:textId="72FAA05F" w:rsidR="00D26A9D" w:rsidRPr="00D541E6" w:rsidRDefault="00D26A9D" w:rsidP="00D26A9D">
      <w:pPr>
        <w:autoSpaceDE w:val="0"/>
        <w:autoSpaceDN w:val="0"/>
        <w:adjustRightInd w:val="0"/>
        <w:spacing w:after="240" w:line="276" w:lineRule="auto"/>
        <w:rPr>
          <w:rFonts w:asciiTheme="majorHAnsi" w:hAnsiTheme="majorHAnsi" w:cs="Arial"/>
          <w:color w:val="000000" w:themeColor="text1"/>
          <w:lang w:eastAsia="zh-CN"/>
        </w:rPr>
      </w:pPr>
      <w:r w:rsidRPr="00D541E6">
        <w:rPr>
          <w:rFonts w:asciiTheme="majorHAnsi" w:hAnsiTheme="majorHAnsi" w:cs="Arial"/>
          <w:bCs/>
          <w:color w:val="000000" w:themeColor="text1"/>
          <w:lang w:eastAsia="zh-CN"/>
        </w:rPr>
        <w:t xml:space="preserve">Stabilised weights were used to weight the loss contributions of each training observation in both encoder and decoder network. Details of the training procedure are illustrated in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{"citationItems":[{"id":"ITEM-1","itemData":{"author":[{"dropping-particle":"","family":"Lim","given":"Bryan","non-dropping-particle":"","parse-names":false,"suffix":""}],"container-title":"32nd Conference on Neural Information Processing Systems (NeurIPS 2018)","id":"ITEM-1","issued":{"date-parts":[["2018"]]},"page":"7494-7504","title":"Forecasting Treatment Responses Over Time Using Recurrent Marginal Structural Networks","type":"paper-conference"},"uris":["http://www.mendeley.com/documents/?uuid=374c2d1c-d9f6-33b7-9cc5-77da8e7e7217"]}],"mendeley":{"formattedCitation":"(Lim, 2018)","plainTextFormattedCitation":"(Lim, 2018)","previouslyFormattedCitation":"(22)"},"properties":{"noteIndex":0},"schema":"https://github.com/citation-style-language/schema/raw/master/csl-citation.json"}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(Lim, 2018)</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w:t>
      </w:r>
    </w:p>
    <w:p w14:paraId="1F20BE91"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Theme="majorHAnsi" w:hAnsiTheme="majorHAnsi" w:cs="Arial"/>
          <w:bCs/>
          <w:color w:val="000000" w:themeColor="text1"/>
          <w:lang w:eastAsia="zh-CN"/>
        </w:rPr>
        <w:t xml:space="preserve">The benefit of RMSN is that, it can be configured to have multiple treatment choices and outcomes of different forms (e.g. continuous or discrete) using multi-input/multi-output RNNs. Treatment sequences can also be evaluated and no restrictions were imposed on the prediction horizon or number of planned interventions. The use of LTSMs in computing the probabilities required for propensity weighting can also alleviate susceptibility of IPTWs to model misspecification. A drawback is that one needs a rich source of longitudinal data to train the model.  </w:t>
      </w:r>
      <w:r w:rsidRPr="00D541E6">
        <w:rPr>
          <w:rFonts w:ascii="Calibri" w:hAnsi="Calibri" w:cs="Calibri"/>
          <w:color w:val="000000" w:themeColor="text1"/>
        </w:rPr>
        <w:t>Moreover, as in general in deep learning models, they lack a clear interpretation.</w:t>
      </w:r>
    </w:p>
    <w:p w14:paraId="463B80BD"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Theme="majorHAnsi" w:hAnsiTheme="majorHAnsi" w:cs="Arial"/>
          <w:b/>
          <w:bCs/>
          <w:i/>
          <w:color w:val="000000" w:themeColor="text1"/>
          <w:lang w:eastAsia="zh-CN"/>
        </w:rPr>
        <w:t>Methods based on balanced representation approach</w:t>
      </w:r>
    </w:p>
    <w:p w14:paraId="73C6B81C" w14:textId="119B6B38"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Matching approaches such as MSM or RMSN combined with IPTW above adjust for bias in the treatment assignments by creating a pseudo-population where the probability of treatment assignments does not depend on the time-varying confounders. Balanced representation approach, as proposed by </w:t>
      </w:r>
      <w:proofErr w:type="spellStart"/>
      <w:r w:rsidRPr="00D541E6">
        <w:rPr>
          <w:rFonts w:ascii="Calibri" w:hAnsi="Calibri" w:cs="Calibri"/>
          <w:color w:val="000000" w:themeColor="text1"/>
        </w:rPr>
        <w:t>Bica</w:t>
      </w:r>
      <w:proofErr w:type="spellEnd"/>
      <w:r w:rsidRPr="00D541E6" w:rsidDel="00CA4D84">
        <w:rPr>
          <w:rFonts w:ascii="Calibri" w:hAnsi="Calibri" w:cs="Calibri"/>
          <w:color w:val="000000" w:themeColor="text1"/>
        </w:rPr>
        <w:t xml:space="preserve">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{"citationItems":[{"id":"ITEM-1","itemData":{"abstract":"Identifying when to give treatments to patients and how to select among multiple treatments over time are important medical problems with a few existing solutions. In this paper, we introduce the Counterfactual Recurrent Network (CRN), a novel sequence-to-sequence model that leverages the increasingly available patient observational data to estimate treatment effects over time and answer such medical questions. To handle the bias from time-varying confounders, covariates affecting the treatment assignment policy in the observational data, CRN uses domain adversarial training to build balancing representations of the patient history. At each timestep, CRN constructs a treatment invariant representation which removes the association between patient history and treatment assignments and thus can be reliably used for making counterfactual predictions. On a simulated model of tumour growth, with varying degree of time-dependent confounding, we show how our model achieves lower error in estimating counterfactuals and in choosing the correct treatment and timing of treatment than current state-of-the-art methods.","author":[{"dropping-particle":"","family":"Bica","given":"Ioana","non-dropping-particle":"","parse-names":false,"suffix":""},{"dropping-particle":"","family":"Alaa","given":"Ahmed M.","non-dropping-particle":"","parse-names":false,"suffix":""},{"dropping-particle":"","family":"Jordon","given":"James","non-dropping-particle":"","parse-names":false,"suffix":""},{"dropping-particle":"","family":"Schaar","given":"Mihaela","non-dropping-particle":"van der","parse-names":false,"suffix":""}],"container-title":"8th International Conference on Learning Representations (ICLR)","id":"ITEM-1","issued":{"date-parts":[["2020","2"]]},"title":"Estimating Counterfactual Treatment Outcomes over Time Through Adversarially Balanced Representations","type":"paper-conference"},"uris":["http://www.mendeley.com/documents/?uuid=3fa93962-4bfa-30e3-ad6b-628442121dbb"]}],"mendeley":{"formattedCitation":"(Bica et al., 2020)","plainTextFormattedCitation":"(Bica et al., 2020)","previouslyFormattedCitation":"(23)"},"properties":{"noteIndex":0},"schema":"https://github.com/citation-style-language/schema/raw/master/csl-citation.json"}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(Bica et al., 2020)</w:t>
      </w:r>
      <w:r w:rsidRPr="00D541E6">
        <w:rPr>
          <w:rFonts w:ascii="Calibri" w:hAnsi="Calibri" w:cs="Calibri"/>
          <w:color w:val="000000" w:themeColor="text1"/>
        </w:rPr>
        <w:fldChar w:fldCharType="end"/>
      </w:r>
      <w:r w:rsidRPr="00D541E6">
        <w:rPr>
          <w:rFonts w:ascii="Calibri" w:hAnsi="Calibri" w:cs="Calibri"/>
          <w:color w:val="000000" w:themeColor="text1"/>
        </w:rPr>
        <w:t xml:space="preserve">, instead aimed for a representation </w:t>
      </w:r>
      <m:oMath>
        <m:r>
          <w:rPr>
            <w:rFonts w:ascii="Cambria Math" w:hAnsi="Cambria Math" w:cs="Calibri"/>
            <w:color w:val="000000" w:themeColor="text1"/>
          </w:rPr>
          <m:t>Φ</m:t>
        </m:r>
      </m:oMath>
      <w:r w:rsidRPr="00D541E6">
        <w:rPr>
          <w:rFonts w:ascii="Calibri" w:hAnsi="Calibri" w:cs="Calibri"/>
          <w:color w:val="000000" w:themeColor="text1"/>
        </w:rPr>
        <w:t xml:space="preserve"> of the patient history </w:t>
      </w:r>
      <m:oMath>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H</m:t>
                </m:r>
                <m:ctrlPr>
                  <w:rPr>
                    <w:rFonts w:ascii="Cambria Math" w:hAnsi="Cambria Math" w:cs="Arial"/>
                    <w:b/>
                    <w:i/>
                    <w:color w:val="000000" w:themeColor="text1"/>
                  </w:rPr>
                </m:ctrlPr>
              </m:e>
            </m:acc>
          </m:e>
          <m:sub>
            <m:r>
              <w:rPr>
                <w:rFonts w:ascii="Cambria Math" w:hAnsi="Cambria Math" w:cs="Calibri"/>
                <w:color w:val="000000" w:themeColor="text1"/>
              </w:rPr>
              <m:t>t</m:t>
            </m:r>
          </m:sub>
        </m:sSub>
        <m:r>
          <w:rPr>
            <w:rFonts w:ascii="Cambria Math" w:hAnsi="Cambria Math" w:cs="Calibri"/>
            <w:color w:val="000000" w:themeColor="text1"/>
          </w:rPr>
          <m:t>=</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A</m:t>
                    </m:r>
                  </m:e>
                </m:acc>
              </m:e>
              <m:sub>
                <m:r>
                  <w:rPr>
                    <w:rFonts w:ascii="Cambria Math" w:hAnsi="Cambria Math" w:cs="Calibri"/>
                    <w:color w:val="000000" w:themeColor="text1"/>
                  </w:rPr>
                  <m:t>t-1</m:t>
                </m:r>
              </m:sub>
            </m:sSub>
            <m:r>
              <w:rPr>
                <w:rFonts w:ascii="Cambria Math" w:hAnsi="Cambria Math" w:cs="Calibri"/>
                <w:color w:val="000000" w:themeColor="text1"/>
              </w:rPr>
              <m:t>,</m:t>
            </m:r>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X</m:t>
                    </m:r>
                  </m:e>
                </m:acc>
              </m:e>
              <m:sub>
                <m:r>
                  <w:rPr>
                    <w:rFonts w:ascii="Cambria Math" w:hAnsi="Cambria Math" w:cs="Calibri"/>
                    <w:color w:val="000000" w:themeColor="text1"/>
                  </w:rPr>
                  <m:t>t</m:t>
                </m:r>
              </m:sub>
            </m:sSub>
          </m:e>
        </m:d>
      </m:oMath>
      <w:r w:rsidRPr="00D541E6">
        <w:rPr>
          <w:rFonts w:ascii="Calibri" w:hAnsi="Calibri" w:cs="Calibri"/>
          <w:color w:val="000000" w:themeColor="text1"/>
        </w:rPr>
        <w:t xml:space="preserve"> that was not predictive of treatment assignments, i.e.,</w:t>
      </w:r>
    </w:p>
    <w:p w14:paraId="29920821"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rPr>
      </w:pPr>
      <m:oMathPara>
        <m:oMath>
          <m:r>
            <w:rPr>
              <w:rFonts w:ascii="Cambria Math" w:hAnsi="Cambria Math" w:cs="Calibri"/>
              <w:color w:val="000000" w:themeColor="text1"/>
            </w:rPr>
            <m:t>P</m:t>
          </m:r>
          <m:d>
            <m:dPr>
              <m:ctrlPr>
                <w:rPr>
                  <w:rFonts w:ascii="Cambria Math" w:hAnsi="Cambria Math" w:cs="Calibri"/>
                  <w:i/>
                  <w:color w:val="000000" w:themeColor="text1"/>
                </w:rPr>
              </m:ctrlPr>
            </m:dPr>
            <m:e>
              <m:r>
                <w:rPr>
                  <w:rFonts w:ascii="Cambria Math" w:hAnsi="Cambria Math" w:cs="Calibri"/>
                  <w:color w:val="000000" w:themeColor="text1"/>
                </w:rPr>
                <m:t>Φ</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e>
              </m:d>
            </m:e>
            <m:e>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t</m:t>
                  </m:r>
                </m:sub>
              </m:sSub>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1</m:t>
                  </m:r>
                </m:sub>
              </m:sSub>
            </m:e>
          </m:d>
          <m:r>
            <w:rPr>
              <w:rFonts w:ascii="Cambria Math" w:hAnsi="Cambria Math" w:cs="Calibri"/>
              <w:color w:val="000000" w:themeColor="text1"/>
            </w:rPr>
            <m:t>=⋯=P</m:t>
          </m:r>
          <m:d>
            <m:dPr>
              <m:ctrlPr>
                <w:rPr>
                  <w:rFonts w:ascii="Cambria Math" w:hAnsi="Cambria Math" w:cs="Calibri"/>
                  <w:i/>
                  <w:color w:val="000000" w:themeColor="text1"/>
                </w:rPr>
              </m:ctrlPr>
            </m:dPr>
            <m:e>
              <m:r>
                <w:rPr>
                  <w:rFonts w:ascii="Cambria Math" w:hAnsi="Cambria Math" w:cs="Calibri"/>
                  <w:color w:val="000000" w:themeColor="text1"/>
                </w:rPr>
                <m:t>Φ</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e>
              </m:d>
            </m:e>
            <m:e>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t</m:t>
                  </m:r>
                </m:sub>
              </m:sSub>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D</m:t>
                  </m:r>
                </m:sub>
              </m:sSub>
            </m:e>
          </m:d>
          <m:r>
            <w:rPr>
              <w:rFonts w:ascii="Cambria Math" w:hAnsi="Cambria Math" w:cs="Calibri"/>
              <w:color w:val="000000" w:themeColor="text1"/>
            </w:rPr>
            <m:t>,</m:t>
          </m:r>
        </m:oMath>
      </m:oMathPara>
    </w:p>
    <w:p w14:paraId="624E9A80" w14:textId="5DCDA794"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where </w:t>
      </w:r>
      <m:oMath>
        <m:r>
          <w:rPr>
            <w:rFonts w:ascii="Cambria Math" w:hAnsi="Cambria Math" w:cs="Calibri"/>
            <w:color w:val="000000" w:themeColor="text1"/>
          </w:rPr>
          <m:t>{</m:t>
        </m:r>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1</m:t>
            </m:r>
          </m:sub>
        </m:sSub>
        <m:r>
          <w:rPr>
            <w:rFonts w:ascii="Cambria Math" w:hAnsi="Cambria Math" w:cs="Calibri"/>
            <w:color w:val="000000" w:themeColor="text1"/>
          </w:rPr>
          <m:t xml:space="preserve">,…, </m:t>
        </m:r>
        <m:sSub>
          <m:sSubPr>
            <m:ctrlPr>
              <w:rPr>
                <w:rFonts w:ascii="Cambria Math" w:hAnsi="Cambria Math" w:cs="Calibri"/>
                <w:i/>
                <w:color w:val="000000" w:themeColor="text1"/>
              </w:rPr>
            </m:ctrlPr>
          </m:sSubPr>
          <m:e>
            <m:r>
              <w:rPr>
                <w:rFonts w:ascii="Cambria Math" w:hAnsi="Cambria Math" w:cs="Calibri"/>
                <w:color w:val="000000" w:themeColor="text1"/>
              </w:rPr>
              <m:t>a</m:t>
            </m:r>
          </m:e>
          <m:sub>
            <m:r>
              <w:rPr>
                <w:rFonts w:ascii="Cambria Math" w:hAnsi="Cambria Math" w:cs="Calibri"/>
                <w:color w:val="000000" w:themeColor="text1"/>
              </w:rPr>
              <m:t>D</m:t>
            </m:r>
          </m:sub>
        </m:sSub>
        <m:r>
          <w:rPr>
            <w:rFonts w:ascii="Cambria Math" w:hAnsi="Cambria Math" w:cs="Calibri"/>
            <w:color w:val="000000" w:themeColor="text1"/>
          </w:rPr>
          <m:t>}</m:t>
        </m:r>
      </m:oMath>
      <w:r w:rsidRPr="00D541E6">
        <w:rPr>
          <w:rFonts w:ascii="Calibri" w:hAnsi="Calibri" w:cs="Calibri"/>
          <w:color w:val="000000" w:themeColor="text1"/>
        </w:rPr>
        <w:t xml:space="preserve"> are </w:t>
      </w:r>
      <m:oMath>
        <m:r>
          <w:rPr>
            <w:rFonts w:ascii="Cambria Math" w:hAnsi="Cambria Math" w:cs="Calibri"/>
            <w:color w:val="000000" w:themeColor="text1"/>
          </w:rPr>
          <m:t>D</m:t>
        </m:r>
      </m:oMath>
      <w:r w:rsidRPr="00D541E6">
        <w:rPr>
          <w:rFonts w:ascii="Calibri" w:hAnsi="Calibri" w:cs="Calibri"/>
          <w:color w:val="000000" w:themeColor="text1"/>
        </w:rPr>
        <w:t xml:space="preserve"> possible treatment assignents at time </w:t>
      </w:r>
      <m:oMath>
        <m:r>
          <w:rPr>
            <w:rFonts w:ascii="Cambria Math" w:hAnsi="Cambria Math" w:cs="Calibri"/>
            <w:color w:val="000000" w:themeColor="text1"/>
          </w:rPr>
          <m:t>t</m:t>
        </m:r>
      </m:oMath>
      <w:r w:rsidRPr="00D541E6">
        <w:rPr>
          <w:rFonts w:ascii="Calibri" w:hAnsi="Calibri" w:cs="Calibri"/>
          <w:color w:val="000000" w:themeColor="text1"/>
        </w:rPr>
        <w:t xml:space="preserve">. It can be shown that, in this way, estimation of counterfactual treatment outcomes is unbiased </w:t>
      </w:r>
      <w:r w:rsidRPr="00D541E6">
        <w:rPr>
          <w:rFonts w:ascii="Calibri" w:hAnsi="Calibri" w:cs="Calibri"/>
          <w:color w:val="000000" w:themeColor="text1"/>
        </w:rPr>
        <w:lastRenderedPageBreak/>
        <w:fldChar w:fldCharType="begin" w:fldLock="1"/>
      </w:r>
      <w:r w:rsidR="009B218D" w:rsidRPr="00D541E6">
        <w:rPr>
          <w:rFonts w:ascii="Calibri" w:hAnsi="Calibri" w:cs="Calibri"/>
          <w:color w:val="000000" w:themeColor="text1"/>
        </w:rPr>
        <w:instrText>ADDIN CSL_CITATION {"citationItems":[{"id":"ITEM-1","itemData":{"DOI":"10.1023/A:1005285815569","ISSN":"0039-7857","abstract":"Statistics and Causation","author":[{"dropping-particle":"","family":"Robins","given":"James","non-dropping-particle":"","parse-names":false,"suffix":""}],"container-title":"Synthese","id":"ITEM-1","issue":"1/2","issued":{"date-parts":[["1999"]]},"page":"151-179","publisher":"Springer","title":"Association, Causation, And Marginal Structural Models","type":"article-journal","volume":"121"},"uris":["http://www.mendeley.com/documents/?uuid=7058f132-dade-38b1-b944-d52a582b43c3"]}],"mendeley":{"formattedCitation":"(Robins, 1999)","plainTextFormattedCitation":"(Robins, 1999)","previouslyFormattedCitation":"(34)"},"properties":{"noteIndex":0},"schema":"https://github.com/citation-style-language/schema/raw/master/csl-citation.json"}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(Robins, 1999)</w:t>
      </w:r>
      <w:r w:rsidRPr="00D541E6">
        <w:rPr>
          <w:rFonts w:ascii="Calibri" w:hAnsi="Calibri" w:cs="Calibri"/>
          <w:color w:val="000000" w:themeColor="text1"/>
        </w:rPr>
        <w:fldChar w:fldCharType="end"/>
      </w:r>
      <w:r w:rsidRPr="00D541E6">
        <w:rPr>
          <w:rFonts w:ascii="Calibri" w:hAnsi="Calibri" w:cs="Calibri"/>
          <w:color w:val="000000" w:themeColor="text1"/>
        </w:rPr>
        <w:t xml:space="preserve">. </w:t>
      </w:r>
      <w:proofErr w:type="spellStart"/>
      <w:r w:rsidRPr="00D541E6">
        <w:rPr>
          <w:rFonts w:ascii="Calibri" w:hAnsi="Calibri" w:cs="Calibri"/>
          <w:color w:val="000000" w:themeColor="text1"/>
        </w:rPr>
        <w:t>Bica</w:t>
      </w:r>
      <w:proofErr w:type="spellEnd"/>
      <w:r w:rsidRPr="00D541E6" w:rsidDel="00CA4D84">
        <w:rPr>
          <w:rFonts w:ascii="Calibri" w:hAnsi="Calibri" w:cs="Calibri"/>
          <w:color w:val="000000" w:themeColor="text1"/>
        </w:rPr>
        <w:t xml:space="preserve"> </w:t>
      </w:r>
      <w:r w:rsidRPr="00D541E6">
        <w:rPr>
          <w:rFonts w:ascii="Calibri" w:hAnsi="Calibri" w:cs="Calibri"/>
          <w:i/>
          <w:color w:val="000000" w:themeColor="text1"/>
        </w:rPr>
        <w:t>et al.</w:t>
      </w:r>
      <w:r w:rsidRPr="00D541E6">
        <w:rPr>
          <w:rFonts w:ascii="Calibri" w:hAnsi="Calibri" w:cs="Calibri"/>
          <w:color w:val="000000" w:themeColor="text1"/>
        </w:rPr>
        <w:t xml:space="preserve">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{"citationItems":[{"id":"ITEM-1","itemData":{"abstract":"Identifying when to give treatments to patients and how to select among multiple treatments over time are important medical problems with a few existing solutions. In this paper, we introduce the Counterfactual Recurrent Network (CRN), a novel sequence-to-sequence model that leverages the increasingly available patient observational data to estimate treatment effects over time and answer such medical questions. To handle the bias from time-varying confounders, covariates affecting the treatment assignment policy in the observational data, CRN uses domain adversarial training to build balancing representations of the patient history. At each timestep, CRN constructs a treatment invariant representation which removes the association between patient history and treatment assignments and thus can be reliably used for making counterfactual predictions. On a simulated model of tumour growth, with varying degree of time-dependent confounding, we show how our model achieves lower error in estimating counterfactuals and in choosing the correct treatment and timing of treatment than current state-of-the-art methods.","author":[{"dropping-particle":"","family":"Bica","given":"Ioana","non-dropping-particle":"","parse-names":false,"suffix":""},{"dropping-particle":"","family":"Alaa","given":"Ahmed M.","non-dropping-particle":"","parse-names":false,"suffix":""},{"dropping-particle":"","family":"Jordon","given":"James","non-dropping-particle":"","parse-names":false,"suffix":""},{"dropping-particle":"","family":"Schaar","given":"Mihaela","non-dropping-particle":"van der","parse-names":false,"suffix":""}],"container-title":"8th International Conference on Learning Representations (ICLR)","id":"ITEM-1","issued":{"date-parts":[["2020","2"]]},"title":"Estimating Counterfactual Treatment Outcomes over Time Through Adversarially Balanced Representations","type":"paper-conference"},"uris":["http://www.mendeley.com/documents/?uuid=3fa93962-4bfa-30e3-ad6b-628442121dbb"]}],"mendeley":{"formattedCitation":"(Bica et al., 2020)","plainTextFormattedCitation":"(Bica et al., 2020)","previouslyFormattedCitation":"(23)"},"properties":{"noteIndex":0},"schema":"https://github.com/citation-style-language/schema/raw/master/csl-citation.json"}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(Bica et al., 2020)</w:t>
      </w:r>
      <w:r w:rsidRPr="00D541E6">
        <w:rPr>
          <w:rFonts w:ascii="Calibri" w:hAnsi="Calibri" w:cs="Calibri"/>
          <w:color w:val="000000" w:themeColor="text1"/>
        </w:rPr>
        <w:fldChar w:fldCharType="end"/>
      </w:r>
      <w:r w:rsidRPr="00D541E6">
        <w:rPr>
          <w:rFonts w:ascii="Calibri" w:hAnsi="Calibri" w:cs="Calibri"/>
          <w:color w:val="000000" w:themeColor="text1"/>
        </w:rPr>
        <w:t xml:space="preserve"> proposed a counterfactual recurrent network (CRN) to achieve balancing representation and estimate unbiased counterfactual outcomes under a planned sequence of treatments. CRN encoder used domain adversarial training to handle the bias from the time-dependent confounders where the different treatment choices at each timestep were considered the different domains, and built a treatment invariant representation </w:t>
      </w:r>
      <m:oMath>
        <m:r>
          <w:rPr>
            <w:rFonts w:ascii="Cambria Math" w:hAnsi="Cambria Math" w:cs="Calibri"/>
            <w:color w:val="000000" w:themeColor="text1"/>
          </w:rPr>
          <m:t>Φ</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e>
        </m:d>
      </m:oMath>
      <w:r w:rsidRPr="00D541E6">
        <w:rPr>
          <w:rFonts w:ascii="Calibri" w:hAnsi="Calibri" w:cs="Calibri"/>
          <w:color w:val="000000" w:themeColor="text1"/>
        </w:rPr>
        <w:t xml:space="preserve">. The decoder network then used </w:t>
      </w:r>
      <m:oMath>
        <m:r>
          <w:rPr>
            <w:rFonts w:ascii="Cambria Math" w:hAnsi="Cambria Math" w:cs="Calibri"/>
            <w:color w:val="000000" w:themeColor="text1"/>
          </w:rPr>
          <m:t>Φ</m:t>
        </m:r>
        <m:d>
          <m:dPr>
            <m:ctrlPr>
              <w:rPr>
                <w:rFonts w:ascii="Cambria Math" w:hAnsi="Cambria Math" w:cs="Calibri"/>
                <w:i/>
                <w:color w:val="000000" w:themeColor="text1"/>
              </w:rPr>
            </m:ctrlPr>
          </m:dPr>
          <m:e>
            <m:sSub>
              <m:sSubPr>
                <m:ctrlPr>
                  <w:rPr>
                    <w:rFonts w:ascii="Cambria Math" w:hAnsi="Cambria Math" w:cs="Calibri"/>
                    <w:i/>
                    <w:color w:val="000000" w:themeColor="text1"/>
                  </w:rPr>
                </m:ctrlPr>
              </m:sSubPr>
              <m:e>
                <m:acc>
                  <m:accPr>
                    <m:chr m:val="̅"/>
                    <m:ctrlPr>
                      <w:rPr>
                        <w:rFonts w:ascii="Cambria Math" w:hAnsi="Cambria Math" w:cs="Calibri"/>
                        <w:i/>
                        <w:color w:val="000000" w:themeColor="text1"/>
                      </w:rPr>
                    </m:ctrlPr>
                  </m:accPr>
                  <m:e>
                    <m:r>
                      <w:rPr>
                        <w:rFonts w:ascii="Cambria Math" w:hAnsi="Cambria Math" w:cs="Calibri"/>
                        <w:color w:val="000000" w:themeColor="text1"/>
                      </w:rPr>
                      <m:t>H</m:t>
                    </m:r>
                  </m:e>
                </m:acc>
              </m:e>
              <m:sub>
                <m:r>
                  <w:rPr>
                    <w:rFonts w:ascii="Cambria Math" w:hAnsi="Cambria Math" w:cs="Calibri"/>
                    <w:color w:val="000000" w:themeColor="text1"/>
                  </w:rPr>
                  <m:t>t</m:t>
                </m:r>
              </m:sub>
            </m:sSub>
          </m:e>
        </m:d>
      </m:oMath>
      <w:r w:rsidRPr="00D541E6">
        <w:rPr>
          <w:rFonts w:ascii="Calibri" w:hAnsi="Calibri" w:cs="Calibri"/>
          <w:color w:val="000000" w:themeColor="text1"/>
        </w:rPr>
        <w:t xml:space="preserve"> to initialise the state of an RNN that predicted the counterfactual outcomes for a sequence of future treatments. </w:t>
      </w:r>
    </w:p>
    <w:p w14:paraId="7C8A0965" w14:textId="72DA09F1"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CRN improved the closely related RMSN model proposed by </w:t>
      </w:r>
      <w:r w:rsidRPr="00D541E6">
        <w:rPr>
          <w:rFonts w:asciiTheme="majorHAnsi" w:hAnsiTheme="majorHAnsi" w:cs="Arial"/>
          <w:bCs/>
          <w:color w:val="000000" w:themeColor="text1"/>
          <w:lang w:eastAsia="zh-CN"/>
        </w:rPr>
        <w:t xml:space="preserve">Lim </w:t>
      </w:r>
      <w:r w:rsidRPr="00D541E6">
        <w:rPr>
          <w:rFonts w:asciiTheme="majorHAnsi" w:hAnsiTheme="majorHAnsi" w:cs="Arial"/>
          <w:bCs/>
          <w:i/>
          <w:color w:val="000000" w:themeColor="text1"/>
          <w:lang w:eastAsia="zh-CN"/>
        </w:rPr>
        <w:t>et al.</w:t>
      </w:r>
      <w:r w:rsidRPr="00D541E6">
        <w:rPr>
          <w:rFonts w:asciiTheme="majorHAnsi" w:hAnsiTheme="majorHAnsi" w:cs="Arial"/>
          <w:bCs/>
          <w:color w:val="000000" w:themeColor="text1"/>
          <w:lang w:eastAsia="zh-CN"/>
        </w:rPr>
        <w:t xml:space="preserve"> </w:t>
      </w:r>
      <w:r w:rsidRPr="00D541E6">
        <w:rPr>
          <w:rFonts w:asciiTheme="majorHAnsi" w:hAnsiTheme="majorHAnsi" w:cs="Arial"/>
          <w:bCs/>
          <w:color w:val="000000" w:themeColor="text1"/>
          <w:lang w:eastAsia="zh-CN"/>
        </w:rPr>
        <w:fldChar w:fldCharType="begin" w:fldLock="1"/>
      </w:r>
      <w:r w:rsidR="009B218D" w:rsidRPr="00D541E6">
        <w:rPr>
          <w:rFonts w:asciiTheme="majorHAnsi" w:hAnsiTheme="majorHAnsi" w:cs="Arial"/>
          <w:bCs/>
          <w:color w:val="000000" w:themeColor="text1"/>
          <w:lang w:eastAsia="zh-CN"/>
        </w:rPr>
        <w:instrText>ADDIN CSL_CITATION {"citationItems":[{"id":"ITEM-1","itemData":{"author":[{"dropping-particle":"","family":"Lim","given":"Bryan","non-dropping-particle":"","parse-names":false,"suffix":""}],"container-title":"32nd Conference on Neural Information Processing Systems (NeurIPS 2018)","id":"ITEM-1","issued":{"date-parts":[["2018"]]},"page":"7494-7504","title":"Forecasting Treatment Responses Over Time Using Recurrent Marginal Structural Networks","type":"paper-conference"},"uris":["http://www.mendeley.com/documents/?uuid=374c2d1c-d9f6-33b7-9cc5-77da8e7e7217"]}],"mendeley":{"formattedCitation":"(Lim, 2018)","plainTextFormattedCitation":"(Lim, 2018)","previouslyFormattedCitation":"(22)"},"properties":{"noteIndex":0},"schema":"https://github.com/citation-style-language/schema/raw/master/csl-citation.json"}</w:instrText>
      </w:r>
      <w:r w:rsidRPr="00D541E6">
        <w:rPr>
          <w:rFonts w:asciiTheme="majorHAnsi" w:hAnsiTheme="majorHAnsi" w:cs="Arial"/>
          <w:bCs/>
          <w:color w:val="000000" w:themeColor="text1"/>
          <w:lang w:eastAsia="zh-CN"/>
        </w:rPr>
        <w:fldChar w:fldCharType="separate"/>
      </w:r>
      <w:r w:rsidR="009B218D" w:rsidRPr="00D541E6">
        <w:rPr>
          <w:rFonts w:asciiTheme="majorHAnsi" w:hAnsiTheme="majorHAnsi" w:cs="Arial"/>
          <w:bCs/>
          <w:noProof/>
          <w:color w:val="000000" w:themeColor="text1"/>
          <w:lang w:eastAsia="zh-CN"/>
        </w:rPr>
        <w:t>(Lim, 2018)</w:t>
      </w:r>
      <w:r w:rsidRPr="00D541E6">
        <w:rPr>
          <w:rFonts w:asciiTheme="majorHAnsi" w:hAnsiTheme="majorHAnsi" w:cs="Arial"/>
          <w:bCs/>
          <w:color w:val="000000" w:themeColor="text1"/>
          <w:lang w:eastAsia="zh-CN"/>
        </w:rPr>
        <w:fldChar w:fldCharType="end"/>
      </w:r>
      <w:r w:rsidRPr="00D541E6">
        <w:rPr>
          <w:rFonts w:asciiTheme="majorHAnsi" w:hAnsiTheme="majorHAnsi" w:cs="Arial"/>
          <w:bCs/>
          <w:color w:val="000000" w:themeColor="text1"/>
          <w:lang w:eastAsia="zh-CN"/>
        </w:rPr>
        <w:t xml:space="preserve"> </w:t>
      </w:r>
      <w:r w:rsidRPr="00D541E6">
        <w:rPr>
          <w:rFonts w:ascii="Calibri" w:hAnsi="Calibri" w:cs="Calibri"/>
          <w:color w:val="000000" w:themeColor="text1"/>
        </w:rPr>
        <w:t xml:space="preserve">in a way that overcame the fundamental problem with IPTW, such as the high variance of the weights. As with RMSN, both models required hyperparameter tuning. As the counterfactual outcomes were never observed, hyperparameters in both models were optimised based on the error on the factual outcomes in the validation dataset. As noted by the authors in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{"citationItems":[{"id":"ITEM-1","itemData":{"abstract":"Identifying when to give treatments to patients and how to select among multiple treatments over time are important medical problems with a few existing solutions. In this paper, we introduce the Counterfactual Recurrent Network (CRN), a novel sequence-to-sequence model that leverages the increasingly available patient observational data to estimate treatment effects over time and answer such medical questions. To handle the bias from time-varying confounders, covariates affecting the treatment assignment policy in the observational data, CRN uses domain adversarial training to build balancing representations of the patient history. At each timestep, CRN constructs a treatment invariant representation which removes the association between patient history and treatment assignments and thus can be reliably used for making counterfactual predictions. On a simulated model of tumour growth, with varying degree of time-dependent confounding, we show how our model achieves lower error in estimating counterfactuals and in choosing the correct treatment and timing of treatment than current state-of-the-art methods.","author":[{"dropping-particle":"","family":"Bica","given":"Ioana","non-dropping-particle":"","parse-names":false,"suffix":""},{"dropping-particle":"","family":"Alaa","given":"Ahmed M.","non-dropping-particle":"","parse-names":false,"suffix":""},{"dropping-particle":"","family":"Jordon","given":"James","non-dropping-particle":"","parse-names":false,"suffix":""},{"dropping-particle":"","family":"Schaar","given":"Mihaela","non-dropping-particle":"van der","parse-names":false,"suffix":""}],"container-title":"8th International Conference on Learning Representations (ICLR)","id":"ITEM-1","issued":{"date-parts":[["2020","2"]]},"title":"Estimating Counterfactual Treatment Outcomes over Time Through Adversarially Balanced Representations","type":"paper-conference"},"uris":["http://www.mendeley.com/documents/?uuid=3fa93962-4bfa-30e3-ad6b-628442121dbb"]}],"mendeley":{"formattedCitation":"(Bica et al., 2020)","plainTextFormattedCitation":"(Bica et al., 2020)","previouslyFormattedCitation":"(23)"},"properties":{"noteIndex":0},"schema":"https://github.com/citation-style-language/schema/raw/master/csl-citation.json"}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(Bica et al., 2020)</w:t>
      </w:r>
      <w:r w:rsidRPr="00D541E6">
        <w:rPr>
          <w:rFonts w:ascii="Calibri" w:hAnsi="Calibri" w:cs="Calibri"/>
          <w:color w:val="000000" w:themeColor="text1"/>
        </w:rPr>
        <w:fldChar w:fldCharType="end"/>
      </w:r>
      <w:r w:rsidRPr="00D541E6">
        <w:rPr>
          <w:rFonts w:ascii="Calibri" w:hAnsi="Calibri" w:cs="Calibri"/>
          <w:color w:val="000000" w:themeColor="text1"/>
        </w:rPr>
        <w:t xml:space="preserve">, more work on providing theoretical guarantees for the error on the counterfactuals are required. </w:t>
      </w:r>
    </w:p>
    <w:p w14:paraId="56977348" w14:textId="77777777" w:rsidR="00D26A9D" w:rsidRPr="00D541E6" w:rsidRDefault="00D26A9D" w:rsidP="00D26A9D">
      <w:pPr>
        <w:autoSpaceDE w:val="0"/>
        <w:autoSpaceDN w:val="0"/>
        <w:adjustRightInd w:val="0"/>
        <w:spacing w:after="240" w:line="276" w:lineRule="auto"/>
        <w:rPr>
          <w:rFonts w:asciiTheme="majorHAnsi" w:hAnsiTheme="majorHAnsi" w:cs="Arial"/>
          <w:b/>
          <w:bCs/>
          <w:i/>
          <w:color w:val="000000" w:themeColor="text1"/>
          <w:lang w:eastAsia="zh-CN"/>
        </w:rPr>
      </w:pPr>
      <w:r w:rsidRPr="00D541E6">
        <w:rPr>
          <w:rFonts w:asciiTheme="majorHAnsi" w:hAnsiTheme="majorHAnsi" w:cs="Arial"/>
          <w:b/>
          <w:bCs/>
          <w:i/>
          <w:color w:val="000000" w:themeColor="text1"/>
          <w:lang w:eastAsia="zh-CN"/>
        </w:rPr>
        <w:t>Methods with g-computation for correcting time-varying confounding</w:t>
      </w:r>
    </w:p>
    <w:p w14:paraId="0B2E7A49" w14:textId="786866D6" w:rsidR="00D26A9D" w:rsidRPr="00D541E6" w:rsidRDefault="00D26A9D" w:rsidP="00D26A9D">
      <w:pPr>
        <w:autoSpaceDE w:val="0"/>
        <w:autoSpaceDN w:val="0"/>
        <w:adjustRightInd w:val="0"/>
        <w:spacing w:after="240" w:line="276" w:lineRule="auto"/>
        <w:rPr>
          <w:rFonts w:ascii="Calibri" w:hAnsi="Calibri" w:cs="Calibri"/>
          <w:bCs/>
          <w:color w:val="000000" w:themeColor="text1"/>
        </w:rPr>
      </w:pPr>
      <w:r w:rsidRPr="00D541E6">
        <w:rPr>
          <w:rFonts w:ascii="Calibri" w:hAnsi="Calibri" w:cs="Calibri"/>
          <w:bCs/>
          <w:color w:val="000000" w:themeColor="text1"/>
          <w:lang w:eastAsia="zh-CN"/>
        </w:rPr>
        <w:t xml:space="preserve">Three papers </w:t>
      </w:r>
      <w:r w:rsidRPr="00D541E6">
        <w:rPr>
          <w:rFonts w:ascii="Calibri" w:hAnsi="Calibri" w:cs="Calibri"/>
          <w:bCs/>
          <w:color w:val="000000" w:themeColor="text1"/>
          <w:lang w:eastAsia="zh-CN"/>
        </w:rPr>
        <w:fldChar w:fldCharType="begin" w:fldLock="1"/>
      </w:r>
      <w:r w:rsidR="009B218D" w:rsidRPr="00D541E6">
        <w:rPr>
          <w:rFonts w:ascii="Calibri" w:hAnsi="Calibri" w:cs="Calibri"/>
          <w:bCs/>
          <w:color w:val="000000" w:themeColor="text1"/>
          <w:lang w:eastAsia="zh-CN"/>
        </w:rPr>
        <w:instrText>ADDIN CSL_CITATION {"citationItems":[{"id":"ITEM-1","itemData":{"abstract":"We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-1","issued":{"date-parts":[["2016","12","10"]]},"page":"282-300","publisher":"PMLR","title":"A Bayesian Nonparametric Approach for Estimating Individualized Treatment-Response Curves","type":"paper-conference"},"uris":["http://www.mendeley.com/documents/?uuid=2c4096bd-da51-4548-a129-fac3b6b32f16"]},{"id":"ITEM-2","itemData":{"abstract":"Treatment effects can be estimated from observational data as the difference in potential outcomes. In this paper, we address the challenge of estimating the potential outcome when treatment-dose levels can vary continuously over time. Further, the outcome variable may not be measured at a regular frequency. Our proposed solution represents the treatment response curves using linear time-invariant dynamical systems-this provides a flexible means for modeling response over time to highly variable dose curves. Moreover, for multivariate data, the proposed method: uncovers shared structure in treatment response and the baseline across multiple markers; and, flexibly models challenging correlation structure both across and within signals over time. For this, we build upon the framework of multiple-output Gaussian Processes. On simulated and a challenging clinical dataset, we show significant gains in accuracy over stateof- the-art models.","author":[{"dropping-particle":"","family":"Soleimani","given":"Hossein","non-dropping-particle":"","parse-names":false,"suffix":""},{"dropping-particle":"","family":"Subbaswamy","given":"Adarsh","non-dropping-particle":"","parse-names":false,"suffix":""},{"dropping-particle":"","family":"Saria","given":"Suchi","non-dropping-particle":"","parse-names":false,"suffix":""}],"container-title":"the 33rd Conference on Uncertainty in Artificial Intelligence (UAI)","id":"ITEM-2","issued":{"date-parts":[["2017"]]},"title":"Treatment-response models for counterfactual reasoning with continuous-time, continuous-valued interventions","type":"paper-conference"},"uris":["http://www.mendeley.com/documents/?uuid=e9654f68-bd98-343c-822e-399f63b28396"]},{"id":"ITEM-3","itemData":{"author":[{"dropping-particle":"","family":"Schulam","given":"Peter","non-dropping-particle":"","parse-names":false,"suffix":""},{"dropping-particle":"","family":"Saria","given":"Suchi","non-dropping-particle":"","parse-names":false,"suffix":""}],"container-title":"Advances in Neural Information Processing Systems 30 (NIPS 2017)","id":"ITEM-3","issued":{"date-parts":[["2017"]]},"page":"1697-1708","title":"Reliable Decision Support using Counterfactual Models","type":"paper-conference"},"uris":["http://www.mendeley.com/documents/?uuid=77abbf3a-8412-3779-b23e-c0cd21f6a2fe"]}],"mendeley":{"formattedCitation":"(Schulam &amp; Saria, 2017; Soleimani et al., 2017; Xu et al., 2016)","plainTextFormattedCitation":"(Schulam &amp; Saria, 2017; Soleimani et al., 2017; Xu et al., 2016)","previouslyFormattedCitation":"(24–26)"},"properties":{"noteIndex":0},"schema":"https://github.com/citation-style-language/schema/raw/master/csl-citation.json"}</w:instrText>
      </w:r>
      <w:r w:rsidRPr="00D541E6">
        <w:rPr>
          <w:rFonts w:ascii="Calibri" w:hAnsi="Calibri" w:cs="Calibri"/>
          <w:bCs/>
          <w:color w:val="000000" w:themeColor="text1"/>
          <w:lang w:eastAsia="zh-CN"/>
        </w:rPr>
        <w:fldChar w:fldCharType="separate"/>
      </w:r>
      <w:r w:rsidR="009B218D" w:rsidRPr="00D541E6">
        <w:rPr>
          <w:rFonts w:ascii="Calibri" w:hAnsi="Calibri" w:cs="Calibri"/>
          <w:bCs/>
          <w:noProof/>
          <w:color w:val="000000" w:themeColor="text1"/>
          <w:lang w:eastAsia="zh-CN"/>
        </w:rPr>
        <w:t>(Schulam &amp; Saria, 2017; Soleimani et al., 2017; Xu et al., 2016)</w:t>
      </w:r>
      <w:r w:rsidRPr="00D541E6">
        <w:rPr>
          <w:rFonts w:ascii="Calibri" w:hAnsi="Calibri" w:cs="Calibri"/>
          <w:bCs/>
          <w:color w:val="000000" w:themeColor="text1"/>
          <w:lang w:eastAsia="zh-CN"/>
        </w:rPr>
        <w:fldChar w:fldCharType="end"/>
      </w:r>
      <w:r w:rsidRPr="00D541E6">
        <w:rPr>
          <w:rFonts w:ascii="Calibri" w:hAnsi="Calibri" w:cs="Calibri"/>
          <w:bCs/>
          <w:color w:val="000000" w:themeColor="text1"/>
          <w:lang w:eastAsia="zh-CN"/>
        </w:rPr>
        <w:t xml:space="preserve"> were identified </w:t>
      </w:r>
      <w:r w:rsidRPr="00D541E6">
        <w:rPr>
          <w:rFonts w:ascii="Calibri" w:hAnsi="Calibri" w:cs="Calibri"/>
          <w:bCs/>
          <w:color w:val="000000" w:themeColor="text1"/>
        </w:rPr>
        <w:t xml:space="preserve">using g-computation to correct time-varying confounding and </w:t>
      </w:r>
      <w:r w:rsidRPr="00D541E6">
        <w:rPr>
          <w:rFonts w:ascii="Calibri" w:hAnsi="Calibri" w:cs="Calibri"/>
          <w:bCs/>
          <w:color w:val="000000" w:themeColor="text1"/>
          <w:lang w:eastAsia="zh-CN"/>
        </w:rPr>
        <w:t xml:space="preserve">predicting treatment response curves </w:t>
      </w:r>
      <w:r w:rsidRPr="00D541E6">
        <w:rPr>
          <w:rFonts w:ascii="Calibri" w:hAnsi="Calibri" w:cs="Calibri"/>
          <w:bCs/>
          <w:color w:val="000000" w:themeColor="text1"/>
        </w:rPr>
        <w:t>under the potential outcome framework.</w:t>
      </w:r>
    </w:p>
    <w:p w14:paraId="1115EFEE" w14:textId="414C9509" w:rsidR="00D26A9D" w:rsidRPr="00D541E6" w:rsidRDefault="00D26A9D" w:rsidP="00D26A9D">
      <w:pPr>
        <w:autoSpaceDE w:val="0"/>
        <w:autoSpaceDN w:val="0"/>
        <w:adjustRightInd w:val="0"/>
        <w:spacing w:after="240" w:line="276" w:lineRule="auto"/>
        <w:rPr>
          <w:rFonts w:ascii="Calibri" w:hAnsi="Calibri" w:cs="Calibri"/>
          <w:bCs/>
          <w:color w:val="000000" w:themeColor="text1"/>
        </w:rPr>
      </w:pPr>
      <w:r w:rsidRPr="00D541E6">
        <w:rPr>
          <w:rFonts w:ascii="Calibri" w:hAnsi="Calibri" w:cs="Calibri"/>
          <w:bCs/>
          <w:color w:val="000000" w:themeColor="text1"/>
        </w:rPr>
        <w:t xml:space="preserve">Xu </w:t>
      </w:r>
      <w:r w:rsidRPr="00D541E6">
        <w:rPr>
          <w:rFonts w:ascii="Calibri" w:hAnsi="Calibri" w:cs="Calibri"/>
          <w:bCs/>
          <w:i/>
          <w:color w:val="000000" w:themeColor="text1"/>
        </w:rPr>
        <w:t>et al.</w:t>
      </w:r>
      <w:r w:rsidRPr="00D541E6">
        <w:rPr>
          <w:rFonts w:ascii="Calibri" w:hAnsi="Calibri" w:cs="Calibri"/>
          <w:bCs/>
          <w:color w:val="000000" w:themeColor="text1"/>
        </w:rPr>
        <w:t xml:space="preserve"> </w:t>
      </w:r>
      <w:r w:rsidRPr="00D541E6">
        <w:rPr>
          <w:rFonts w:ascii="Calibri" w:hAnsi="Calibri" w:cs="Calibri"/>
          <w:bCs/>
          <w:color w:val="000000" w:themeColor="text1"/>
        </w:rPr>
        <w:fldChar w:fldCharType="begin" w:fldLock="1"/>
      </w:r>
      <w:r w:rsidR="009B218D" w:rsidRPr="00D541E6">
        <w:rPr>
          <w:rFonts w:ascii="Calibri" w:hAnsi="Calibri" w:cs="Calibri"/>
          <w:bCs/>
          <w:color w:val="000000" w:themeColor="text1"/>
        </w:rPr>
        <w:instrText>ADDIN CSL_CITATION {"citationItems":[{"id":"ITEM-1","itemData":{"abstract":"We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-1","issued":{"date-parts":[["2016","12","10"]]},"page":"282-300","publisher":"PMLR","title":"A Bayesian Nonparametric Approach for Estimating Individualized Treatment-Response Curves","type":"paper-conference"},"uris":["http://www.mendeley.com/documents/?uuid=2c4096bd-da51-4548-a129-fac3b6b32f16"]}],"mendeley":{"formattedCitation":"(Xu et al., 2016)","plainTextFormattedCitation":"(Xu et al., 2016)","previouslyFormattedCitation":"(24)"},"properties":{"noteIndex":0},"schema":"https://github.com/citation-style-language/schema/raw/master/csl-citation.json"}</w:instrText>
      </w:r>
      <w:r w:rsidRPr="00D541E6">
        <w:rPr>
          <w:rFonts w:ascii="Calibri" w:hAnsi="Calibri" w:cs="Calibri"/>
          <w:bCs/>
          <w:color w:val="000000" w:themeColor="text1"/>
        </w:rPr>
        <w:fldChar w:fldCharType="separate"/>
      </w:r>
      <w:r w:rsidR="009B218D" w:rsidRPr="00D541E6">
        <w:rPr>
          <w:rFonts w:ascii="Calibri" w:hAnsi="Calibri" w:cs="Calibri"/>
          <w:bCs/>
          <w:noProof/>
          <w:color w:val="000000" w:themeColor="text1"/>
        </w:rPr>
        <w:t>(Xu et al., 2016)</w:t>
      </w:r>
      <w:r w:rsidRPr="00D541E6">
        <w:rPr>
          <w:rFonts w:ascii="Calibri" w:hAnsi="Calibri" w:cs="Calibri"/>
          <w:bCs/>
          <w:color w:val="000000" w:themeColor="text1"/>
        </w:rPr>
        <w:fldChar w:fldCharType="end"/>
      </w:r>
      <w:r w:rsidRPr="00D541E6">
        <w:rPr>
          <w:rFonts w:ascii="Calibri" w:hAnsi="Calibri" w:cs="Calibri"/>
          <w:bCs/>
          <w:color w:val="000000" w:themeColor="text1"/>
        </w:rPr>
        <w:t xml:space="preserve"> developed a Bayesian non-parametric model</w:t>
      </w:r>
      <w:r w:rsidRPr="00D541E6" w:rsidDel="00940678">
        <w:rPr>
          <w:rFonts w:ascii="Calibri" w:hAnsi="Calibri" w:cs="Calibri"/>
          <w:bCs/>
          <w:color w:val="000000" w:themeColor="text1"/>
        </w:rPr>
        <w:t xml:space="preserve"> </w:t>
      </w:r>
      <w:r w:rsidRPr="00D541E6">
        <w:rPr>
          <w:rFonts w:ascii="Calibri" w:hAnsi="Calibri" w:cs="Calibri"/>
          <w:bCs/>
          <w:color w:val="000000" w:themeColor="text1"/>
        </w:rPr>
        <w:t xml:space="preserve">for estimating conditional treatment response curves </w:t>
      </w:r>
      <w:r w:rsidRPr="00D541E6">
        <w:rPr>
          <w:rFonts w:ascii="Calibri" w:hAnsi="Calibri" w:cs="Calibri"/>
          <w:bCs/>
          <w:color w:val="000000" w:themeColor="text1"/>
          <w:lang w:eastAsia="zh-CN"/>
        </w:rPr>
        <w:t>under</w:t>
      </w:r>
      <w:r w:rsidRPr="00D541E6">
        <w:rPr>
          <w:rFonts w:ascii="Calibri" w:hAnsi="Calibri" w:cs="Calibri"/>
          <w:bCs/>
          <w:color w:val="000000" w:themeColor="text1"/>
        </w:rPr>
        <w:t xml:space="preserve"> the g-computation formula, and provided posterior inference over the treatment response curves. It modelled the potential outcome </w:t>
      </w:r>
      <m:oMath>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Y</m:t>
            </m:r>
          </m:e>
          <m:sub>
            <m:r>
              <w:rPr>
                <w:rFonts w:ascii="Cambria Math" w:hAnsi="Cambria Math" w:cs="Calibri"/>
                <w:color w:val="000000" w:themeColor="text1"/>
                <w:lang w:eastAsia="zh-CN"/>
              </w:rPr>
              <m:t>ij</m:t>
            </m:r>
          </m:sub>
        </m:sSub>
      </m:oMath>
      <w:r w:rsidRPr="00D541E6">
        <w:rPr>
          <w:rFonts w:ascii="Calibri" w:hAnsi="Calibri" w:cs="Calibri"/>
          <w:bCs/>
          <w:color w:val="000000" w:themeColor="text1"/>
          <w:lang w:eastAsia="zh-CN"/>
        </w:rPr>
        <w:t xml:space="preserve"> </w:t>
      </w:r>
      <w:r w:rsidRPr="00D541E6">
        <w:rPr>
          <w:rFonts w:ascii="Calibri" w:hAnsi="Calibri" w:cs="Calibri"/>
          <w:bCs/>
          <w:color w:val="000000" w:themeColor="text1"/>
        </w:rPr>
        <w:t>using a generalized mixed-effects model combining the baseline progression (with no treatment prescribed), the treatment responses overtime, and noise:</w:t>
      </w:r>
      <w:r w:rsidRPr="00D541E6">
        <w:rPr>
          <w:rFonts w:ascii="Calibri" w:hAnsi="Calibri" w:cs="Calibri"/>
          <w:color w:val="000000" w:themeColor="text1"/>
          <w:sz w:val="28"/>
          <w:szCs w:val="28"/>
        </w:rPr>
        <w:t xml:space="preserve"> </w:t>
      </w:r>
    </w:p>
    <w:p w14:paraId="11A233C9" w14:textId="77777777" w:rsidR="00D26A9D" w:rsidRPr="00D541E6" w:rsidRDefault="008A73B3" w:rsidP="00D26A9D">
      <w:pPr>
        <w:autoSpaceDE w:val="0"/>
        <w:autoSpaceDN w:val="0"/>
        <w:adjustRightInd w:val="0"/>
        <w:spacing w:after="240" w:line="276" w:lineRule="auto"/>
        <w:rPr>
          <w:rFonts w:ascii="Calibri" w:hAnsi="Calibri" w:cs="Calibri"/>
          <w:bCs/>
          <w:color w:val="000000" w:themeColor="text1"/>
        </w:rPr>
      </w:pPr>
      <m:oMathPara>
        <m:oMath>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Y</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X</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A</m:t>
              </m:r>
            </m:e>
            <m:sub>
              <m:r>
                <w:rPr>
                  <w:rFonts w:ascii="Cambria Math" w:hAnsi="Cambria Math" w:cs="Calibri"/>
                  <w:color w:val="000000" w:themeColor="text1"/>
                  <w:lang w:eastAsia="zh-CN"/>
                </w:rPr>
                <m:t>i,&lt;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sub>
          </m:sSub>
          <m:r>
            <w:rPr>
              <w:rFonts w:ascii="Cambria Math" w:hAnsi="Cambria Math" w:cs="Calibri"/>
              <w:color w:val="000000" w:themeColor="text1"/>
              <w:lang w:eastAsia="zh-CN"/>
            </w:rPr>
            <m:t>=</m:t>
          </m:r>
          <m:limLow>
            <m:limLowPr>
              <m:ctrlPr>
                <w:rPr>
                  <w:rFonts w:ascii="Cambria Math" w:hAnsi="Cambria Math" w:cs="Calibri"/>
                  <w:bCs/>
                  <w:i/>
                  <w:color w:val="000000" w:themeColor="text1"/>
                  <w:lang w:eastAsia="zh-CN"/>
                </w:rPr>
              </m:ctrlPr>
            </m:limLowPr>
            <m:e>
              <m:groupChr>
                <m:groupChrPr>
                  <m:ctrlPr>
                    <w:rPr>
                      <w:rFonts w:ascii="Cambria Math" w:hAnsi="Cambria Math" w:cs="Calibri"/>
                      <w:bCs/>
                      <w:i/>
                      <w:color w:val="000000" w:themeColor="text1"/>
                      <w:lang w:eastAsia="zh-CN"/>
                    </w:rPr>
                  </m:ctrlPr>
                </m:groupChrPr>
                <m:e>
                  <m:r>
                    <w:rPr>
                      <w:rFonts w:ascii="Cambria Math" w:hAnsi="Cambria Math" w:cs="Calibri"/>
                      <w:color w:val="000000" w:themeColor="text1"/>
                      <w:lang w:eastAsia="zh-CN"/>
                    </w:rPr>
                    <m:t>b</m:t>
                  </m:r>
                  <m:d>
                    <m:dPr>
                      <m:ctrlPr>
                        <w:rPr>
                          <w:rFonts w:ascii="Cambria Math" w:hAnsi="Cambria Math" w:cs="Calibri"/>
                          <w:bCs/>
                          <w:i/>
                          <w:color w:val="000000" w:themeColor="text1"/>
                          <w:lang w:eastAsia="zh-CN"/>
                        </w:rPr>
                      </m:ctrlPr>
                    </m:d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X</m:t>
                          </m:r>
                        </m:e>
                        <m:sub>
                          <m:r>
                            <w:rPr>
                              <w:rFonts w:ascii="Cambria Math" w:hAnsi="Cambria Math" w:cs="Calibri"/>
                              <w:color w:val="000000" w:themeColor="text1"/>
                              <w:lang w:eastAsia="zh-CN"/>
                            </w:rPr>
                            <m:t>ij</m:t>
                          </m:r>
                        </m:sub>
                      </m:sSub>
                    </m:e>
                  </m:d>
                  <m:r>
                    <w:rPr>
                      <w:rFonts w:ascii="Cambria Math" w:hAnsi="Cambria Math" w:cs="Calibri"/>
                      <w:color w:val="000000" w:themeColor="text1"/>
                      <w:lang w:eastAsia="zh-CN"/>
                    </w:rPr>
                    <m:t xml:space="preserve">+ </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u</m:t>
                      </m:r>
                    </m:e>
                    <m:sub>
                      <m:r>
                        <w:rPr>
                          <w:rFonts w:ascii="Cambria Math" w:hAnsi="Cambria Math" w:cs="Calibri"/>
                          <w:color w:val="000000" w:themeColor="text1"/>
                          <w:lang w:eastAsia="zh-CN"/>
                        </w:rPr>
                        <m:t>i</m:t>
                      </m:r>
                    </m:sub>
                  </m:sSub>
                  <m:d>
                    <m:dPr>
                      <m:ctrlPr>
                        <w:rPr>
                          <w:rFonts w:ascii="Cambria Math" w:hAnsi="Cambria Math" w:cs="Calibri"/>
                          <w:bCs/>
                          <w:i/>
                          <w:color w:val="000000" w:themeColor="text1"/>
                          <w:lang w:eastAsia="zh-CN"/>
                        </w:rPr>
                      </m:ctrlPr>
                    </m:d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e>
                  </m:d>
                </m:e>
              </m:groupChr>
            </m:e>
            <m:lim>
              <m:r>
                <m:rPr>
                  <m:nor/>
                </m:rPr>
                <w:rPr>
                  <w:rFonts w:ascii="Calibri" w:hAnsi="Calibri" w:cs="Calibri"/>
                  <w:bCs/>
                  <w:color w:val="000000" w:themeColor="text1"/>
                  <w:lang w:eastAsia="zh-CN"/>
                </w:rPr>
                <m:t>baseline progression</m:t>
              </m:r>
            </m:lim>
          </m:limLow>
          <m:r>
            <w:rPr>
              <w:rFonts w:ascii="Cambria Math" w:hAnsi="Cambria Math" w:cs="Calibri"/>
              <w:color w:val="000000" w:themeColor="text1"/>
              <w:lang w:eastAsia="zh-CN"/>
            </w:rPr>
            <m:t xml:space="preserve">+ </m:t>
          </m:r>
          <m:limLow>
            <m:limLowPr>
              <m:ctrlPr>
                <w:rPr>
                  <w:rFonts w:ascii="Cambria Math" w:hAnsi="Cambria Math" w:cs="Calibri"/>
                  <w:bCs/>
                  <w:i/>
                  <w:color w:val="000000" w:themeColor="text1"/>
                  <w:lang w:eastAsia="zh-CN"/>
                </w:rPr>
              </m:ctrlPr>
            </m:limLowPr>
            <m:e>
              <m:groupChr>
                <m:groupChrPr>
                  <m:ctrlPr>
                    <w:rPr>
                      <w:rFonts w:ascii="Cambria Math" w:hAnsi="Cambria Math" w:cs="Calibri"/>
                      <w:bCs/>
                      <w:i/>
                      <w:color w:val="000000" w:themeColor="text1"/>
                      <w:lang w:eastAsia="zh-CN"/>
                    </w:rPr>
                  </m:ctrlPr>
                </m:groupChr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i</m:t>
                      </m:r>
                    </m:sub>
                  </m:sSub>
                  <m:d>
                    <m:dPr>
                      <m:ctrlPr>
                        <w:rPr>
                          <w:rFonts w:ascii="Cambria Math" w:hAnsi="Cambria Math" w:cs="Calibri"/>
                          <w:bCs/>
                          <w:i/>
                          <w:color w:val="000000" w:themeColor="text1"/>
                          <w:lang w:eastAsia="zh-CN"/>
                        </w:rPr>
                      </m:ctrlPr>
                    </m:d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A</m:t>
                          </m:r>
                        </m:e>
                        <m:sub>
                          <m:r>
                            <w:rPr>
                              <w:rFonts w:ascii="Cambria Math" w:hAnsi="Cambria Math" w:cs="Calibri"/>
                              <w:color w:val="000000" w:themeColor="text1"/>
                              <w:lang w:eastAsia="zh-CN"/>
                            </w:rPr>
                            <m:t>i,&lt;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sub>
                      </m:sSub>
                    </m:e>
                  </m:d>
                </m:e>
              </m:groupChr>
            </m:e>
            <m:lim>
              <m:r>
                <m:rPr>
                  <m:nor/>
                </m:rPr>
                <w:rPr>
                  <w:rFonts w:ascii="Calibri" w:hAnsi="Calibri" w:cs="Calibri"/>
                  <w:bCs/>
                  <w:color w:val="000000" w:themeColor="text1"/>
                  <w:lang w:eastAsia="zh-CN"/>
                </w:rPr>
                <m:t>treatment response</m:t>
              </m:r>
            </m:lim>
          </m:limLow>
          <m:r>
            <w:rPr>
              <w:rFonts w:ascii="Cambria Math" w:hAnsi="Cambria Math" w:cs="Calibri"/>
              <w:color w:val="000000" w:themeColor="text1"/>
              <w:lang w:eastAsia="zh-CN"/>
            </w:rPr>
            <m:t xml:space="preserve">+ </m:t>
          </m:r>
          <m:limLow>
            <m:limLowPr>
              <m:ctrlPr>
                <w:rPr>
                  <w:rFonts w:ascii="Cambria Math" w:hAnsi="Cambria Math" w:cs="Calibri"/>
                  <w:bCs/>
                  <w:i/>
                  <w:color w:val="000000" w:themeColor="text1"/>
                  <w:lang w:eastAsia="zh-CN"/>
                </w:rPr>
              </m:ctrlPr>
            </m:limLowPr>
            <m:e>
              <m:groupChr>
                <m:groupChrPr>
                  <m:ctrlPr>
                    <w:rPr>
                      <w:rFonts w:ascii="Cambria Math" w:hAnsi="Cambria Math" w:cs="Calibri"/>
                      <w:bCs/>
                      <w:i/>
                      <w:color w:val="000000" w:themeColor="text1"/>
                      <w:lang w:eastAsia="zh-CN"/>
                    </w:rPr>
                  </m:ctrlPr>
                </m:groupChr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ϵ</m:t>
                      </m:r>
                    </m:e>
                    <m:sub>
                      <m:r>
                        <w:rPr>
                          <w:rFonts w:ascii="Cambria Math" w:hAnsi="Cambria Math" w:cs="Calibri"/>
                          <w:color w:val="000000" w:themeColor="text1"/>
                          <w:lang w:eastAsia="zh-CN"/>
                        </w:rPr>
                        <m:t>i</m:t>
                      </m:r>
                    </m:sub>
                  </m:sSub>
                  <m:d>
                    <m:dPr>
                      <m:ctrlPr>
                        <w:rPr>
                          <w:rFonts w:ascii="Cambria Math" w:hAnsi="Cambria Math" w:cs="Calibri"/>
                          <w:bCs/>
                          <w:i/>
                          <w:color w:val="000000" w:themeColor="text1"/>
                          <w:lang w:eastAsia="zh-CN"/>
                        </w:rPr>
                      </m:ctrlPr>
                    </m:d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A</m:t>
                          </m:r>
                        </m:e>
                        <m:sub>
                          <m:r>
                            <w:rPr>
                              <w:rFonts w:ascii="Cambria Math" w:hAnsi="Cambria Math" w:cs="Calibri"/>
                              <w:color w:val="000000" w:themeColor="text1"/>
                              <w:lang w:eastAsia="zh-CN"/>
                            </w:rPr>
                            <m:t>i,&lt;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sub>
                      </m:sSub>
                    </m:e>
                  </m:d>
                </m:e>
              </m:groupChr>
            </m:e>
            <m:lim>
              <m:r>
                <m:rPr>
                  <m:nor/>
                </m:rPr>
                <w:rPr>
                  <w:rFonts w:ascii="Calibri" w:hAnsi="Calibri" w:cs="Calibri"/>
                  <w:bCs/>
                  <w:color w:val="000000" w:themeColor="text1"/>
                  <w:lang w:eastAsia="zh-CN"/>
                </w:rPr>
                <m:t>noise</m:t>
              </m:r>
            </m:lim>
          </m:limLow>
          <m:r>
            <w:rPr>
              <w:rFonts w:ascii="Cambria Math" w:hAnsi="Cambria Math" w:cs="Calibri"/>
              <w:color w:val="000000" w:themeColor="text1"/>
              <w:lang w:eastAsia="zh-CN"/>
            </w:rPr>
            <m:t>.</m:t>
          </m:r>
        </m:oMath>
      </m:oMathPara>
    </w:p>
    <w:p w14:paraId="16A973F3" w14:textId="77777777" w:rsidR="00D26A9D" w:rsidRPr="00D541E6" w:rsidRDefault="00D26A9D" w:rsidP="00D26A9D">
      <w:pPr>
        <w:autoSpaceDE w:val="0"/>
        <w:autoSpaceDN w:val="0"/>
        <w:adjustRightInd w:val="0"/>
        <w:spacing w:after="240" w:line="276" w:lineRule="auto"/>
        <w:rPr>
          <w:rFonts w:ascii="Calibri" w:hAnsi="Calibri" w:cs="Calibri"/>
          <w:bCs/>
          <w:color w:val="000000" w:themeColor="text1"/>
          <w:lang w:eastAsia="zh-CN"/>
        </w:rPr>
      </w:pPr>
      <w:r w:rsidRPr="00D541E6">
        <w:rPr>
          <w:rFonts w:ascii="Calibri" w:hAnsi="Calibri" w:cs="Calibri"/>
          <w:bCs/>
          <w:color w:val="000000" w:themeColor="text1"/>
        </w:rPr>
        <w:t xml:space="preserve">The goal was to obtain posterior inference for the treatment response, and </w:t>
      </w:r>
      <w:r w:rsidRPr="00D541E6">
        <w:rPr>
          <w:rFonts w:ascii="Calibri" w:hAnsi="Calibri" w:cs="Calibri"/>
          <w:bCs/>
          <w:color w:val="000000" w:themeColor="text1"/>
          <w:lang w:eastAsia="zh-CN"/>
        </w:rPr>
        <w:t xml:space="preserve">predict </w:t>
      </w:r>
      <w:r w:rsidRPr="00D541E6">
        <w:rPr>
          <w:rFonts w:ascii="Calibri" w:hAnsi="Calibri" w:cs="Calibri"/>
          <w:bCs/>
          <w:color w:val="000000" w:themeColor="text1"/>
        </w:rPr>
        <w:t xml:space="preserve">the potential outcomes </w:t>
      </w:r>
      <m:oMath>
        <m:sSub>
          <m:sSubPr>
            <m:ctrlPr>
              <w:rPr>
                <w:rFonts w:ascii="Cambria Math" w:hAnsi="Cambria Math" w:cs="Calibri"/>
                <w:bCs/>
                <w:i/>
                <w:color w:val="000000" w:themeColor="text1"/>
              </w:rPr>
            </m:ctrlPr>
          </m:sSubPr>
          <m:e>
            <m:r>
              <w:rPr>
                <w:rFonts w:ascii="Cambria Math" w:hAnsi="Cambria Math" w:cs="Calibri"/>
                <w:color w:val="000000" w:themeColor="text1"/>
              </w:rPr>
              <m:t>Y</m:t>
            </m:r>
          </m:e>
          <m:sub>
            <m:r>
              <w:rPr>
                <w:rFonts w:ascii="Cambria Math" w:hAnsi="Cambria Math" w:cs="Calibri"/>
                <w:color w:val="000000" w:themeColor="text1"/>
              </w:rPr>
              <m:t>i,&gt;t</m:t>
            </m:r>
          </m:sub>
        </m:sSub>
      </m:oMath>
      <w:r w:rsidRPr="00D541E6">
        <w:rPr>
          <w:rFonts w:ascii="Calibri" w:hAnsi="Calibri" w:cs="Calibri"/>
          <w:bCs/>
          <w:color w:val="000000" w:themeColor="text1"/>
          <w:lang w:eastAsia="zh-CN"/>
        </w:rPr>
        <w:t xml:space="preserve"> </w:t>
      </w:r>
      <w:r w:rsidRPr="00D541E6">
        <w:rPr>
          <w:rFonts w:ascii="Calibri" w:hAnsi="Calibri" w:cs="Calibri"/>
          <w:bCs/>
          <w:color w:val="000000" w:themeColor="text1"/>
        </w:rPr>
        <w:t xml:space="preserve">given any sequence of treatments conditioned upon past treatments and covariate history. The additive treatment effects over time was modelled with a function of treatment duration for each individual </w:t>
      </w:r>
      <m:oMath>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f</m:t>
            </m:r>
          </m:e>
          <m:sub>
            <m:r>
              <w:rPr>
                <w:rFonts w:ascii="Cambria Math" w:hAnsi="Cambria Math" w:cs="Calibri"/>
                <w:color w:val="000000" w:themeColor="text1"/>
                <w:lang w:eastAsia="zh-CN"/>
              </w:rPr>
              <m:t>i</m:t>
            </m:r>
          </m:sub>
        </m:sSub>
        <m:d>
          <m:dPr>
            <m:ctrlPr>
              <w:rPr>
                <w:rFonts w:ascii="Cambria Math" w:hAnsi="Cambria Math" w:cs="Calibri"/>
                <w:bCs/>
                <w:i/>
                <w:color w:val="000000" w:themeColor="text1"/>
                <w:lang w:eastAsia="zh-CN"/>
              </w:rPr>
            </m:ctrlPr>
          </m:dPr>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A</m:t>
                </m:r>
              </m:e>
              <m:sub>
                <m:r>
                  <w:rPr>
                    <w:rFonts w:ascii="Cambria Math" w:hAnsi="Cambria Math" w:cs="Calibri"/>
                    <w:color w:val="000000" w:themeColor="text1"/>
                    <w:lang w:eastAsia="zh-CN"/>
                  </w:rPr>
                  <m:t>i,&lt;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sub>
            </m:sSub>
          </m:e>
        </m:d>
        <m:r>
          <w:rPr>
            <w:rFonts w:ascii="Cambria Math" w:hAnsi="Cambria Math" w:cs="Calibri"/>
            <w:color w:val="000000" w:themeColor="text1"/>
            <w:lang w:eastAsia="zh-CN"/>
          </w:rPr>
          <m:t xml:space="preserve">= </m:t>
        </m:r>
        <m:nary>
          <m:naryPr>
            <m:chr m:val="∑"/>
            <m:supHide m:val="1"/>
            <m:ctrlPr>
              <w:rPr>
                <w:rFonts w:ascii="Cambria Math" w:hAnsi="Cambria Math" w:cs="Calibri"/>
                <w:bCs/>
                <w:i/>
                <w:color w:val="000000" w:themeColor="text1"/>
                <w:lang w:eastAsia="zh-CN"/>
              </w:rPr>
            </m:ctrlPr>
          </m:naryPr>
          <m:sub>
            <m:r>
              <w:rPr>
                <w:rFonts w:ascii="Cambria Math" w:hAnsi="Cambria Math" w:cs="Calibri"/>
                <w:color w:val="000000" w:themeColor="text1"/>
                <w:lang w:eastAsia="zh-CN"/>
              </w:rPr>
              <m:t>l:</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τ</m:t>
                </m:r>
              </m:e>
              <m:sub>
                <m:r>
                  <w:rPr>
                    <w:rFonts w:ascii="Cambria Math" w:hAnsi="Cambria Math" w:cs="Calibri"/>
                    <w:color w:val="000000" w:themeColor="text1"/>
                    <w:lang w:eastAsia="zh-CN"/>
                  </w:rPr>
                  <m:t>il</m:t>
                </m:r>
              </m:sub>
            </m:sSub>
            <m:r>
              <w:rPr>
                <w:rFonts w:ascii="Cambria Math" w:hAnsi="Cambria Math" w:cs="Calibri"/>
                <w:color w:val="000000" w:themeColor="text1"/>
                <w:lang w:eastAsia="zh-CN"/>
              </w:rPr>
              <m:t>&lt;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sub>
          <m:sup/>
          <m:e>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g</m:t>
                </m:r>
              </m:e>
              <m:sub>
                <m:r>
                  <w:rPr>
                    <w:rFonts w:ascii="Cambria Math" w:hAnsi="Cambria Math" w:cs="Calibri"/>
                    <w:color w:val="000000" w:themeColor="text1"/>
                    <w:lang w:eastAsia="zh-CN"/>
                  </w:rPr>
                  <m:t>i,</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A</m:t>
                    </m:r>
                  </m:e>
                  <m:sub>
                    <m:r>
                      <w:rPr>
                        <w:rFonts w:ascii="Cambria Math" w:hAnsi="Cambria Math" w:cs="Calibri"/>
                        <w:color w:val="000000" w:themeColor="text1"/>
                        <w:lang w:eastAsia="zh-CN"/>
                      </w:rPr>
                      <m:t>il</m:t>
                    </m:r>
                  </m:sub>
                </m:sSub>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t</m:t>
                </m:r>
              </m:e>
              <m:sub>
                <m:r>
                  <w:rPr>
                    <w:rFonts w:ascii="Cambria Math" w:hAnsi="Cambria Math" w:cs="Calibri"/>
                    <w:color w:val="000000" w:themeColor="text1"/>
                    <w:lang w:eastAsia="zh-CN"/>
                  </w:rPr>
                  <m:t>ij</m:t>
                </m:r>
              </m:sub>
            </m:sSub>
            <m:r>
              <w:rPr>
                <w:rFonts w:ascii="Cambria Math" w:hAnsi="Cambria Math" w:cs="Calibri"/>
                <w:color w:val="000000" w:themeColor="text1"/>
                <w:lang w:eastAsia="zh-CN"/>
              </w:rPr>
              <m:t>-</m:t>
            </m:r>
            <m:sSub>
              <m:sSubPr>
                <m:ctrlPr>
                  <w:rPr>
                    <w:rFonts w:ascii="Cambria Math" w:hAnsi="Cambria Math" w:cs="Calibri"/>
                    <w:bCs/>
                    <w:i/>
                    <w:color w:val="000000" w:themeColor="text1"/>
                    <w:lang w:eastAsia="zh-CN"/>
                  </w:rPr>
                </m:ctrlPr>
              </m:sSubPr>
              <m:e>
                <m:r>
                  <w:rPr>
                    <w:rFonts w:ascii="Cambria Math" w:hAnsi="Cambria Math" w:cs="Calibri"/>
                    <w:color w:val="000000" w:themeColor="text1"/>
                    <w:lang w:eastAsia="zh-CN"/>
                  </w:rPr>
                  <m:t>τ</m:t>
                </m:r>
              </m:e>
              <m:sub>
                <m:r>
                  <w:rPr>
                    <w:rFonts w:ascii="Cambria Math" w:hAnsi="Cambria Math" w:cs="Calibri"/>
                    <w:color w:val="000000" w:themeColor="text1"/>
                    <w:lang w:eastAsia="zh-CN"/>
                  </w:rPr>
                  <m:t>il</m:t>
                </m:r>
              </m:sub>
            </m:sSub>
            <m:r>
              <w:rPr>
                <w:rFonts w:ascii="Cambria Math" w:hAnsi="Cambria Math" w:cs="Calibri"/>
                <w:color w:val="000000" w:themeColor="text1"/>
                <w:lang w:eastAsia="zh-CN"/>
              </w:rPr>
              <m:t>)</m:t>
            </m:r>
          </m:e>
        </m:nary>
        <m:r>
          <w:rPr>
            <w:rFonts w:ascii="Cambria Math" w:hAnsi="Cambria Math" w:cs="Calibri"/>
            <w:color w:val="000000" w:themeColor="text1"/>
            <w:lang w:eastAsia="zh-CN"/>
          </w:rPr>
          <m:t xml:space="preserve"> </m:t>
        </m:r>
      </m:oMath>
      <w:r w:rsidRPr="00D541E6">
        <w:rPr>
          <w:rFonts w:ascii="Calibri" w:hAnsi="Calibri" w:cs="Calibri"/>
          <w:bCs/>
          <w:color w:val="000000" w:themeColor="text1"/>
          <w:lang w:eastAsia="zh-CN"/>
        </w:rPr>
        <w:t>,</w:t>
      </w:r>
      <w:r w:rsidRPr="00D541E6">
        <w:rPr>
          <w:rFonts w:ascii="Calibri" w:hAnsi="Calibri" w:cs="Calibri"/>
          <w:bCs/>
          <w:color w:val="000000" w:themeColor="text1"/>
        </w:rPr>
        <w:t xml:space="preserve"> where </w:t>
      </w:r>
      <m:oMath>
        <m:r>
          <w:rPr>
            <w:rFonts w:ascii="Cambria Math" w:hAnsi="Cambria Math" w:cs="Calibri"/>
            <w:color w:val="000000" w:themeColor="text1"/>
            <w:lang w:eastAsia="zh-CN"/>
          </w:rPr>
          <m:t>g</m:t>
        </m:r>
        <m:d>
          <m:dPr>
            <m:ctrlPr>
              <w:rPr>
                <w:rFonts w:ascii="Cambria Math" w:hAnsi="Cambria Math" w:cs="Calibri"/>
                <w:bCs/>
                <w:i/>
                <w:color w:val="000000" w:themeColor="text1"/>
                <w:lang w:eastAsia="zh-CN"/>
              </w:rPr>
            </m:ctrlPr>
          </m:dPr>
          <m:e>
            <m:r>
              <w:rPr>
                <w:rFonts w:ascii="Cambria Math" w:hAnsi="Cambria Math" w:cs="Calibri"/>
                <w:color w:val="000000" w:themeColor="text1"/>
                <w:lang w:eastAsia="zh-CN"/>
              </w:rPr>
              <m:t>t</m:t>
            </m:r>
          </m:e>
        </m:d>
      </m:oMath>
      <w:r w:rsidRPr="00D541E6">
        <w:rPr>
          <w:rFonts w:ascii="Calibri" w:hAnsi="Calibri" w:cs="Calibri"/>
          <w:bCs/>
          <w:color w:val="000000" w:themeColor="text1"/>
          <w:lang w:eastAsia="zh-CN"/>
        </w:rPr>
        <w:t xml:space="preserve"> was carefully chosen by concatenating two sigmoid curves to flexibly capture responses for a duration over which the treatment took effect. To capture individual heterogeneity, a nonparametric hierarchical prior was imposed on the parameters in the baseline progression and the treatment response model using a Dirichlet process (DP) mixture. There are two limitations to </w:t>
      </w:r>
      <w:r w:rsidRPr="00D541E6">
        <w:rPr>
          <w:rFonts w:ascii="Calibri" w:hAnsi="Calibri" w:cs="Calibri"/>
          <w:bCs/>
          <w:color w:val="000000" w:themeColor="text1"/>
          <w:lang w:eastAsia="zh-CN"/>
        </w:rPr>
        <w:lastRenderedPageBreak/>
        <w:t>the model here: (1) it assumes independent baseline progression and treatment response components; (2) treatment response models rely on strong assumptions and clinical details to be decided by domain experts.</w:t>
      </w:r>
    </w:p>
    <w:p w14:paraId="7DD1E127" w14:textId="68DE4A6E"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Times New Roman"/>
          <w:color w:val="000000" w:themeColor="text1"/>
        </w:rPr>
        <w:t>Soleimani</w:t>
      </w:r>
      <w:r w:rsidRPr="00D541E6" w:rsidDel="00AE30BB">
        <w:rPr>
          <w:rFonts w:ascii="Calibri" w:hAnsi="Calibri" w:cs="Calibri"/>
          <w:color w:val="000000" w:themeColor="text1"/>
        </w:rPr>
        <w:t xml:space="preserve"> </w:t>
      </w:r>
      <w:r w:rsidRPr="00D541E6">
        <w:rPr>
          <w:rFonts w:ascii="Calibri" w:hAnsi="Calibri" w:cs="Calibri"/>
          <w:i/>
          <w:color w:val="000000" w:themeColor="text1"/>
        </w:rPr>
        <w:t xml:space="preserve">et al. </w:t>
      </w:r>
      <w:r w:rsidRPr="00D541E6">
        <w:rPr>
          <w:rFonts w:ascii="Calibri" w:hAnsi="Calibri" w:cs="Calibri"/>
          <w:i/>
          <w:color w:val="000000" w:themeColor="text1"/>
        </w:rPr>
        <w:fldChar w:fldCharType="begin" w:fldLock="1"/>
      </w:r>
      <w:r w:rsidR="009B218D" w:rsidRPr="00D541E6">
        <w:rPr>
          <w:rFonts w:ascii="Calibri" w:hAnsi="Calibri" w:cs="Calibri"/>
          <w:i/>
          <w:color w:val="000000" w:themeColor="text1"/>
        </w:rPr>
        <w:instrText>ADDIN CSL_CITATION {"citationItems":[{"id":"ITEM-1","itemData":{"abstract":"Treatment effects can be estimated from observational data as the difference in potential outcomes. In this paper, we address the challenge of estimating the potential outcome when treatment-dose levels can vary continuously over time. Further, the outcome variable may not be measured at a regular frequency. Our proposed solution represents the treatment response curves using linear time-invariant dynamical systems-this provides a flexible means for modeling response over time to highly variable dose curves. Moreover, for multivariate data, the proposed method: uncovers shared structure in treatment response and the baseline across multiple markers; and, flexibly models challenging correlation structure both across and within signals over time. For this, we build upon the framework of multiple-output Gaussian Processes. On simulated and a challenging clinical dataset, we show significant gains in accuracy over stateof- the-art models.","author":[{"dropping-particle":"","family":"Soleimani","given":"Hossein","non-dropping-particle":"","parse-names":false,"suffix":""},{"dropping-particle":"","family":"Subbaswamy","given":"Adarsh","non-dropping-particle":"","parse-names":false,"suffix":""},{"dropping-particle":"","family":"Saria","given":"Suchi","non-dropping-particle":"","parse-names":false,"suffix":""}],"container-title":"the 33rd Conference on Uncertainty in Artificial Intelligence (UAI)","id":"ITEM-1","issued":{"date-parts":[["2017"]]},"title":"Treatment-response models for counterfactual reasoning with continuous-time, continuous-valued interventions","type":"paper-conference"},"uris":["http://www.mendeley.com/documents/?uuid=e9654f68-bd98-343c-822e-399f63b28396"]}],"mendeley":{"formattedCitation":"(Soleimani et al., 2017)","plainTextFormattedCitation":"(Soleimani et al., 2017)","previouslyFormattedCitation":"(25)"},"properties":{"noteIndex":0},"schema":"https://github.com/citation-style-language/schema/raw/master/csl-citation.json"}</w:instrText>
      </w:r>
      <w:r w:rsidRPr="00D541E6">
        <w:rPr>
          <w:rFonts w:ascii="Calibri" w:hAnsi="Calibri" w:cs="Calibri"/>
          <w:i/>
          <w:color w:val="000000" w:themeColor="text1"/>
        </w:rPr>
        <w:fldChar w:fldCharType="separate"/>
      </w:r>
      <w:r w:rsidR="009B218D" w:rsidRPr="00D541E6">
        <w:rPr>
          <w:rFonts w:ascii="Calibri" w:hAnsi="Calibri" w:cs="Calibri"/>
          <w:noProof/>
          <w:color w:val="000000" w:themeColor="text1"/>
        </w:rPr>
        <w:t>(Soleimani et al., 2017)</w:t>
      </w:r>
      <w:r w:rsidRPr="00D541E6">
        <w:rPr>
          <w:rFonts w:ascii="Calibri" w:hAnsi="Calibri" w:cs="Calibri"/>
          <w:i/>
          <w:color w:val="000000" w:themeColor="text1"/>
        </w:rPr>
        <w:fldChar w:fldCharType="end"/>
      </w:r>
      <w:r w:rsidRPr="00D541E6">
        <w:rPr>
          <w:rFonts w:ascii="Calibri" w:hAnsi="Calibri" w:cs="Calibri"/>
          <w:color w:val="000000" w:themeColor="text1"/>
        </w:rPr>
        <w:t xml:space="preserve"> </w:t>
      </w:r>
      <w:r w:rsidRPr="00D541E6">
        <w:rPr>
          <w:rFonts w:ascii="Calibri" w:hAnsi="Calibri" w:cs="Calibri"/>
          <w:color w:val="000000" w:themeColor="text1"/>
          <w:lang w:eastAsia="zh-CN"/>
        </w:rPr>
        <w:t xml:space="preserve">extended the approach in Xu </w:t>
      </w:r>
      <w:r w:rsidRPr="00D541E6">
        <w:rPr>
          <w:rFonts w:ascii="Calibri" w:hAnsi="Calibri" w:cs="Calibri"/>
          <w:i/>
          <w:color w:val="000000" w:themeColor="text1"/>
          <w:lang w:eastAsia="zh-CN"/>
        </w:rPr>
        <w:t xml:space="preserve">et al.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-1","issued":{"date-parts":[["2016","12","10"]]},"page":"282-300","publisher":"PMLR","title":"A Bayesian Nonparametric Approach for Estimating Individualized Treatment-Response Curves","type":"paper-conference"},"uris":["http://www.mendeley.com/documents/?uuid=2c4096bd-da51-4548-a129-fac3b6b32f16"]}],"mendeley":{"formattedCitation":"(Xu et al., 2016)","plainTextFormattedCitation":"(Xu et al., 2016)","previouslyFormattedCitation":"(24)"},"properties":{"noteIndex":0},"schema":"https://github.com/citation-style-language/schema/raw/master/csl-citation.json"}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(Xu et al., 2016)</w:t>
      </w:r>
      <w:r w:rsidRPr="00D541E6">
        <w:rPr>
          <w:rFonts w:ascii="Calibri" w:hAnsi="Calibri" w:cs="Calibri"/>
          <w:color w:val="000000" w:themeColor="text1"/>
        </w:rPr>
        <w:fldChar w:fldCharType="end"/>
      </w:r>
      <w:r w:rsidRPr="00D541E6">
        <w:rPr>
          <w:rFonts w:ascii="Calibri" w:hAnsi="Calibri" w:cs="Calibri"/>
          <w:color w:val="000000" w:themeColor="text1"/>
        </w:rPr>
        <w:t xml:space="preserve"> in two ways: (1) to continuous-time setting with continuous-valued treatments, and (2) to multivariate outcomes. Similarly to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-1","issued":{"date-parts":[["2016","12","10"]]},"page":"282-300","publisher":"PMLR","title":"A Bayesian Nonparametric Approach for Estimating Individualized Treatment-Response Curves","type":"paper-conference"},"uris":["http://www.mendeley.com/documents/?uuid=2c4096bd-da51-4548-a129-fac3b6b32f16"]}],"mendeley":{"formattedCitation":"(Xu et al., 2016)","plainTextFormattedCitation":"(Xu et al., 2016)","previouslyFormattedCitation":"(24)"},"properties":{"noteIndex":0},"schema":"https://github.com/citation-style-language/schema/raw/master/csl-citation.json"}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(Xu et al., 2016)</w:t>
      </w:r>
      <w:r w:rsidRPr="00D541E6">
        <w:rPr>
          <w:rFonts w:ascii="Calibri" w:hAnsi="Calibri" w:cs="Calibri"/>
          <w:color w:val="000000" w:themeColor="text1"/>
        </w:rPr>
        <w:fldChar w:fldCharType="end"/>
      </w:r>
      <w:r w:rsidRPr="00D541E6">
        <w:rPr>
          <w:rFonts w:ascii="Calibri" w:hAnsi="Calibri" w:cs="Calibri"/>
          <w:color w:val="000000" w:themeColor="text1"/>
        </w:rPr>
        <w:t xml:space="preserve">, for each individual </w:t>
      </w:r>
      <m:oMath>
        <m:r>
          <w:rPr>
            <w:rFonts w:ascii="Cambria Math" w:hAnsi="Cambria Math" w:cs="Arial"/>
            <w:color w:val="000000" w:themeColor="text1"/>
            <w:lang w:eastAsia="zh-CN"/>
          </w:rPr>
          <m:t>i</m:t>
        </m:r>
      </m:oMath>
      <w:r w:rsidRPr="00D541E6">
        <w:rPr>
          <w:rFonts w:ascii="Calibri" w:hAnsi="Calibri" w:cs="Calibri"/>
          <w:bCs/>
          <w:color w:val="000000" w:themeColor="text1"/>
          <w:lang w:eastAsia="zh-CN"/>
        </w:rPr>
        <w:t xml:space="preserve"> and outcome type </w:t>
      </w:r>
      <m:oMath>
        <m:r>
          <w:rPr>
            <w:rFonts w:ascii="Cambria Math" w:hAnsi="Cambria Math" w:cs="Arial"/>
            <w:color w:val="000000" w:themeColor="text1"/>
            <w:lang w:eastAsia="zh-CN"/>
          </w:rPr>
          <m:t>d</m:t>
        </m:r>
      </m:oMath>
      <w:r w:rsidRPr="00D541E6">
        <w:rPr>
          <w:rFonts w:ascii="Calibri" w:hAnsi="Calibri" w:cs="Calibri"/>
          <w:color w:val="000000" w:themeColor="text1"/>
        </w:rPr>
        <w:t xml:space="preserve">, the outcome trajectory </w:t>
      </w:r>
      <m:oMath>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Y</m:t>
            </m:r>
          </m:e>
          <m:sub>
            <m:r>
              <w:rPr>
                <w:rFonts w:ascii="Cambria Math" w:hAnsi="Cambria Math" w:cs="Arial"/>
                <w:color w:val="000000" w:themeColor="text1"/>
                <w:lang w:eastAsia="zh-CN"/>
              </w:rPr>
              <m:t>id</m:t>
            </m:r>
          </m:sub>
        </m:sSub>
        <m:r>
          <w:rPr>
            <w:rFonts w:ascii="Cambria Math" w:hAnsi="Cambria Math" w:cs="Arial"/>
            <w:color w:val="000000" w:themeColor="text1"/>
            <w:lang w:eastAsia="zh-CN"/>
          </w:rPr>
          <m:t>(t)</m:t>
        </m:r>
      </m:oMath>
      <w:r w:rsidRPr="00D541E6">
        <w:rPr>
          <w:rFonts w:ascii="Calibri" w:hAnsi="Calibri" w:cs="Calibri"/>
          <w:bCs/>
          <w:color w:val="000000" w:themeColor="text1"/>
          <w:lang w:eastAsia="zh-CN"/>
        </w:rPr>
        <w:t xml:space="preserve"> </w:t>
      </w:r>
      <w:r w:rsidRPr="00D541E6">
        <w:rPr>
          <w:rFonts w:ascii="Calibri" w:hAnsi="Calibri" w:cs="Calibri"/>
          <w:color w:val="000000" w:themeColor="text1"/>
        </w:rPr>
        <w:t xml:space="preserve">was modelled with three parts: treatment response, fixed effects </w:t>
      </w:r>
      <w:r w:rsidRPr="00D541E6">
        <w:rPr>
          <w:rFonts w:ascii="Calibri" w:hAnsi="Calibri" w:cs="Calibri"/>
          <w:color w:val="000000" w:themeColor="text1"/>
          <w:lang w:eastAsia="zh-CN"/>
        </w:rPr>
        <w:t>for baseline progression</w:t>
      </w:r>
      <w:r w:rsidRPr="00D541E6">
        <w:rPr>
          <w:rFonts w:ascii="Calibri" w:hAnsi="Calibri" w:cs="Calibri"/>
          <w:color w:val="000000" w:themeColor="text1"/>
        </w:rPr>
        <w:t xml:space="preserve">, and random effects to </w:t>
      </w:r>
      <w:r w:rsidRPr="00D541E6">
        <w:rPr>
          <w:rFonts w:ascii="Calibri" w:hAnsi="Calibri" w:cs="Calibri"/>
          <w:color w:val="000000" w:themeColor="text1"/>
          <w:lang w:eastAsia="zh-CN"/>
        </w:rPr>
        <w:t>capture correlations within and across outcomes</w:t>
      </w:r>
      <w:r w:rsidRPr="00D541E6">
        <w:rPr>
          <w:rFonts w:ascii="Calibri" w:hAnsi="Calibri" w:cs="Calibri"/>
          <w:color w:val="000000" w:themeColor="text1"/>
        </w:rPr>
        <w:t xml:space="preserve">. For the treatment response component, the model used differential equations--linear time-invariant dynamical systems (LTI)-- to capture the relationship between the response curve and treatment-dose curve and therefore allow for modelling the treatment response curves under continuous changes in dose level over time. Finally, by decomposing each of the three parts of the model into a shared and an outcome-specific component, the model allowed for jointly modelling all outcome variables for each individual. Despite being a more flexible model than </w:t>
      </w:r>
      <w:r w:rsidRPr="00D541E6">
        <w:rPr>
          <w:rFonts w:ascii="Calibri" w:hAnsi="Calibri" w:cs="Calibri"/>
          <w:color w:val="000000" w:themeColor="text1"/>
        </w:rPr>
        <w:fldChar w:fldCharType="begin" w:fldLock="1"/>
      </w:r>
      <w:r w:rsidR="009B218D" w:rsidRPr="00D541E6">
        <w:rPr>
          <w:rFonts w:ascii="Calibri" w:hAnsi="Calibri" w:cs="Calibri"/>
          <w:color w:val="000000" w:themeColor="text1"/>
        </w:rPr>
        <w:instrText>ADDIN CSL_CITATION {"citationItems":[{"id":"ITEM-1","itemData":{"abstract":"We study the problem of estimating the continuous response over time of actions from observational time series—a retrospective dataset where the policy by which the data are generated are unknown to the learner. We develop a novel method based on Bayesian nonparametrics (BNP) that can flexibly model functional data and provide posterior inference over the treatment response curves both at the individual and population level. On a challenging dataset containing time series from patients admitted to a hospital, we estimate treatment responses for 8 different treatments used in managing blood pressure and kidney function and show that the resulting fits are more accurate than alternative approaches. Accurate methods for obtaining ITRs from observational data can dramatically accelerate the pace at which personalized treatment plans become possible.","author":[{"dropping-particle":"","family":"Xu","given":"Yanbo","non-dropping-particle":"","parse-names":false,"suffix":""},{"dropping-particle":"","family":"Xu","given":"Yanxun","non-dropping-particle":"","parse-names":false,"suffix":""},{"dropping-particle":"","family":"Saria","given":"Suchi","non-dropping-particle":"","parse-names":false,"suffix":""}],"container-title":"Proceedings of the 1st Machine Learning for Healthcare","editor":[{"dropping-particle":"","family":"Doshi-Velez","given":"Finale","non-dropping-particle":"","parse-names":false,"suffix":""},{"dropping-particle":"","family":"Fackler","given":"Jim","non-dropping-particle":"","parse-names":false,"suffix":""},{"dropping-particle":"","family":"Kale","given":"David","non-dropping-particle":"","parse-names":false,"suffix":""},{"dropping-particle":"","family":"Wallace","given":"Byron","non-dropping-particle":"","parse-names":false,"suffix":""},{"dropping-particle":"","family":"Wiens","given":"Jenna","non-dropping-particle":"","parse-names":false,"suffix":""}],"id":"ITEM-1","issued":{"date-parts":[["2016","12","10"]]},"page":"282-300","publisher":"PMLR","title":"A Bayesian Nonparametric Approach for Estimating Individualized Treatment-Response Curves","type":"paper-conference"},"uris":["http://www.mendeley.com/documents/?uuid=2c4096bd-da51-4548-a129-fac3b6b32f16"]}],"mendeley":{"formattedCitation":"(Xu et al., 2016)","plainTextFormattedCitation":"(Xu et al., 2016)","previouslyFormattedCitation":"(24)"},"properties":{"noteIndex":0},"schema":"https://github.com/citation-style-language/schema/raw/master/csl-citation.json"}</w:instrText>
      </w:r>
      <w:r w:rsidRPr="00D541E6">
        <w:rPr>
          <w:rFonts w:ascii="Calibri" w:hAnsi="Calibri" w:cs="Calibri"/>
          <w:color w:val="000000" w:themeColor="text1"/>
        </w:rPr>
        <w:fldChar w:fldCharType="separate"/>
      </w:r>
      <w:r w:rsidR="009B218D" w:rsidRPr="00D541E6">
        <w:rPr>
          <w:rFonts w:ascii="Calibri" w:hAnsi="Calibri" w:cs="Calibri"/>
          <w:noProof/>
          <w:color w:val="000000" w:themeColor="text1"/>
        </w:rPr>
        <w:t>(Xu et al., 2016)</w:t>
      </w:r>
      <w:r w:rsidRPr="00D541E6">
        <w:rPr>
          <w:rFonts w:ascii="Calibri" w:hAnsi="Calibri" w:cs="Calibri"/>
          <w:color w:val="000000" w:themeColor="text1"/>
        </w:rPr>
        <w:fldChar w:fldCharType="end"/>
      </w:r>
      <w:r w:rsidRPr="00D541E6">
        <w:rPr>
          <w:rFonts w:ascii="Calibri" w:hAnsi="Calibri" w:cs="Calibri"/>
          <w:color w:val="000000" w:themeColor="text1"/>
        </w:rPr>
        <w:t>, this model did not overcome two limitations mentioned above.</w:t>
      </w:r>
    </w:p>
    <w:p w14:paraId="77B797FD" w14:textId="47A54B9A"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bCs/>
          <w:color w:val="000000" w:themeColor="text1"/>
        </w:rPr>
        <w:t>Schulam</w:t>
      </w:r>
      <w:r w:rsidRPr="00D541E6">
        <w:rPr>
          <w:rFonts w:ascii="Calibri" w:hAnsi="Calibri" w:cs="Calibri"/>
          <w:bCs/>
          <w:i/>
          <w:color w:val="000000" w:themeColor="text1"/>
        </w:rPr>
        <w:t xml:space="preserve"> </w:t>
      </w:r>
      <w:r w:rsidRPr="00D541E6">
        <w:rPr>
          <w:rFonts w:ascii="Calibri" w:hAnsi="Calibri" w:cs="Calibri"/>
          <w:bCs/>
          <w:color w:val="000000" w:themeColor="text1"/>
        </w:rPr>
        <w:t xml:space="preserve">and Saria </w:t>
      </w:r>
      <w:r w:rsidRPr="00D541E6">
        <w:rPr>
          <w:rFonts w:ascii="Calibri" w:hAnsi="Calibri" w:cs="Calibri"/>
          <w:bCs/>
          <w:color w:val="000000" w:themeColor="text1"/>
        </w:rPr>
        <w:fldChar w:fldCharType="begin" w:fldLock="1"/>
      </w:r>
      <w:r w:rsidR="009B218D" w:rsidRPr="00D541E6">
        <w:rPr>
          <w:rFonts w:ascii="Calibri" w:hAnsi="Calibri" w:cs="Calibri"/>
          <w:bCs/>
          <w:color w:val="000000" w:themeColor="text1"/>
        </w:rPr>
        <w:instrText>ADDIN CSL_CITATION {"citationItems":[{"id":"ITEM-1","itemData":{"author":[{"dropping-particle":"","family":"Schulam","given":"Peter","non-dropping-particle":"","parse-names":false,"suffix":""},{"dropping-particle":"","family":"Saria","given":"Suchi","non-dropping-particle":"","parse-names":false,"suffix":""}],"container-title":"Advances in Neural Information Processing Systems 30 (NIPS 2017)","id":"ITEM-1","issued":{"date-parts":[["2017"]]},"page":"1697-1708","title":"Reliable Decision Support using Counterfactual Models","type":"paper-conference"},"uris":["http://www.mendeley.com/documents/?uuid=77abbf3a-8412-3779-b23e-c0cd21f6a2fe"]}],"mendeley":{"formattedCitation":"(Schulam &amp; Saria, 2017)","plainTextFormattedCitation":"(Schulam &amp; Saria, 2017)","previouslyFormattedCitation":"(26)"},"properties":{"noteIndex":0},"schema":"https://github.com/citation-style-language/schema/raw/master/csl-citation.json"}</w:instrText>
      </w:r>
      <w:r w:rsidRPr="00D541E6">
        <w:rPr>
          <w:rFonts w:ascii="Calibri" w:hAnsi="Calibri" w:cs="Calibri"/>
          <w:bCs/>
          <w:color w:val="000000" w:themeColor="text1"/>
        </w:rPr>
        <w:fldChar w:fldCharType="separate"/>
      </w:r>
      <w:r w:rsidR="009B218D" w:rsidRPr="00D541E6">
        <w:rPr>
          <w:rFonts w:ascii="Calibri" w:hAnsi="Calibri" w:cs="Calibri"/>
          <w:bCs/>
          <w:noProof/>
          <w:color w:val="000000" w:themeColor="text1"/>
        </w:rPr>
        <w:t>(Schulam &amp; Saria, 2017)</w:t>
      </w:r>
      <w:r w:rsidRPr="00D541E6">
        <w:rPr>
          <w:rFonts w:ascii="Calibri" w:hAnsi="Calibri" w:cs="Calibri"/>
          <w:bCs/>
          <w:color w:val="000000" w:themeColor="text1"/>
        </w:rPr>
        <w:fldChar w:fldCharType="end"/>
      </w:r>
      <w:r w:rsidRPr="00D541E6">
        <w:rPr>
          <w:rFonts w:ascii="Calibri" w:hAnsi="Calibri" w:cs="Calibri"/>
          <w:bCs/>
          <w:color w:val="000000" w:themeColor="text1"/>
        </w:rPr>
        <w:t xml:space="preserve"> </w:t>
      </w:r>
      <w:r w:rsidRPr="00D541E6">
        <w:rPr>
          <w:rFonts w:ascii="Calibri" w:hAnsi="Calibri" w:cs="Calibri"/>
          <w:color w:val="000000" w:themeColor="text1"/>
        </w:rPr>
        <w:t xml:space="preserve">considered another continuous-time setting where </w:t>
      </w:r>
      <w:r w:rsidRPr="00D541E6">
        <w:rPr>
          <w:rFonts w:ascii="Calibri" w:hAnsi="Calibri" w:cs="Calibri"/>
          <w:color w:val="000000" w:themeColor="text1"/>
          <w:lang w:eastAsia="zh-CN"/>
        </w:rPr>
        <w:t>both t</w:t>
      </w:r>
      <w:r w:rsidRPr="00D541E6">
        <w:rPr>
          <w:rFonts w:ascii="Calibri" w:hAnsi="Calibri" w:cs="Calibri"/>
          <w:color w:val="000000" w:themeColor="text1"/>
        </w:rPr>
        <w:t xml:space="preserve">ype and timing of actions may be dependent on the preceding outcome, and one needs to </w:t>
      </w:r>
      <w:r w:rsidRPr="00D541E6">
        <w:rPr>
          <w:rFonts w:ascii="Calibri" w:hAnsi="Calibri" w:cs="Calibri"/>
          <w:color w:val="000000" w:themeColor="text1"/>
          <w:lang w:eastAsia="zh-CN"/>
        </w:rPr>
        <w:t>predict how a continuous-time trajectory will progress under sequences of actions.</w:t>
      </w:r>
      <w:r w:rsidRPr="00D541E6">
        <w:rPr>
          <w:rFonts w:ascii="Calibri" w:hAnsi="Calibri" w:cs="Calibri"/>
          <w:color w:val="000000" w:themeColor="text1"/>
        </w:rPr>
        <w:t xml:space="preserve"> The goal was to model action-outcome traces </w:t>
      </w:r>
      <m:oMath>
        <m:r>
          <w:rPr>
            <w:rFonts w:ascii="Cambria Math" w:hAnsi="Cambria Math" w:cs="Arial"/>
            <w:color w:val="000000" w:themeColor="text1"/>
            <w:lang w:eastAsia="zh-CN"/>
          </w:rPr>
          <m:t>D≡</m:t>
        </m:r>
        <m:sSub>
          <m:sSubPr>
            <m:ctrlPr>
              <w:rPr>
                <w:rFonts w:ascii="Cambria Math" w:hAnsi="Cambria Math" w:cs="Arial"/>
                <w:bCs/>
                <w:i/>
                <w:color w:val="000000" w:themeColor="text1"/>
                <w:lang w:eastAsia="zh-CN"/>
              </w:rPr>
            </m:ctrlPr>
          </m:sSubPr>
          <m:e>
            <m:d>
              <m:dPr>
                <m:begChr m:val="{"/>
                <m:endChr m:val="}"/>
                <m:ctrlPr>
                  <w:rPr>
                    <w:rFonts w:ascii="Cambria Math" w:hAnsi="Cambria Math" w:cs="Arial"/>
                    <w:bCs/>
                    <w:i/>
                    <w:color w:val="000000" w:themeColor="text1"/>
                    <w:lang w:eastAsia="zh-CN"/>
                  </w:rPr>
                </m:ctrlPr>
              </m:dPr>
              <m:e>
                <m:sSub>
                  <m:sSubPr>
                    <m:ctrlPr>
                      <w:rPr>
                        <w:rFonts w:ascii="Cambria Math" w:hAnsi="Cambria Math" w:cs="Arial"/>
                        <w:i/>
                        <w:color w:val="000000" w:themeColor="text1"/>
                        <w:lang w:eastAsia="zh-CN"/>
                      </w:rPr>
                    </m:ctrlPr>
                  </m:sSubPr>
                  <m:e>
                    <m:r>
                      <w:rPr>
                        <w:rFonts w:ascii="Cambria Math" w:hAnsi="Cambria Math" w:cs="Arial"/>
                        <w:color w:val="000000" w:themeColor="text1"/>
                        <w:lang w:eastAsia="zh-CN"/>
                      </w:rPr>
                      <m:t>t</m:t>
                    </m:r>
                  </m:e>
                  <m:sub>
                    <m:r>
                      <w:rPr>
                        <w:rFonts w:ascii="Cambria Math" w:hAnsi="Cambria Math" w:cs="Arial"/>
                        <w:color w:val="000000" w:themeColor="text1"/>
                        <w:lang w:eastAsia="zh-CN"/>
                      </w:rPr>
                      <m:t>ij</m:t>
                    </m:r>
                  </m:sub>
                </m:sSub>
                <m:r>
                  <w:rPr>
                    <w:rFonts w:ascii="Cambria Math" w:hAnsi="Cambria Math" w:cs="Arial"/>
                    <w:color w:val="000000" w:themeColor="text1"/>
                    <w:lang w:eastAsia="zh-CN"/>
                  </w:rPr>
                  <m:t>,</m:t>
                </m:r>
                <m:sSub>
                  <m:sSubPr>
                    <m:ctrlPr>
                      <w:rPr>
                        <w:rFonts w:ascii="Cambria Math" w:hAnsi="Cambria Math" w:cs="Arial"/>
                        <w:i/>
                        <w:color w:val="000000" w:themeColor="text1"/>
                        <w:lang w:eastAsia="zh-CN"/>
                      </w:rPr>
                    </m:ctrlPr>
                  </m:sSubPr>
                  <m:e>
                    <m:r>
                      <w:rPr>
                        <w:rFonts w:ascii="Cambria Math" w:hAnsi="Cambria Math" w:cs="Arial"/>
                        <w:color w:val="000000" w:themeColor="text1"/>
                        <w:lang w:eastAsia="zh-CN"/>
                      </w:rPr>
                      <m:t>Y</m:t>
                    </m:r>
                  </m:e>
                  <m:sub>
                    <m:r>
                      <w:rPr>
                        <w:rFonts w:ascii="Cambria Math" w:hAnsi="Cambria Math" w:cs="Arial"/>
                        <w:color w:val="000000" w:themeColor="text1"/>
                        <w:lang w:eastAsia="zh-CN"/>
                      </w:rPr>
                      <m:t>ij</m:t>
                    </m:r>
                  </m:sub>
                </m:sSub>
                <m:r>
                  <w:rPr>
                    <w:rFonts w:ascii="Cambria Math" w:hAnsi="Cambria Math" w:cs="Arial"/>
                    <w:color w:val="000000" w:themeColor="text1"/>
                    <w:lang w:eastAsia="zh-CN"/>
                  </w:rPr>
                  <m:t>,</m:t>
                </m:r>
                <m:sSub>
                  <m:sSubPr>
                    <m:ctrlPr>
                      <w:rPr>
                        <w:rFonts w:ascii="Cambria Math" w:hAnsi="Cambria Math" w:cs="Arial"/>
                        <w:i/>
                        <w:color w:val="000000" w:themeColor="text1"/>
                        <w:lang w:eastAsia="zh-CN"/>
                      </w:rPr>
                    </m:ctrlPr>
                  </m:sSubPr>
                  <m:e>
                    <m:r>
                      <w:rPr>
                        <w:rFonts w:ascii="Cambria Math" w:hAnsi="Cambria Math" w:cs="Arial"/>
                        <w:color w:val="000000" w:themeColor="text1"/>
                        <w:lang w:eastAsia="zh-CN"/>
                      </w:rPr>
                      <m:t>a</m:t>
                    </m:r>
                  </m:e>
                  <m:sub>
                    <m:r>
                      <w:rPr>
                        <w:rFonts w:ascii="Cambria Math" w:hAnsi="Cambria Math" w:cs="Arial"/>
                        <w:color w:val="000000" w:themeColor="text1"/>
                        <w:lang w:eastAsia="zh-CN"/>
                      </w:rPr>
                      <m:t>ij</m:t>
                    </m:r>
                  </m:sub>
                </m:sSub>
              </m:e>
            </m:d>
          </m:e>
          <m:sub>
            <m:r>
              <w:rPr>
                <w:rFonts w:ascii="Cambria Math" w:hAnsi="Cambria Math" w:cs="Arial"/>
                <w:color w:val="000000" w:themeColor="text1"/>
                <w:lang w:eastAsia="zh-CN"/>
              </w:rPr>
              <m:t>i, j</m:t>
            </m:r>
          </m:sub>
        </m:sSub>
      </m:oMath>
      <w:r w:rsidRPr="00D541E6">
        <w:rPr>
          <w:rFonts w:ascii="Calibri" w:hAnsi="Calibri" w:cs="Calibri"/>
          <w:bCs/>
          <w:color w:val="000000" w:themeColor="text1"/>
          <w:lang w:eastAsia="zh-CN"/>
        </w:rPr>
        <w:t xml:space="preserve">for individual </w:t>
      </w:r>
      <m:oMath>
        <m:r>
          <w:rPr>
            <w:rFonts w:ascii="Cambria Math" w:hAnsi="Cambria Math" w:cs="Arial"/>
            <w:color w:val="000000" w:themeColor="text1"/>
            <w:lang w:eastAsia="zh-CN"/>
          </w:rPr>
          <m:t>i</m:t>
        </m:r>
      </m:oMath>
      <w:r w:rsidRPr="00D541E6">
        <w:rPr>
          <w:rFonts w:ascii="Calibri" w:hAnsi="Calibri" w:cs="Calibri"/>
          <w:color w:val="000000" w:themeColor="text1"/>
          <w:lang w:eastAsia="zh-CN"/>
        </w:rPr>
        <w:t xml:space="preserve"> with irregularly sampled sequences of actions and outcomes</w:t>
      </w:r>
      <w:r w:rsidRPr="00D541E6">
        <w:rPr>
          <w:rFonts w:ascii="Calibri" w:hAnsi="Calibri" w:cs="Calibri"/>
          <w:bCs/>
          <w:color w:val="000000" w:themeColor="text1"/>
          <w:lang w:eastAsia="zh-CN"/>
        </w:rPr>
        <w:t xml:space="preserve">. </w:t>
      </w:r>
      <w:r w:rsidRPr="00D541E6">
        <w:rPr>
          <w:rFonts w:ascii="Calibri" w:hAnsi="Calibri" w:cs="Calibri"/>
          <w:bCs/>
          <w:color w:val="000000" w:themeColor="text1"/>
        </w:rPr>
        <w:t>Schulam</w:t>
      </w:r>
      <w:r w:rsidRPr="00D541E6">
        <w:rPr>
          <w:rFonts w:ascii="Calibri" w:hAnsi="Calibri" w:cs="Calibri"/>
          <w:bCs/>
          <w:i/>
          <w:color w:val="000000" w:themeColor="text1"/>
        </w:rPr>
        <w:t xml:space="preserve"> </w:t>
      </w:r>
      <w:r w:rsidRPr="00D541E6">
        <w:rPr>
          <w:rFonts w:ascii="Calibri" w:hAnsi="Calibri" w:cs="Calibri"/>
          <w:bCs/>
          <w:color w:val="000000" w:themeColor="text1"/>
        </w:rPr>
        <w:t xml:space="preserve">and Saria </w:t>
      </w:r>
      <w:r w:rsidRPr="00D541E6">
        <w:rPr>
          <w:rFonts w:ascii="Calibri" w:hAnsi="Calibri" w:cs="Calibri"/>
          <w:bCs/>
          <w:color w:val="000000" w:themeColor="text1"/>
        </w:rPr>
        <w:fldChar w:fldCharType="begin" w:fldLock="1"/>
      </w:r>
      <w:r w:rsidR="009B218D" w:rsidRPr="00D541E6">
        <w:rPr>
          <w:rFonts w:ascii="Calibri" w:hAnsi="Calibri" w:cs="Calibri"/>
          <w:bCs/>
          <w:color w:val="000000" w:themeColor="text1"/>
        </w:rPr>
        <w:instrText>ADDIN CSL_CITATION {"citationItems":[{"id":"ITEM-1","itemData":{"author":[{"dropping-particle":"","family":"Schulam","given":"Peter","non-dropping-particle":"","parse-names":false,"suffix":""},{"dropping-particle":"","family":"Saria","given":"Suchi","non-dropping-particle":"","parse-names":false,"suffix":""}],"container-title":"Advances in Neural Information Processing Systems 30 (NIPS 2017)","id":"ITEM-1","issued":{"date-parts":[["2017"]]},"page":"1697-1708","title":"Reliable Decision Support using Counterfactual Models","type":"paper-conference"},"uris":["http://www.mendeley.com/documents/?uuid=77abbf3a-8412-3779-b23e-c0cd21f6a2fe"]}],"mendeley":{"formattedCitation":"(Schulam &amp; Saria, 2017)","plainTextFormattedCitation":"(Schulam &amp; Saria, 2017)","previouslyFormattedCitation":"(26)"},"properties":{"noteIndex":0},"schema":"https://github.com/citation-style-language/schema/raw/master/csl-citation.json"}</w:instrText>
      </w:r>
      <w:r w:rsidRPr="00D541E6">
        <w:rPr>
          <w:rFonts w:ascii="Calibri" w:hAnsi="Calibri" w:cs="Calibri"/>
          <w:bCs/>
          <w:color w:val="000000" w:themeColor="text1"/>
        </w:rPr>
        <w:fldChar w:fldCharType="separate"/>
      </w:r>
      <w:r w:rsidR="009B218D" w:rsidRPr="00D541E6">
        <w:rPr>
          <w:rFonts w:ascii="Calibri" w:hAnsi="Calibri" w:cs="Calibri"/>
          <w:bCs/>
          <w:noProof/>
          <w:color w:val="000000" w:themeColor="text1"/>
        </w:rPr>
        <w:t>(Schulam &amp; Saria, 2017)</w:t>
      </w:r>
      <w:r w:rsidRPr="00D541E6">
        <w:rPr>
          <w:rFonts w:ascii="Calibri" w:hAnsi="Calibri" w:cs="Calibri"/>
          <w:bCs/>
          <w:color w:val="000000" w:themeColor="text1"/>
        </w:rPr>
        <w:fldChar w:fldCharType="end"/>
      </w:r>
      <w:r w:rsidRPr="00D541E6">
        <w:rPr>
          <w:rFonts w:ascii="Calibri" w:hAnsi="Calibri" w:cs="Calibri"/>
          <w:bCs/>
          <w:color w:val="000000" w:themeColor="text1"/>
        </w:rPr>
        <w:t xml:space="preserve"> p</w:t>
      </w:r>
      <w:r w:rsidRPr="00D541E6">
        <w:rPr>
          <w:rFonts w:ascii="Calibri" w:hAnsi="Calibri" w:cs="Calibri"/>
          <w:color w:val="000000" w:themeColor="text1"/>
        </w:rPr>
        <w:t xml:space="preserve">roposed a Counterfactual Gaussian process (CGP) model to model the trajectory and  derived an adjusted maximum likelihood objective that learned the CGP from observational traces. The objective was derived by jointly </w:t>
      </w:r>
      <w:proofErr w:type="spellStart"/>
      <w:r w:rsidRPr="00D541E6">
        <w:rPr>
          <w:rFonts w:ascii="Calibri" w:hAnsi="Calibri" w:cs="Calibri"/>
          <w:color w:val="000000" w:themeColor="text1"/>
        </w:rPr>
        <w:t>modeling</w:t>
      </w:r>
      <w:proofErr w:type="spellEnd"/>
      <w:r w:rsidRPr="00D541E6">
        <w:rPr>
          <w:rFonts w:ascii="Calibri" w:hAnsi="Calibri" w:cs="Calibri"/>
          <w:color w:val="000000" w:themeColor="text1"/>
        </w:rPr>
        <w:t xml:space="preserve"> observed actions and outcomes using a marked point process </w:t>
      </w:r>
      <w:r w:rsidRPr="00D541E6">
        <w:rPr>
          <w:rFonts w:ascii="Calibri" w:hAnsi="Calibri" w:cs="Calibri"/>
          <w:bCs/>
          <w:color w:val="000000" w:themeColor="text1"/>
          <w:lang w:eastAsia="zh-CN"/>
        </w:rPr>
        <w:t xml:space="preserve">(MPP), with </w:t>
      </w:r>
      <w:r w:rsidRPr="00D541E6">
        <w:rPr>
          <w:rFonts w:ascii="Calibri" w:hAnsi="Calibri" w:cs="Calibri"/>
          <w:color w:val="000000" w:themeColor="text1"/>
        </w:rPr>
        <w:t>MPP intensity as a product of three models</w:t>
      </w:r>
    </w:p>
    <w:p w14:paraId="594ECACE" w14:textId="77777777" w:rsidR="00D26A9D" w:rsidRPr="00D541E6" w:rsidRDefault="008A73B3" w:rsidP="00D26A9D">
      <w:pPr>
        <w:autoSpaceDE w:val="0"/>
        <w:autoSpaceDN w:val="0"/>
        <w:adjustRightInd w:val="0"/>
        <w:spacing w:after="240" w:line="276" w:lineRule="auto"/>
        <w:rPr>
          <w:rFonts w:asciiTheme="majorHAnsi" w:hAnsiTheme="majorHAnsi" w:cs="Arial"/>
          <w:bCs/>
          <w:color w:val="000000" w:themeColor="text1"/>
        </w:rPr>
      </w:pPr>
      <m:oMathPara>
        <m:oMath>
          <m:sSup>
            <m:sSupPr>
              <m:ctrlPr>
                <w:rPr>
                  <w:rFonts w:ascii="Cambria Math" w:hAnsi="Cambria Math" w:cs="Arial"/>
                  <w:bCs/>
                  <w:i/>
                  <w:color w:val="000000" w:themeColor="text1"/>
                  <w:lang w:eastAsia="zh-CN"/>
                </w:rPr>
              </m:ctrlPr>
            </m:sSupPr>
            <m:e>
              <m:r>
                <w:rPr>
                  <w:rFonts w:ascii="Cambria Math" w:hAnsi="Cambria Math" w:cs="Arial"/>
                  <w:color w:val="000000" w:themeColor="text1"/>
                  <w:lang w:eastAsia="zh-CN"/>
                </w:rPr>
                <m:t>λ</m:t>
              </m:r>
            </m:e>
            <m:sup>
              <m:r>
                <w:rPr>
                  <w:rFonts w:ascii="Cambria Math" w:hAnsi="Cambria Math" w:cs="Arial"/>
                  <w:color w:val="000000" w:themeColor="text1"/>
                  <w:lang w:eastAsia="zh-CN"/>
                </w:rPr>
                <m:t>*</m:t>
              </m:r>
            </m:sup>
          </m:sSup>
          <m:d>
            <m:dPr>
              <m:ctrlPr>
                <w:rPr>
                  <w:rFonts w:ascii="Cambria Math" w:hAnsi="Cambria Math" w:cs="Arial"/>
                  <w:bCs/>
                  <w:i/>
                  <w:color w:val="000000" w:themeColor="text1"/>
                  <w:lang w:eastAsia="zh-CN"/>
                </w:rPr>
              </m:ctrlPr>
            </m:dPr>
            <m:e>
              <m:r>
                <w:rPr>
                  <w:rFonts w:ascii="Cambria Math" w:hAnsi="Cambria Math" w:cs="Arial"/>
                  <w:color w:val="000000" w:themeColor="text1"/>
                  <w:lang w:eastAsia="zh-CN"/>
                </w:rPr>
                <m:t>t,Y,a,</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Y</m:t>
                  </m:r>
                </m:sub>
              </m:sSub>
              <m:r>
                <w:rPr>
                  <w:rFonts w:ascii="Cambria Math" w:hAnsi="Cambria Math" w:cs="Arial"/>
                  <w:color w:val="000000" w:themeColor="text1"/>
                  <w:lang w:eastAsia="zh-CN"/>
                </w:rPr>
                <m: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a</m:t>
                  </m:r>
                </m:sub>
              </m:sSub>
            </m:e>
          </m:d>
          <m:r>
            <w:rPr>
              <w:rFonts w:ascii="Cambria Math" w:hAnsi="Cambria Math" w:cs="Arial"/>
              <w:color w:val="000000" w:themeColor="text1"/>
              <w:lang w:eastAsia="zh-CN"/>
            </w:rPr>
            <m:t>=</m:t>
          </m:r>
          <m:limLow>
            <m:limLowPr>
              <m:ctrlPr>
                <w:rPr>
                  <w:rFonts w:ascii="Cambria Math" w:hAnsi="Cambria Math" w:cs="Arial"/>
                  <w:bCs/>
                  <w:i/>
                  <w:color w:val="000000" w:themeColor="text1"/>
                  <w:lang w:eastAsia="zh-CN"/>
                </w:rPr>
              </m:ctrlPr>
            </m:limLowPr>
            <m:e>
              <m:groupChr>
                <m:groupChrPr>
                  <m:ctrlPr>
                    <w:rPr>
                      <w:rFonts w:ascii="Cambria Math" w:hAnsi="Cambria Math" w:cs="Arial"/>
                      <w:bCs/>
                      <w:i/>
                      <w:color w:val="000000" w:themeColor="text1"/>
                      <w:lang w:eastAsia="zh-CN"/>
                    </w:rPr>
                  </m:ctrlPr>
                </m:groupChrPr>
                <m:e>
                  <m:sSup>
                    <m:sSupPr>
                      <m:ctrlPr>
                        <w:rPr>
                          <w:rFonts w:ascii="Cambria Math" w:hAnsi="Cambria Math" w:cs="Arial"/>
                          <w:bCs/>
                          <w:i/>
                          <w:color w:val="000000" w:themeColor="text1"/>
                          <w:lang w:eastAsia="zh-CN"/>
                        </w:rPr>
                      </m:ctrlPr>
                    </m:sSupPr>
                    <m:e>
                      <m:r>
                        <w:rPr>
                          <w:rFonts w:ascii="Cambria Math" w:hAnsi="Cambria Math" w:cs="Arial"/>
                          <w:color w:val="000000" w:themeColor="text1"/>
                          <w:lang w:eastAsia="zh-CN"/>
                        </w:rPr>
                        <m:t>λ</m:t>
                      </m:r>
                    </m:e>
                    <m:sup>
                      <m:r>
                        <w:rPr>
                          <w:rFonts w:ascii="Cambria Math" w:hAnsi="Cambria Math" w:cs="Arial"/>
                          <w:color w:val="000000" w:themeColor="text1"/>
                          <w:lang w:eastAsia="zh-CN"/>
                        </w:rPr>
                        <m:t>*</m:t>
                      </m:r>
                    </m:sup>
                  </m:sSup>
                  <m:d>
                    <m:dPr>
                      <m:ctrlPr>
                        <w:rPr>
                          <w:rFonts w:ascii="Cambria Math" w:hAnsi="Cambria Math" w:cs="Arial"/>
                          <w:bCs/>
                          <w:i/>
                          <w:color w:val="000000" w:themeColor="text1"/>
                          <w:lang w:eastAsia="zh-CN"/>
                        </w:rPr>
                      </m:ctrlPr>
                    </m:dPr>
                    <m:e>
                      <m:r>
                        <w:rPr>
                          <w:rFonts w:ascii="Cambria Math" w:hAnsi="Cambria Math" w:cs="Arial"/>
                          <w:color w:val="000000" w:themeColor="text1"/>
                          <w:lang w:eastAsia="zh-CN"/>
                        </w:rPr>
                        <m:t>t</m:t>
                      </m:r>
                    </m:e>
                  </m:d>
                  <m:sSup>
                    <m:sSupPr>
                      <m:ctrlPr>
                        <w:rPr>
                          <w:rFonts w:ascii="Cambria Math" w:hAnsi="Cambria Math" w:cs="Arial"/>
                          <w:bCs/>
                          <w:i/>
                          <w:color w:val="000000" w:themeColor="text1"/>
                          <w:lang w:eastAsia="zh-CN"/>
                        </w:rPr>
                      </m:ctrlPr>
                    </m:sSupPr>
                    <m:e>
                      <m:r>
                        <w:rPr>
                          <w:rFonts w:ascii="Cambria Math" w:hAnsi="Cambria Math" w:cs="Arial"/>
                          <w:color w:val="000000" w:themeColor="text1"/>
                          <w:lang w:eastAsia="zh-CN"/>
                        </w:rPr>
                        <m:t>p</m:t>
                      </m:r>
                    </m:e>
                    <m:sup>
                      <m:r>
                        <w:rPr>
                          <w:rFonts w:ascii="Cambria Math" w:hAnsi="Cambria Math" w:cs="Arial"/>
                          <w:color w:val="000000" w:themeColor="text1"/>
                          <w:lang w:eastAsia="zh-CN"/>
                        </w:rPr>
                        <m:t>*</m:t>
                      </m:r>
                    </m:sup>
                  </m:sSup>
                  <m:d>
                    <m:dPr>
                      <m:ctrlPr>
                        <w:rPr>
                          <w:rFonts w:ascii="Cambria Math" w:hAnsi="Cambria Math" w:cs="Arial"/>
                          <w:bCs/>
                          <w:i/>
                          <w:color w:val="000000" w:themeColor="text1"/>
                          <w:lang w:eastAsia="zh-CN"/>
                        </w:rPr>
                      </m:ctrlPr>
                    </m:dPr>
                    <m:e>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Y</m:t>
                          </m:r>
                        </m:sub>
                      </m:sSub>
                      <m:r>
                        <w:rPr>
                          <w:rFonts w:ascii="Cambria Math" w:hAnsi="Cambria Math" w:cs="Arial"/>
                          <w:color w:val="000000" w:themeColor="text1"/>
                          <w:lang w:eastAsia="zh-CN"/>
                        </w:rPr>
                        <m:t xml:space="preserve">, </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a</m:t>
                          </m:r>
                        </m:sub>
                      </m:sSub>
                    </m:e>
                    <m:e>
                      <m:r>
                        <w:rPr>
                          <w:rFonts w:ascii="Cambria Math" w:hAnsi="Cambria Math" w:cs="Arial"/>
                          <w:color w:val="000000" w:themeColor="text1"/>
                          <w:lang w:eastAsia="zh-CN"/>
                        </w:rPr>
                        <m:t>t</m:t>
                      </m:r>
                    </m:e>
                  </m:d>
                </m:e>
              </m:groupChr>
            </m:e>
            <m:lim>
              <m:r>
                <m:rPr>
                  <m:nor/>
                </m:rPr>
                <w:rPr>
                  <w:rFonts w:ascii="Cambria Math" w:hAnsi="Cambria Math" w:cs="Arial"/>
                  <w:bCs/>
                  <w:color w:val="000000" w:themeColor="text1"/>
                  <w:lang w:eastAsia="zh-CN"/>
                </w:rPr>
                <m:t>Event model</m:t>
              </m:r>
            </m:lim>
          </m:limLow>
          <m:limLow>
            <m:limLowPr>
              <m:ctrlPr>
                <w:rPr>
                  <w:rFonts w:ascii="Cambria Math" w:hAnsi="Cambria Math" w:cs="Arial"/>
                  <w:bCs/>
                  <w:i/>
                  <w:color w:val="000000" w:themeColor="text1"/>
                  <w:lang w:eastAsia="zh-CN"/>
                </w:rPr>
              </m:ctrlPr>
            </m:limLowPr>
            <m:e>
              <m:groupChr>
                <m:groupChrPr>
                  <m:ctrlPr>
                    <w:rPr>
                      <w:rFonts w:ascii="Cambria Math" w:hAnsi="Cambria Math" w:cs="Arial"/>
                      <w:bCs/>
                      <w:i/>
                      <w:color w:val="000000" w:themeColor="text1"/>
                      <w:lang w:eastAsia="zh-CN"/>
                    </w:rPr>
                  </m:ctrlPr>
                </m:groupChrPr>
                <m:e>
                  <m:sSup>
                    <m:sSupPr>
                      <m:ctrlPr>
                        <w:rPr>
                          <w:rFonts w:ascii="Cambria Math" w:hAnsi="Cambria Math" w:cs="Arial"/>
                          <w:bCs/>
                          <w:i/>
                          <w:color w:val="000000" w:themeColor="text1"/>
                          <w:lang w:eastAsia="zh-CN"/>
                        </w:rPr>
                      </m:ctrlPr>
                    </m:sSupPr>
                    <m:e>
                      <m:r>
                        <w:rPr>
                          <w:rFonts w:ascii="Cambria Math" w:hAnsi="Cambria Math" w:cs="Arial"/>
                          <w:color w:val="000000" w:themeColor="text1"/>
                          <w:lang w:eastAsia="zh-CN"/>
                        </w:rPr>
                        <m:t>p</m:t>
                      </m:r>
                    </m:e>
                    <m:sup>
                      <m:r>
                        <w:rPr>
                          <w:rFonts w:ascii="Cambria Math" w:hAnsi="Cambria Math" w:cs="Arial"/>
                          <w:color w:val="000000" w:themeColor="text1"/>
                          <w:lang w:eastAsia="zh-CN"/>
                        </w:rPr>
                        <m:t>*</m:t>
                      </m:r>
                    </m:sup>
                  </m:sSup>
                  <m:d>
                    <m:dPr>
                      <m:ctrlPr>
                        <w:rPr>
                          <w:rFonts w:ascii="Cambria Math" w:hAnsi="Cambria Math" w:cs="Arial"/>
                          <w:bCs/>
                          <w:i/>
                          <w:color w:val="000000" w:themeColor="text1"/>
                          <w:lang w:eastAsia="zh-CN"/>
                        </w:rPr>
                      </m:ctrlPr>
                    </m:dPr>
                    <m:e>
                      <m:r>
                        <w:rPr>
                          <w:rFonts w:ascii="Cambria Math" w:hAnsi="Cambria Math" w:cs="Arial"/>
                          <w:color w:val="000000" w:themeColor="text1"/>
                          <w:lang w:eastAsia="zh-CN"/>
                        </w:rPr>
                        <m:t>Y|t,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Y</m:t>
                          </m:r>
                        </m:sub>
                      </m:sSub>
                    </m:e>
                  </m:d>
                </m:e>
              </m:groupChr>
            </m:e>
            <m:lim>
              <m:r>
                <m:rPr>
                  <m:nor/>
                </m:rPr>
                <w:rPr>
                  <w:rFonts w:ascii="Cambria Math" w:hAnsi="Cambria Math" w:cs="Arial"/>
                  <w:bCs/>
                  <w:color w:val="000000" w:themeColor="text1"/>
                  <w:lang w:eastAsia="zh-CN"/>
                </w:rPr>
                <m:t>Outcome model (GP)</m:t>
              </m:r>
            </m:lim>
          </m:limLow>
          <m:limLow>
            <m:limLowPr>
              <m:ctrlPr>
                <w:rPr>
                  <w:rFonts w:ascii="Cambria Math" w:hAnsi="Cambria Math" w:cs="Arial"/>
                  <w:bCs/>
                  <w:i/>
                  <w:color w:val="000000" w:themeColor="text1"/>
                  <w:lang w:eastAsia="zh-CN"/>
                </w:rPr>
              </m:ctrlPr>
            </m:limLowPr>
            <m:e>
              <m:groupChr>
                <m:groupChrPr>
                  <m:ctrlPr>
                    <w:rPr>
                      <w:rFonts w:ascii="Cambria Math" w:hAnsi="Cambria Math" w:cs="Arial"/>
                      <w:bCs/>
                      <w:i/>
                      <w:color w:val="000000" w:themeColor="text1"/>
                      <w:lang w:eastAsia="zh-CN"/>
                    </w:rPr>
                  </m:ctrlPr>
                </m:groupChrPr>
                <m:e>
                  <m:sSup>
                    <m:sSupPr>
                      <m:ctrlPr>
                        <w:rPr>
                          <w:rFonts w:ascii="Cambria Math" w:hAnsi="Cambria Math" w:cs="Arial"/>
                          <w:bCs/>
                          <w:i/>
                          <w:color w:val="000000" w:themeColor="text1"/>
                          <w:lang w:eastAsia="zh-CN"/>
                        </w:rPr>
                      </m:ctrlPr>
                    </m:sSupPr>
                    <m:e>
                      <m:r>
                        <w:rPr>
                          <w:rFonts w:ascii="Cambria Math" w:hAnsi="Cambria Math" w:cs="Arial"/>
                          <w:color w:val="000000" w:themeColor="text1"/>
                          <w:lang w:eastAsia="zh-CN"/>
                        </w:rPr>
                        <m:t>p</m:t>
                      </m:r>
                    </m:e>
                    <m:sup>
                      <m:r>
                        <w:rPr>
                          <w:rFonts w:ascii="Cambria Math" w:hAnsi="Cambria Math" w:cs="Arial"/>
                          <w:color w:val="000000" w:themeColor="text1"/>
                          <w:lang w:eastAsia="zh-CN"/>
                        </w:rPr>
                        <m:t>*</m:t>
                      </m:r>
                    </m:sup>
                  </m:sSup>
                  <m:d>
                    <m:dPr>
                      <m:ctrlPr>
                        <w:rPr>
                          <w:rFonts w:ascii="Cambria Math" w:hAnsi="Cambria Math" w:cs="Arial"/>
                          <w:bCs/>
                          <w:i/>
                          <w:color w:val="000000" w:themeColor="text1"/>
                          <w:lang w:eastAsia="zh-CN"/>
                        </w:rPr>
                      </m:ctrlPr>
                    </m:dPr>
                    <m:e>
                      <m:r>
                        <w:rPr>
                          <w:rFonts w:ascii="Cambria Math" w:hAnsi="Cambria Math" w:cs="Arial"/>
                          <w:color w:val="000000" w:themeColor="text1"/>
                          <w:lang w:eastAsia="zh-CN"/>
                        </w:rPr>
                        <m:t>a|Y, t,</m:t>
                      </m:r>
                      <m:sSub>
                        <m:sSubPr>
                          <m:ctrlPr>
                            <w:rPr>
                              <w:rFonts w:ascii="Cambria Math" w:hAnsi="Cambria Math" w:cs="Arial"/>
                              <w:bCs/>
                              <w:i/>
                              <w:color w:val="000000" w:themeColor="text1"/>
                              <w:lang w:eastAsia="zh-CN"/>
                            </w:rPr>
                          </m:ctrlPr>
                        </m:sSubPr>
                        <m:e>
                          <m:r>
                            <w:rPr>
                              <w:rFonts w:ascii="Cambria Math" w:hAnsi="Cambria Math" w:cs="Arial"/>
                              <w:color w:val="000000" w:themeColor="text1"/>
                              <w:lang w:eastAsia="zh-CN"/>
                            </w:rPr>
                            <m:t>z</m:t>
                          </m:r>
                        </m:e>
                        <m:sub>
                          <m:r>
                            <w:rPr>
                              <w:rFonts w:ascii="Cambria Math" w:hAnsi="Cambria Math" w:cs="Arial"/>
                              <w:color w:val="000000" w:themeColor="text1"/>
                              <w:lang w:eastAsia="zh-CN"/>
                            </w:rPr>
                            <m:t>a</m:t>
                          </m:r>
                        </m:sub>
                      </m:sSub>
                    </m:e>
                  </m:d>
                </m:e>
              </m:groupChr>
            </m:e>
            <m:lim>
              <m:r>
                <m:rPr>
                  <m:nor/>
                </m:rPr>
                <w:rPr>
                  <w:rFonts w:ascii="Cambria Math" w:hAnsi="Cambria Math" w:cs="Arial"/>
                  <w:bCs/>
                  <w:color w:val="000000" w:themeColor="text1"/>
                  <w:lang w:eastAsia="zh-CN"/>
                </w:rPr>
                <m:t>Action model</m:t>
              </m:r>
            </m:lim>
          </m:limLow>
          <m:r>
            <w:rPr>
              <w:rFonts w:ascii="Cambria Math" w:hAnsi="Cambria Math" w:cs="Arial"/>
              <w:color w:val="000000" w:themeColor="text1"/>
              <w:lang w:eastAsia="zh-CN"/>
            </w:rPr>
            <m:t xml:space="preserve">, </m:t>
          </m:r>
        </m:oMath>
      </m:oMathPara>
    </w:p>
    <w:p w14:paraId="3EC73174" w14:textId="77777777"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where the </w:t>
      </w:r>
      <w:r w:rsidRPr="00D541E6">
        <w:rPr>
          <w:rFonts w:ascii="Monaco" w:hAnsi="Monaco" w:cs="Monaco"/>
          <w:bCs/>
          <w:i/>
          <w:color w:val="000000" w:themeColor="text1"/>
        </w:rPr>
        <w:t>∗</w:t>
      </w:r>
      <w:r w:rsidRPr="00D541E6">
        <w:rPr>
          <w:rFonts w:ascii="Calibri" w:hAnsi="Calibri" w:cs="Calibri"/>
          <w:color w:val="000000" w:themeColor="text1"/>
        </w:rPr>
        <w:t xml:space="preserve"> superscript indicates that the above hazard function and densities are implicitly conditioned on the history of previous observations of the process and all previous actions. Note here that </w:t>
      </w:r>
      <m:oMath>
        <m:r>
          <w:rPr>
            <w:rFonts w:ascii="Cambria Math" w:hAnsi="Cambria Math" w:cs="Arial"/>
            <w:color w:val="000000" w:themeColor="text1"/>
            <w:lang w:eastAsia="zh-CN"/>
          </w:rPr>
          <m:t>t</m:t>
        </m:r>
      </m:oMath>
      <w:r w:rsidRPr="00D541E6">
        <w:rPr>
          <w:rFonts w:ascii="Calibri" w:hAnsi="Calibri" w:cs="Calibri"/>
          <w:color w:val="000000" w:themeColor="text1"/>
        </w:rPr>
        <w:t xml:space="preserve"> denoted both action and outcome measurement time, and that binary random variables </w:t>
      </w:r>
      <m:oMath>
        <m:sSub>
          <m:sSubPr>
            <m:ctrlPr>
              <w:rPr>
                <w:rFonts w:ascii="Cambria Math" w:hAnsi="Cambria Math" w:cs="Calibri"/>
                <w:i/>
                <w:color w:val="000000" w:themeColor="text1"/>
              </w:rPr>
            </m:ctrlPr>
          </m:sSubPr>
          <m:e>
            <m:r>
              <w:rPr>
                <w:rFonts w:ascii="Cambria Math" w:hAnsi="Cambria Math" w:cs="Calibri"/>
                <w:color w:val="000000" w:themeColor="text1"/>
              </w:rPr>
              <m:t>z</m:t>
            </m:r>
          </m:e>
          <m:sub>
            <m:r>
              <w:rPr>
                <w:rFonts w:ascii="Cambria Math" w:hAnsi="Cambria Math" w:cs="Arial"/>
                <w:color w:val="000000" w:themeColor="text1"/>
                <w:lang w:eastAsia="zh-CN"/>
              </w:rPr>
              <m:t>Y</m:t>
            </m:r>
          </m:sub>
        </m:sSub>
        <m:r>
          <w:rPr>
            <w:rFonts w:ascii="Cambria Math" w:hAnsi="Cambria Math" w:cs="Calibri"/>
            <w:color w:val="000000" w:themeColor="text1"/>
          </w:rPr>
          <m:t xml:space="preserve">, </m:t>
        </m:r>
        <m:sSub>
          <m:sSubPr>
            <m:ctrlPr>
              <w:rPr>
                <w:rFonts w:ascii="Cambria Math" w:hAnsi="Cambria Math" w:cs="Calibri"/>
                <w:i/>
                <w:color w:val="000000" w:themeColor="text1"/>
              </w:rPr>
            </m:ctrlPr>
          </m:sSubPr>
          <m:e>
            <m:r>
              <w:rPr>
                <w:rFonts w:ascii="Cambria Math" w:hAnsi="Cambria Math" w:cs="Calibri"/>
                <w:color w:val="000000" w:themeColor="text1"/>
              </w:rPr>
              <m:t>z</m:t>
            </m:r>
          </m:e>
          <m:sub>
            <m:r>
              <w:rPr>
                <w:rFonts w:ascii="Cambria Math" w:hAnsi="Cambria Math" w:cs="Calibri"/>
                <w:color w:val="000000" w:themeColor="text1"/>
              </w:rPr>
              <m:t>a</m:t>
            </m:r>
          </m:sub>
        </m:sSub>
        <m:r>
          <w:rPr>
            <w:rFonts w:ascii="Cambria Math" w:hAnsi="Cambria Math" w:cs="Calibri"/>
            <w:color w:val="000000" w:themeColor="text1"/>
          </w:rPr>
          <m:t>∈ {0,1}</m:t>
        </m:r>
      </m:oMath>
      <w:r w:rsidRPr="00D541E6">
        <w:rPr>
          <w:rFonts w:ascii="Calibri" w:hAnsi="Calibri" w:cs="Calibri"/>
          <w:color w:val="000000" w:themeColor="text1"/>
        </w:rPr>
        <w:t xml:space="preserve"> to indicate whether it was the outcome or the action was observed and the unobserved variable was assigned a null value </w:t>
      </w:r>
      <m:oMath>
        <m:r>
          <w:rPr>
            <w:rFonts w:ascii="Cambria Math" w:hAnsi="Cambria Math" w:cs="Calibri"/>
            <w:color w:val="000000" w:themeColor="text1"/>
          </w:rPr>
          <m:t>∅</m:t>
        </m:r>
      </m:oMath>
      <w:r w:rsidRPr="00D541E6">
        <w:rPr>
          <w:rFonts w:ascii="Calibri" w:hAnsi="Calibri" w:cs="Calibri"/>
          <w:color w:val="000000" w:themeColor="text1"/>
        </w:rPr>
        <w:t xml:space="preserve">. The outcome model was parametrised using a Gaussian process (GP), or a hierarchical GP or mixture of GPs to capture the individual heterogeneity, and can be treated as a standard regression model that predicted the trajectory progression given the previous actions and outcome observations. The potential outcome query </w:t>
      </w:r>
      <w:r w:rsidRPr="00D541E6">
        <w:rPr>
          <w:rFonts w:ascii="Calibri" w:hAnsi="Calibri" w:cs="Calibri"/>
          <w:color w:val="000000" w:themeColor="text1"/>
        </w:rPr>
        <w:lastRenderedPageBreak/>
        <w:t xml:space="preserve">can therefore be answered with the posterior predictive trajectory of the outcome model. A key limitation in this model is that it could not model heterogeneous treatment effects arising from baseline variables. </w:t>
      </w:r>
    </w:p>
    <w:p w14:paraId="7AC10933" w14:textId="6EA99CE4" w:rsidR="00D26A9D" w:rsidRPr="00D541E6" w:rsidRDefault="00D26A9D" w:rsidP="00D26A9D">
      <w:pPr>
        <w:autoSpaceDE w:val="0"/>
        <w:autoSpaceDN w:val="0"/>
        <w:adjustRightInd w:val="0"/>
        <w:spacing w:after="240" w:line="276" w:lineRule="auto"/>
        <w:rPr>
          <w:rFonts w:ascii="Calibri" w:hAnsi="Calibri" w:cs="Calibri"/>
          <w:color w:val="000000" w:themeColor="text1"/>
        </w:rPr>
      </w:pPr>
      <w:r w:rsidRPr="00D541E6">
        <w:rPr>
          <w:rFonts w:ascii="Calibri" w:hAnsi="Calibri" w:cs="Calibri"/>
          <w:color w:val="000000" w:themeColor="text1"/>
        </w:rPr>
        <w:t xml:space="preserve">Counterfactual prediction models in this section using g-formula to correct for time-varying confounding are highly flexible and can be adopted for a variety of clinical settings. However, these methods rely on a set of strong assumptions in both discrete-time and continuous-time settings that are generally not testable; for the latter, </w:t>
      </w:r>
      <w:r w:rsidRPr="00D541E6">
        <w:rPr>
          <w:rFonts w:ascii="Calibri" w:hAnsi="Calibri" w:cs="Calibri"/>
          <w:bCs/>
          <w:color w:val="000000" w:themeColor="text1"/>
        </w:rPr>
        <w:t>Schulam</w:t>
      </w:r>
      <w:r w:rsidRPr="00D541E6">
        <w:rPr>
          <w:rFonts w:ascii="Calibri" w:hAnsi="Calibri" w:cs="Calibri"/>
          <w:bCs/>
          <w:i/>
          <w:color w:val="000000" w:themeColor="text1"/>
        </w:rPr>
        <w:t xml:space="preserve"> </w:t>
      </w:r>
      <w:r w:rsidRPr="00D541E6">
        <w:rPr>
          <w:rFonts w:ascii="Calibri" w:hAnsi="Calibri" w:cs="Calibri"/>
          <w:bCs/>
          <w:color w:val="000000" w:themeColor="text1"/>
        </w:rPr>
        <w:t xml:space="preserve">and Saria </w:t>
      </w:r>
      <w:r w:rsidRPr="00D541E6">
        <w:rPr>
          <w:rFonts w:ascii="Calibri" w:hAnsi="Calibri" w:cs="Calibri"/>
          <w:bCs/>
          <w:color w:val="000000" w:themeColor="text1"/>
        </w:rPr>
        <w:fldChar w:fldCharType="begin" w:fldLock="1"/>
      </w:r>
      <w:r w:rsidR="009B218D" w:rsidRPr="00D541E6">
        <w:rPr>
          <w:rFonts w:ascii="Calibri" w:hAnsi="Calibri" w:cs="Calibri"/>
          <w:bCs/>
          <w:color w:val="000000" w:themeColor="text1"/>
        </w:rPr>
        <w:instrText>ADDIN CSL_CITATION {"citationItems":[{"id":"ITEM-1","itemData":{"author":[{"dropping-particle":"","family":"Schulam","given":"Peter","non-dropping-particle":"","parse-names":false,"suffix":""},{"dropping-particle":"","family":"Saria","given":"Suchi","non-dropping-particle":"","parse-names":false,"suffix":""}],"container-title":"Advances in Neural Information Processing Systems 30 (NIPS 2017)","id":"ITEM-1","issued":{"date-parts":[["2017"]]},"page":"1697-1708","title":"Reliable Decision Support using Counterfactual Models","type":"paper-conference"},"uris":["http://www.mendeley.com/documents/?uuid=77abbf3a-8412-3779-b23e-c0cd21f6a2fe"]}],"mendeley":{"formattedCitation":"(Schulam &amp; Saria, 2017)","plainTextFormattedCitation":"(Schulam &amp; Saria, 2017)","previouslyFormattedCitation":"(26)"},"properties":{"noteIndex":0},"schema":"https://github.com/citation-style-language/schema/raw/master/csl-citation.json"}</w:instrText>
      </w:r>
      <w:r w:rsidRPr="00D541E6">
        <w:rPr>
          <w:rFonts w:ascii="Calibri" w:hAnsi="Calibri" w:cs="Calibri"/>
          <w:bCs/>
          <w:color w:val="000000" w:themeColor="text1"/>
        </w:rPr>
        <w:fldChar w:fldCharType="separate"/>
      </w:r>
      <w:r w:rsidR="009B218D" w:rsidRPr="00D541E6">
        <w:rPr>
          <w:rFonts w:ascii="Calibri" w:hAnsi="Calibri" w:cs="Calibri"/>
          <w:bCs/>
          <w:noProof/>
          <w:color w:val="000000" w:themeColor="text1"/>
        </w:rPr>
        <w:t>(Schulam &amp; Saria, 2017)</w:t>
      </w:r>
      <w:r w:rsidRPr="00D541E6">
        <w:rPr>
          <w:rFonts w:ascii="Calibri" w:hAnsi="Calibri" w:cs="Calibri"/>
          <w:bCs/>
          <w:color w:val="000000" w:themeColor="text1"/>
        </w:rPr>
        <w:fldChar w:fldCharType="end"/>
      </w:r>
      <w:r w:rsidRPr="00D541E6">
        <w:rPr>
          <w:rFonts w:ascii="Calibri" w:hAnsi="Calibri" w:cs="Calibri"/>
          <w:bCs/>
          <w:color w:val="000000" w:themeColor="text1"/>
        </w:rPr>
        <w:t xml:space="preserve"> </w:t>
      </w:r>
      <w:r w:rsidRPr="00D541E6">
        <w:rPr>
          <w:rFonts w:ascii="Calibri" w:hAnsi="Calibri" w:cs="Calibri"/>
          <w:color w:val="000000" w:themeColor="text1"/>
        </w:rPr>
        <w:t xml:space="preserve">extended Robin’s </w:t>
      </w:r>
      <w:r w:rsidRPr="00D541E6">
        <w:rPr>
          <w:rFonts w:ascii="Calibri" w:hAnsi="Calibri" w:cs="Calibri"/>
          <w:i/>
          <w:color w:val="000000" w:themeColor="text1"/>
        </w:rPr>
        <w:t>Sequential No Unobserved Confounders</w:t>
      </w:r>
      <w:r w:rsidRPr="00D541E6">
        <w:rPr>
          <w:rFonts w:ascii="Calibri" w:hAnsi="Calibri" w:cs="Calibri"/>
          <w:color w:val="000000" w:themeColor="text1"/>
        </w:rPr>
        <w:t xml:space="preserve"> assumption to continuous-time case and also assumed </w:t>
      </w:r>
      <w:r w:rsidRPr="00D541E6">
        <w:rPr>
          <w:rFonts w:ascii="Calibri" w:hAnsi="Calibri" w:cs="Calibri"/>
          <w:i/>
          <w:color w:val="000000" w:themeColor="text1"/>
        </w:rPr>
        <w:t>Non-informative Measurement Times</w:t>
      </w:r>
      <w:r w:rsidRPr="00D541E6">
        <w:rPr>
          <w:rFonts w:ascii="Calibri" w:hAnsi="Calibri" w:cs="Calibri"/>
          <w:color w:val="000000" w:themeColor="text1"/>
        </w:rPr>
        <w:t xml:space="preserve">. </w:t>
      </w:r>
    </w:p>
    <w:p w14:paraId="3899794D" w14:textId="77777777" w:rsidR="000B577D" w:rsidRDefault="000B577D">
      <w:pPr>
        <w:rPr>
          <w:rFonts w:ascii="Calibri" w:eastAsia="DengXian Light" w:hAnsi="Calibri" w:cs="Times New Roman"/>
          <w:b/>
          <w:color w:val="1F4D78"/>
          <w:sz w:val="26"/>
          <w:szCs w:val="26"/>
        </w:rPr>
      </w:pPr>
      <w:r>
        <w:rPr>
          <w:rFonts w:ascii="Calibri" w:eastAsia="DengXian Light" w:hAnsi="Calibri" w:cs="Times New Roman"/>
          <w:b/>
          <w:color w:val="1F4D78"/>
          <w:sz w:val="26"/>
          <w:szCs w:val="26"/>
        </w:rPr>
        <w:br w:type="page"/>
      </w:r>
    </w:p>
    <w:p w14:paraId="458358DA" w14:textId="1FFC9980" w:rsidR="009B218D" w:rsidRPr="00D541E6" w:rsidRDefault="009B218D" w:rsidP="000B577D">
      <w:pPr>
        <w:pStyle w:val="Heading1"/>
      </w:pPr>
      <w:r w:rsidRPr="00D541E6">
        <w:lastRenderedPageBreak/>
        <w:t>Reference:</w:t>
      </w:r>
    </w:p>
    <w:p w14:paraId="5AF46DBF" w14:textId="77777777" w:rsidR="009B218D" w:rsidRPr="00D541E6" w:rsidRDefault="009B218D" w:rsidP="009B218D">
      <w:pPr>
        <w:rPr>
          <w:rFonts w:ascii="Calibri" w:eastAsia="DengXian Light" w:hAnsi="Calibri" w:cs="Times New Roman"/>
          <w:color w:val="1F4D78"/>
          <w:sz w:val="26"/>
          <w:szCs w:val="26"/>
        </w:rPr>
      </w:pPr>
    </w:p>
    <w:p w14:paraId="6E232E52"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eastAsia="DengXian Light" w:hAnsi="Calibri" w:cs="Times New Roman"/>
          <w:color w:val="1F4D78"/>
          <w:sz w:val="26"/>
          <w:szCs w:val="26"/>
        </w:rPr>
        <w:fldChar w:fldCharType="begin" w:fldLock="1"/>
      </w:r>
      <w:r w:rsidRPr="00D541E6">
        <w:rPr>
          <w:rFonts w:ascii="Calibri" w:eastAsia="DengXian Light" w:hAnsi="Calibri" w:cs="Times New Roman"/>
          <w:color w:val="1F4D78"/>
          <w:sz w:val="26"/>
          <w:szCs w:val="26"/>
        </w:rPr>
        <w:instrText xml:space="preserve">ADDIN Mendeley Bibliography CSL_BIBLIOGRAPHY </w:instrText>
      </w:r>
      <w:r w:rsidRPr="00D541E6">
        <w:rPr>
          <w:rFonts w:ascii="Calibri" w:eastAsia="DengXian Light" w:hAnsi="Calibri" w:cs="Times New Roman"/>
          <w:color w:val="1F4D78"/>
          <w:sz w:val="26"/>
          <w:szCs w:val="26"/>
        </w:rPr>
        <w:fldChar w:fldCharType="separate"/>
      </w:r>
      <w:r w:rsidRPr="00D541E6">
        <w:rPr>
          <w:rFonts w:ascii="Calibri" w:hAnsi="Calibri" w:cs="Calibri"/>
          <w:noProof/>
          <w:sz w:val="26"/>
        </w:rPr>
        <w:t xml:space="preserve">Abe, O., Abe, R., Enomoto, K., Kikuchi, K., Koyama, H., Masuda, H., … Caffier, H. (2005). Effects of chemotherapy and hormonal therapy for early breast cancer on recurrence and 15-year survival: An overview of the randomised trials. </w:t>
      </w:r>
      <w:r w:rsidRPr="00D541E6">
        <w:rPr>
          <w:rFonts w:ascii="Calibri" w:hAnsi="Calibri" w:cs="Calibri"/>
          <w:i/>
          <w:iCs/>
          <w:noProof/>
          <w:sz w:val="26"/>
        </w:rPr>
        <w:t>Lancet</w:t>
      </w:r>
      <w:r w:rsidRPr="00D541E6">
        <w:rPr>
          <w:rFonts w:ascii="Calibri" w:hAnsi="Calibri" w:cs="Calibri"/>
          <w:noProof/>
          <w:sz w:val="26"/>
        </w:rPr>
        <w:t xml:space="preserve">, </w:t>
      </w:r>
      <w:r w:rsidRPr="00D541E6">
        <w:rPr>
          <w:rFonts w:ascii="Calibri" w:hAnsi="Calibri" w:cs="Calibri"/>
          <w:i/>
          <w:iCs/>
          <w:noProof/>
          <w:sz w:val="26"/>
        </w:rPr>
        <w:t>365</w:t>
      </w:r>
      <w:r w:rsidRPr="00D541E6">
        <w:rPr>
          <w:rFonts w:ascii="Calibri" w:hAnsi="Calibri" w:cs="Calibri"/>
          <w:noProof/>
          <w:sz w:val="26"/>
        </w:rPr>
        <w:t>(9472), 1687–1717. https://doi.org/10.1016/S0140-6736(05)66544-0</w:t>
      </w:r>
    </w:p>
    <w:p w14:paraId="56B4FC3E"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Alaa, A. M., &amp; van der Schaar, M. (2017). Bayesian Inference of Individualized Treatment Effects using Multi-task Gaussian Processes. In </w:t>
      </w:r>
      <w:r w:rsidRPr="00D541E6">
        <w:rPr>
          <w:rFonts w:ascii="Calibri" w:hAnsi="Calibri" w:cs="Calibri"/>
          <w:i/>
          <w:iCs/>
          <w:noProof/>
          <w:sz w:val="26"/>
        </w:rPr>
        <w:t>Advances in Neural Information Processing Systems 30 (NIPS 2017)</w:t>
      </w:r>
      <w:r w:rsidRPr="00D541E6">
        <w:rPr>
          <w:rFonts w:ascii="Calibri" w:hAnsi="Calibri" w:cs="Calibri"/>
          <w:noProof/>
          <w:sz w:val="26"/>
        </w:rPr>
        <w:t>. Retrieved from https://papers.nips.cc/paper/6934-bayesian-inference-of-individualized-treatment-effects-using-multi-task-gaussian-processes</w:t>
      </w:r>
    </w:p>
    <w:p w14:paraId="783DCB7C"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Arjas, E. (2014). Time to Consider Time, and Time to Predict? </w:t>
      </w:r>
      <w:r w:rsidRPr="00D541E6">
        <w:rPr>
          <w:rFonts w:ascii="Calibri" w:hAnsi="Calibri" w:cs="Calibri"/>
          <w:i/>
          <w:iCs/>
          <w:noProof/>
          <w:sz w:val="26"/>
        </w:rPr>
        <w:t>Statistics in Biosciences</w:t>
      </w:r>
      <w:r w:rsidRPr="00D541E6">
        <w:rPr>
          <w:rFonts w:ascii="Calibri" w:hAnsi="Calibri" w:cs="Calibri"/>
          <w:noProof/>
          <w:sz w:val="26"/>
        </w:rPr>
        <w:t xml:space="preserve">, </w:t>
      </w:r>
      <w:r w:rsidRPr="00D541E6">
        <w:rPr>
          <w:rFonts w:ascii="Calibri" w:hAnsi="Calibri" w:cs="Calibri"/>
          <w:i/>
          <w:iCs/>
          <w:noProof/>
          <w:sz w:val="26"/>
        </w:rPr>
        <w:t>6</w:t>
      </w:r>
      <w:r w:rsidRPr="00D541E6">
        <w:rPr>
          <w:rFonts w:ascii="Calibri" w:hAnsi="Calibri" w:cs="Calibri"/>
          <w:noProof/>
          <w:sz w:val="26"/>
        </w:rPr>
        <w:t>(2), 189–203. https://doi.org/10.1007/s12561-013-9101-1</w:t>
      </w:r>
    </w:p>
    <w:p w14:paraId="75B442A3"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Bica, I., Alaa, A. M., Jordon, J., &amp; van der Schaar, M. (2020). Estimating Counterfactual Treatment Outcomes over Time Through Adversarially Balanced Representations. In </w:t>
      </w:r>
      <w:r w:rsidRPr="00D541E6">
        <w:rPr>
          <w:rFonts w:ascii="Calibri" w:hAnsi="Calibri" w:cs="Calibri"/>
          <w:i/>
          <w:iCs/>
          <w:noProof/>
          <w:sz w:val="26"/>
        </w:rPr>
        <w:t>8th International Conference on Learning Representations (ICLR)</w:t>
      </w:r>
      <w:r w:rsidRPr="00D541E6">
        <w:rPr>
          <w:rFonts w:ascii="Calibri" w:hAnsi="Calibri" w:cs="Calibri"/>
          <w:noProof/>
          <w:sz w:val="26"/>
        </w:rPr>
        <w:t>. Retrieved from https://openreview.net/pdf?id=BJg866NFvB</w:t>
      </w:r>
    </w:p>
    <w:p w14:paraId="1F6D6B51"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Brunner, F. J., Waldeyer, C., Ojeda, F., Salomaa, V., Kee, F., Sans, S., … Koenig, W. (2019). Application of non-HDL cholesterol for population-based cardiovascular risk stratification: results from the Multinational Cardiovascular Risk Consortium. </w:t>
      </w:r>
      <w:r w:rsidRPr="00D541E6">
        <w:rPr>
          <w:rFonts w:ascii="Calibri" w:hAnsi="Calibri" w:cs="Calibri"/>
          <w:i/>
          <w:iCs/>
          <w:noProof/>
          <w:sz w:val="26"/>
        </w:rPr>
        <w:t>The Lancet</w:t>
      </w:r>
      <w:r w:rsidRPr="00D541E6">
        <w:rPr>
          <w:rFonts w:ascii="Calibri" w:hAnsi="Calibri" w:cs="Calibri"/>
          <w:noProof/>
          <w:sz w:val="26"/>
        </w:rPr>
        <w:t xml:space="preserve">, </w:t>
      </w:r>
      <w:r w:rsidRPr="00D541E6">
        <w:rPr>
          <w:rFonts w:ascii="Calibri" w:hAnsi="Calibri" w:cs="Calibri"/>
          <w:i/>
          <w:iCs/>
          <w:noProof/>
          <w:sz w:val="26"/>
        </w:rPr>
        <w:t>394</w:t>
      </w:r>
      <w:r w:rsidRPr="00D541E6">
        <w:rPr>
          <w:rFonts w:ascii="Calibri" w:hAnsi="Calibri" w:cs="Calibri"/>
          <w:noProof/>
          <w:sz w:val="26"/>
        </w:rPr>
        <w:t>(10215), 2173–2183. https://doi.org/10.1016/S0140-6736(19)32519-X</w:t>
      </w:r>
    </w:p>
    <w:p w14:paraId="43BABEE5"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Cai, T., Tian, L., Wong, P. H., &amp; Wei, L. J. (2016). Analysis of randomized comparative clinical trial data for personalized treatment selections. </w:t>
      </w:r>
      <w:r w:rsidRPr="00D541E6">
        <w:rPr>
          <w:rFonts w:ascii="Calibri" w:hAnsi="Calibri" w:cs="Calibri"/>
          <w:i/>
          <w:iCs/>
          <w:noProof/>
          <w:sz w:val="26"/>
        </w:rPr>
        <w:t>Biostatistics</w:t>
      </w:r>
      <w:r w:rsidRPr="00D541E6">
        <w:rPr>
          <w:rFonts w:ascii="Calibri" w:hAnsi="Calibri" w:cs="Calibri"/>
          <w:noProof/>
          <w:sz w:val="26"/>
        </w:rPr>
        <w:t xml:space="preserve">, </w:t>
      </w:r>
      <w:r w:rsidRPr="00D541E6">
        <w:rPr>
          <w:rFonts w:ascii="Calibri" w:hAnsi="Calibri" w:cs="Calibri"/>
          <w:i/>
          <w:iCs/>
          <w:noProof/>
          <w:sz w:val="26"/>
        </w:rPr>
        <w:t>17</w:t>
      </w:r>
      <w:r w:rsidRPr="00D541E6">
        <w:rPr>
          <w:rFonts w:ascii="Calibri" w:hAnsi="Calibri" w:cs="Calibri"/>
          <w:noProof/>
          <w:sz w:val="26"/>
        </w:rPr>
        <w:t>(2), 249–263. https://doi.org/10.1093/BIOSTATISTICS</w:t>
      </w:r>
    </w:p>
    <w:p w14:paraId="6E3A2111"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Candido dos Reis, F. J., Wishart, G. C., Dicks, E. M., Greenberg, D., Rashbass, J., Schmidt, M. K., … Pharoah, P. D. P. (2017). An updated PREDICT breast cancer prognostication and treatment benefit prediction model with independent validation. </w:t>
      </w:r>
      <w:r w:rsidRPr="00D541E6">
        <w:rPr>
          <w:rFonts w:ascii="Calibri" w:hAnsi="Calibri" w:cs="Calibri"/>
          <w:i/>
          <w:iCs/>
          <w:noProof/>
          <w:sz w:val="26"/>
        </w:rPr>
        <w:t>Breast Cancer Research</w:t>
      </w:r>
      <w:r w:rsidRPr="00D541E6">
        <w:rPr>
          <w:rFonts w:ascii="Calibri" w:hAnsi="Calibri" w:cs="Calibri"/>
          <w:noProof/>
          <w:sz w:val="26"/>
        </w:rPr>
        <w:t xml:space="preserve">, </w:t>
      </w:r>
      <w:r w:rsidRPr="00D541E6">
        <w:rPr>
          <w:rFonts w:ascii="Calibri" w:hAnsi="Calibri" w:cs="Calibri"/>
          <w:i/>
          <w:iCs/>
          <w:noProof/>
          <w:sz w:val="26"/>
        </w:rPr>
        <w:t>19:58</w:t>
      </w:r>
      <w:r w:rsidRPr="00D541E6">
        <w:rPr>
          <w:rFonts w:ascii="Calibri" w:hAnsi="Calibri" w:cs="Calibri"/>
          <w:noProof/>
          <w:sz w:val="26"/>
        </w:rPr>
        <w:t>(1). https://doi.org/10.1186/s13058-017-0852-3</w:t>
      </w:r>
    </w:p>
    <w:p w14:paraId="47138D20"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Ference, B. A., Ginsberg, H. N., Graham, I., Ray, K. K., Packard, C. J., Bruckert, E., … Catapano, A. L. (2017). Low-density lipoproteins cause atherosclerotic cardiovascular disease. 1. Evidence from genetic, epidemiologic, and clinical studies. A consensus statement fromthe European Atherosclerosis Society Consensus Panel. </w:t>
      </w:r>
      <w:r w:rsidRPr="00D541E6">
        <w:rPr>
          <w:rFonts w:ascii="Calibri" w:hAnsi="Calibri" w:cs="Calibri"/>
          <w:i/>
          <w:iCs/>
          <w:noProof/>
          <w:sz w:val="26"/>
        </w:rPr>
        <w:t>European Heart Journal</w:t>
      </w:r>
      <w:r w:rsidRPr="00D541E6">
        <w:rPr>
          <w:rFonts w:ascii="Calibri" w:hAnsi="Calibri" w:cs="Calibri"/>
          <w:noProof/>
          <w:sz w:val="26"/>
        </w:rPr>
        <w:t xml:space="preserve">, </w:t>
      </w:r>
      <w:r w:rsidRPr="00D541E6">
        <w:rPr>
          <w:rFonts w:ascii="Calibri" w:hAnsi="Calibri" w:cs="Calibri"/>
          <w:i/>
          <w:iCs/>
          <w:noProof/>
          <w:sz w:val="26"/>
        </w:rPr>
        <w:t>38</w:t>
      </w:r>
      <w:r w:rsidRPr="00D541E6">
        <w:rPr>
          <w:rFonts w:ascii="Calibri" w:hAnsi="Calibri" w:cs="Calibri"/>
          <w:noProof/>
          <w:sz w:val="26"/>
        </w:rPr>
        <w:t>(32), 2459–2472. https://doi.org/10.1093/eurheartj/ehx144</w:t>
      </w:r>
    </w:p>
    <w:p w14:paraId="5419D985"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Greenland, S. (2012). Causal Inference as a Prediction Problem: Assumptions, Identification and Evidence Synthesis. In </w:t>
      </w:r>
      <w:r w:rsidRPr="00D541E6">
        <w:rPr>
          <w:rFonts w:ascii="Calibri" w:hAnsi="Calibri" w:cs="Calibri"/>
          <w:i/>
          <w:iCs/>
          <w:noProof/>
          <w:sz w:val="26"/>
        </w:rPr>
        <w:t>Causality: Wiley Series in Probability and Statistics</w:t>
      </w:r>
      <w:r w:rsidRPr="00D541E6">
        <w:rPr>
          <w:rFonts w:ascii="Calibri" w:hAnsi="Calibri" w:cs="Calibri"/>
          <w:noProof/>
          <w:sz w:val="26"/>
        </w:rPr>
        <w:t xml:space="preserve"> (pp. 43–58). Wiley Blackwell. https://doi.org/10.1002/9781119945710.ch5</w:t>
      </w:r>
    </w:p>
    <w:p w14:paraId="7EBA956F"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Lamont, A., Lyons, M. D., Jaki, T., Stuart, E., Feaster, D. J., Tharmaratnam, K., … </w:t>
      </w:r>
      <w:r w:rsidRPr="00D541E6">
        <w:rPr>
          <w:rFonts w:ascii="Calibri" w:hAnsi="Calibri" w:cs="Calibri"/>
          <w:noProof/>
          <w:sz w:val="26"/>
        </w:rPr>
        <w:lastRenderedPageBreak/>
        <w:t xml:space="preserve">Van Horn, M. L. (2018). Identification of predicted individual treatment effects in randomized clinical trials. </w:t>
      </w:r>
      <w:r w:rsidRPr="00D541E6">
        <w:rPr>
          <w:rFonts w:ascii="Calibri" w:hAnsi="Calibri" w:cs="Calibri"/>
          <w:i/>
          <w:iCs/>
          <w:noProof/>
          <w:sz w:val="26"/>
        </w:rPr>
        <w:t>Statistical Methods in Medical Research</w:t>
      </w:r>
      <w:r w:rsidRPr="00D541E6">
        <w:rPr>
          <w:rFonts w:ascii="Calibri" w:hAnsi="Calibri" w:cs="Calibri"/>
          <w:noProof/>
          <w:sz w:val="26"/>
        </w:rPr>
        <w:t xml:space="preserve">, </w:t>
      </w:r>
      <w:r w:rsidRPr="00D541E6">
        <w:rPr>
          <w:rFonts w:ascii="Calibri" w:hAnsi="Calibri" w:cs="Calibri"/>
          <w:i/>
          <w:iCs/>
          <w:noProof/>
          <w:sz w:val="26"/>
        </w:rPr>
        <w:t>27</w:t>
      </w:r>
      <w:r w:rsidRPr="00D541E6">
        <w:rPr>
          <w:rFonts w:ascii="Calibri" w:hAnsi="Calibri" w:cs="Calibri"/>
          <w:noProof/>
          <w:sz w:val="26"/>
        </w:rPr>
        <w:t>(1), 142–157. https://doi.org/10.1177/0962280215623981</w:t>
      </w:r>
    </w:p>
    <w:p w14:paraId="5703C686"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Li, J., Zhao, L., Tian, L., Cai, T., Claggett, B., Callegaro, A., … Wei, L.-J. (2016). A predictive enrichment procedure to identify potential responders to a new therapy for randomized, comparative controlled clinical studies. </w:t>
      </w:r>
      <w:r w:rsidRPr="00D541E6">
        <w:rPr>
          <w:rFonts w:ascii="Calibri" w:hAnsi="Calibri" w:cs="Calibri"/>
          <w:i/>
          <w:iCs/>
          <w:noProof/>
          <w:sz w:val="26"/>
        </w:rPr>
        <w:t>Biometrics</w:t>
      </w:r>
      <w:r w:rsidRPr="00D541E6">
        <w:rPr>
          <w:rFonts w:ascii="Calibri" w:hAnsi="Calibri" w:cs="Calibri"/>
          <w:noProof/>
          <w:sz w:val="26"/>
        </w:rPr>
        <w:t xml:space="preserve">, </w:t>
      </w:r>
      <w:r w:rsidRPr="00D541E6">
        <w:rPr>
          <w:rFonts w:ascii="Calibri" w:hAnsi="Calibri" w:cs="Calibri"/>
          <w:i/>
          <w:iCs/>
          <w:noProof/>
          <w:sz w:val="26"/>
        </w:rPr>
        <w:t>72</w:t>
      </w:r>
      <w:r w:rsidRPr="00D541E6">
        <w:rPr>
          <w:rFonts w:ascii="Calibri" w:hAnsi="Calibri" w:cs="Calibri"/>
          <w:noProof/>
          <w:sz w:val="26"/>
        </w:rPr>
        <w:t>(3), 877–887. https://doi.org/10.1111/biom.12461</w:t>
      </w:r>
    </w:p>
    <w:p w14:paraId="46E3DE9E"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Lim, B. (2018). Forecasting Treatment Responses Over Time Using Recurrent Marginal Structural Networks. In </w:t>
      </w:r>
      <w:r w:rsidRPr="00D541E6">
        <w:rPr>
          <w:rFonts w:ascii="Calibri" w:hAnsi="Calibri" w:cs="Calibri"/>
          <w:i/>
          <w:iCs/>
          <w:noProof/>
          <w:sz w:val="26"/>
        </w:rPr>
        <w:t>32nd Conference on Neural Information Processing Systems (NeurIPS 2018)</w:t>
      </w:r>
      <w:r w:rsidRPr="00D541E6">
        <w:rPr>
          <w:rFonts w:ascii="Calibri" w:hAnsi="Calibri" w:cs="Calibri"/>
          <w:noProof/>
          <w:sz w:val="26"/>
        </w:rPr>
        <w:t xml:space="preserve"> (pp. 7494–7504). Retrieved from http://papers.nips.cc/paper/7977-forecasting-treatment-responses-over-time-using-recurrent-marginal-structural-networks</w:t>
      </w:r>
    </w:p>
    <w:p w14:paraId="2EE0285E"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Nguyen, T.-L., Collins, G. S., Landais, P., &amp; Le Manach, Y. (2020). Counterfactual Clinical Prediction Models Could help to Infer Individualised Treatment Effects in Randomised Controlled Trials – an Illustration with the International Stroke Trial. </w:t>
      </w:r>
      <w:r w:rsidRPr="00D541E6">
        <w:rPr>
          <w:rFonts w:ascii="Calibri" w:hAnsi="Calibri" w:cs="Calibri"/>
          <w:i/>
          <w:iCs/>
          <w:noProof/>
          <w:sz w:val="26"/>
        </w:rPr>
        <w:t>Journal of Clinical Epidemiology</w:t>
      </w:r>
      <w:r w:rsidRPr="00D541E6">
        <w:rPr>
          <w:rFonts w:ascii="Calibri" w:hAnsi="Calibri" w:cs="Calibri"/>
          <w:noProof/>
          <w:sz w:val="26"/>
        </w:rPr>
        <w:t xml:space="preserve">, </w:t>
      </w:r>
      <w:r w:rsidRPr="00D541E6">
        <w:rPr>
          <w:rFonts w:ascii="Calibri" w:hAnsi="Calibri" w:cs="Calibri"/>
          <w:i/>
          <w:iCs/>
          <w:noProof/>
          <w:sz w:val="26"/>
        </w:rPr>
        <w:t>125</w:t>
      </w:r>
      <w:r w:rsidRPr="00D541E6">
        <w:rPr>
          <w:rFonts w:ascii="Calibri" w:hAnsi="Calibri" w:cs="Calibri"/>
          <w:noProof/>
          <w:sz w:val="26"/>
        </w:rPr>
        <w:t>, 47–56. https://doi.org/10.1016/j.jclinepi.2020.05.022</w:t>
      </w:r>
    </w:p>
    <w:p w14:paraId="6879773C"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Pajouheshnia, R., Damen, J. A. A. G., Groenwold, R. H. H., Moons, K. G. M., &amp; Peelen, L. M. (2017). Treatment use in prognostic model research: a systematic review of cardiovascular prognostic studies. </w:t>
      </w:r>
      <w:r w:rsidRPr="00D541E6">
        <w:rPr>
          <w:rFonts w:ascii="Calibri" w:hAnsi="Calibri" w:cs="Calibri"/>
          <w:i/>
          <w:iCs/>
          <w:noProof/>
          <w:sz w:val="26"/>
        </w:rPr>
        <w:t>Diagnostic and Prognostic Research</w:t>
      </w:r>
      <w:r w:rsidRPr="00D541E6">
        <w:rPr>
          <w:rFonts w:ascii="Calibri" w:hAnsi="Calibri" w:cs="Calibri"/>
          <w:noProof/>
          <w:sz w:val="26"/>
        </w:rPr>
        <w:t xml:space="preserve">, </w:t>
      </w:r>
      <w:r w:rsidRPr="00D541E6">
        <w:rPr>
          <w:rFonts w:ascii="Calibri" w:hAnsi="Calibri" w:cs="Calibri"/>
          <w:i/>
          <w:iCs/>
          <w:noProof/>
          <w:sz w:val="26"/>
        </w:rPr>
        <w:t>1</w:t>
      </w:r>
      <w:r w:rsidRPr="00D541E6">
        <w:rPr>
          <w:rFonts w:ascii="Calibri" w:hAnsi="Calibri" w:cs="Calibri"/>
          <w:noProof/>
          <w:sz w:val="26"/>
        </w:rPr>
        <w:t>(1), 15. https://doi.org/10.1186/s41512-017-0015-0</w:t>
      </w:r>
    </w:p>
    <w:p w14:paraId="16E037E1"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Pearl, J. (2011). </w:t>
      </w:r>
      <w:r w:rsidRPr="00D541E6">
        <w:rPr>
          <w:rFonts w:ascii="Calibri" w:hAnsi="Calibri" w:cs="Calibri"/>
          <w:i/>
          <w:iCs/>
          <w:noProof/>
          <w:sz w:val="26"/>
        </w:rPr>
        <w:t>Causality: Models, reasoning, and inference, second edition</w:t>
      </w:r>
      <w:r w:rsidRPr="00D541E6">
        <w:rPr>
          <w:rFonts w:ascii="Calibri" w:hAnsi="Calibri" w:cs="Calibri"/>
          <w:noProof/>
          <w:sz w:val="26"/>
        </w:rPr>
        <w:t>. Cambridge University Press. https://doi.org/10.1017/CBO9780511803161</w:t>
      </w:r>
    </w:p>
    <w:p w14:paraId="32CC689D"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Rasmussen, C. E., &amp; Williams, C. K. I. (2006). </w:t>
      </w:r>
      <w:r w:rsidRPr="00D541E6">
        <w:rPr>
          <w:rFonts w:ascii="Calibri" w:hAnsi="Calibri" w:cs="Calibri"/>
          <w:i/>
          <w:iCs/>
          <w:noProof/>
          <w:sz w:val="26"/>
        </w:rPr>
        <w:t>Gaussian Processes for Machine Learning</w:t>
      </w:r>
      <w:r w:rsidRPr="00D541E6">
        <w:rPr>
          <w:rFonts w:ascii="Calibri" w:hAnsi="Calibri" w:cs="Calibri"/>
          <w:noProof/>
          <w:sz w:val="26"/>
        </w:rPr>
        <w:t>. the MIT Press. Retrieved from www.GaussianProcess.org/gpml</w:t>
      </w:r>
    </w:p>
    <w:p w14:paraId="66D61983"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Robins, J. (1999). Association, Causation, And Marginal Structural Models. </w:t>
      </w:r>
      <w:r w:rsidRPr="00D541E6">
        <w:rPr>
          <w:rFonts w:ascii="Calibri" w:hAnsi="Calibri" w:cs="Calibri"/>
          <w:i/>
          <w:iCs/>
          <w:noProof/>
          <w:sz w:val="26"/>
        </w:rPr>
        <w:t>Synthese</w:t>
      </w:r>
      <w:r w:rsidRPr="00D541E6">
        <w:rPr>
          <w:rFonts w:ascii="Calibri" w:hAnsi="Calibri" w:cs="Calibri"/>
          <w:noProof/>
          <w:sz w:val="26"/>
        </w:rPr>
        <w:t xml:space="preserve">, </w:t>
      </w:r>
      <w:r w:rsidRPr="00D541E6">
        <w:rPr>
          <w:rFonts w:ascii="Calibri" w:hAnsi="Calibri" w:cs="Calibri"/>
          <w:i/>
          <w:iCs/>
          <w:noProof/>
          <w:sz w:val="26"/>
        </w:rPr>
        <w:t>121</w:t>
      </w:r>
      <w:r w:rsidRPr="00D541E6">
        <w:rPr>
          <w:rFonts w:ascii="Calibri" w:hAnsi="Calibri" w:cs="Calibri"/>
          <w:noProof/>
          <w:sz w:val="26"/>
        </w:rPr>
        <w:t>(1/2), 151–179. https://doi.org/10.1023/A:1005285815569</w:t>
      </w:r>
    </w:p>
    <w:p w14:paraId="3E9DA58F"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Schulam, P., &amp; Saria, S. (2017). Reliable Decision Support using Counterfactual Models. In </w:t>
      </w:r>
      <w:r w:rsidRPr="00D541E6">
        <w:rPr>
          <w:rFonts w:ascii="Calibri" w:hAnsi="Calibri" w:cs="Calibri"/>
          <w:i/>
          <w:iCs/>
          <w:noProof/>
          <w:sz w:val="26"/>
        </w:rPr>
        <w:t>Advances in Neural Information Processing Systems 30 (NIPS 2017)</w:t>
      </w:r>
      <w:r w:rsidRPr="00D541E6">
        <w:rPr>
          <w:rFonts w:ascii="Calibri" w:hAnsi="Calibri" w:cs="Calibri"/>
          <w:noProof/>
          <w:sz w:val="26"/>
        </w:rPr>
        <w:t xml:space="preserve"> (pp. 1697–1708). Retrieved from https://papers.nips.cc/paper/6767-reliable-decision-support-using-counterfactual-models</w:t>
      </w:r>
    </w:p>
    <w:p w14:paraId="40E5392A"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Silva, R. (2016). Observational-Interventional Priors for Dose-Response Learning. Advances in Neural Information Processing Systems 29 (NIPS 2016). Retrieved from http://papers.neurips.cc/paper/6107-observational-interventional-priors-for-dose-response-learning</w:t>
      </w:r>
    </w:p>
    <w:p w14:paraId="34CECE69"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Soleimani, H., Subbaswamy, A., &amp; Saria, S. (2017). Treatment-response models for counterfactual reasoning with continuous-time, continuous-valued interventions. In </w:t>
      </w:r>
      <w:r w:rsidRPr="00D541E6">
        <w:rPr>
          <w:rFonts w:ascii="Calibri" w:hAnsi="Calibri" w:cs="Calibri"/>
          <w:i/>
          <w:iCs/>
          <w:noProof/>
          <w:sz w:val="26"/>
        </w:rPr>
        <w:t>the 33rd Conference on Uncertainty in Artificial Intelligence (UAI)</w:t>
      </w:r>
      <w:r w:rsidRPr="00D541E6">
        <w:rPr>
          <w:rFonts w:ascii="Calibri" w:hAnsi="Calibri" w:cs="Calibri"/>
          <w:noProof/>
          <w:sz w:val="26"/>
        </w:rPr>
        <w:t>. Retrieved from http://auai.org/uai2017/proceedings/papers/266.pdf</w:t>
      </w:r>
    </w:p>
    <w:p w14:paraId="7CD156ED"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Sperrin, M., Martin, G. P., Pate, A., Van Staa, T., Peek, N., &amp; Buchan, I. (2018). </w:t>
      </w:r>
      <w:r w:rsidRPr="00D541E6">
        <w:rPr>
          <w:rFonts w:ascii="Calibri" w:hAnsi="Calibri" w:cs="Calibri"/>
          <w:noProof/>
          <w:sz w:val="26"/>
        </w:rPr>
        <w:lastRenderedPageBreak/>
        <w:t xml:space="preserve">Using marginal structural models to adjust for treatment drop-in when developing clinical prediction models. </w:t>
      </w:r>
      <w:r w:rsidRPr="00D541E6">
        <w:rPr>
          <w:rFonts w:ascii="Calibri" w:hAnsi="Calibri" w:cs="Calibri"/>
          <w:i/>
          <w:iCs/>
          <w:noProof/>
          <w:sz w:val="26"/>
        </w:rPr>
        <w:t>Statistics in Medicine</w:t>
      </w:r>
      <w:r w:rsidRPr="00D541E6">
        <w:rPr>
          <w:rFonts w:ascii="Calibri" w:hAnsi="Calibri" w:cs="Calibri"/>
          <w:noProof/>
          <w:sz w:val="26"/>
        </w:rPr>
        <w:t xml:space="preserve">, </w:t>
      </w:r>
      <w:r w:rsidRPr="00D541E6">
        <w:rPr>
          <w:rFonts w:ascii="Calibri" w:hAnsi="Calibri" w:cs="Calibri"/>
          <w:i/>
          <w:iCs/>
          <w:noProof/>
          <w:sz w:val="26"/>
        </w:rPr>
        <w:t>37</w:t>
      </w:r>
      <w:r w:rsidRPr="00D541E6">
        <w:rPr>
          <w:rFonts w:ascii="Calibri" w:hAnsi="Calibri" w:cs="Calibri"/>
          <w:noProof/>
          <w:sz w:val="26"/>
        </w:rPr>
        <w:t>(28), 4142–4154. https://doi.org/10.1002/sim.7913</w:t>
      </w:r>
    </w:p>
    <w:p w14:paraId="0600B890"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van Amsterdam, W. A. C., Verhoeff, J. J. C., de Jong, P. A., Leiner, T., &amp; Eijkemans, M. J. C. (2019). Eliminating biasing signals in lung cancer images for prognosis predictions with deep learning. </w:t>
      </w:r>
      <w:r w:rsidRPr="00D541E6">
        <w:rPr>
          <w:rFonts w:ascii="Calibri" w:hAnsi="Calibri" w:cs="Calibri"/>
          <w:i/>
          <w:iCs/>
          <w:noProof/>
          <w:sz w:val="26"/>
        </w:rPr>
        <w:t>Npj Digital Medicine</w:t>
      </w:r>
      <w:r w:rsidRPr="00D541E6">
        <w:rPr>
          <w:rFonts w:ascii="Calibri" w:hAnsi="Calibri" w:cs="Calibri"/>
          <w:noProof/>
          <w:sz w:val="26"/>
        </w:rPr>
        <w:t xml:space="preserve">, </w:t>
      </w:r>
      <w:r w:rsidRPr="00D541E6">
        <w:rPr>
          <w:rFonts w:ascii="Calibri" w:hAnsi="Calibri" w:cs="Calibri"/>
          <w:i/>
          <w:iCs/>
          <w:noProof/>
          <w:sz w:val="26"/>
        </w:rPr>
        <w:t>2</w:t>
      </w:r>
      <w:r w:rsidRPr="00D541E6">
        <w:rPr>
          <w:rFonts w:ascii="Calibri" w:hAnsi="Calibri" w:cs="Calibri"/>
          <w:noProof/>
          <w:sz w:val="26"/>
        </w:rPr>
        <w:t>(1), 1–6. https://doi.org/10.1038/s41746-019-0194-x</w:t>
      </w:r>
    </w:p>
    <w:p w14:paraId="64B52688" w14:textId="77777777" w:rsidR="009B218D" w:rsidRPr="00D541E6" w:rsidRDefault="009B218D" w:rsidP="009B218D">
      <w:pPr>
        <w:widowControl w:val="0"/>
        <w:autoSpaceDE w:val="0"/>
        <w:autoSpaceDN w:val="0"/>
        <w:adjustRightInd w:val="0"/>
        <w:ind w:left="480" w:hanging="480"/>
        <w:rPr>
          <w:rFonts w:ascii="Calibri" w:hAnsi="Calibri" w:cs="Calibri"/>
          <w:noProof/>
          <w:sz w:val="26"/>
        </w:rPr>
      </w:pPr>
      <w:r w:rsidRPr="00D541E6">
        <w:rPr>
          <w:rFonts w:ascii="Calibri" w:hAnsi="Calibri" w:cs="Calibri"/>
          <w:noProof/>
          <w:sz w:val="26"/>
        </w:rPr>
        <w:t xml:space="preserve">Xu, Y., Xu, Y., &amp; Saria, S. (2016). A Bayesian Nonparametric Approach for Estimating Individualized Treatment-Response Curves. In F. Doshi-Velez, J. Fackler, D. Kale, B. Wallace, &amp; J. Wiens (Eds.), </w:t>
      </w:r>
      <w:r w:rsidRPr="00D541E6">
        <w:rPr>
          <w:rFonts w:ascii="Calibri" w:hAnsi="Calibri" w:cs="Calibri"/>
          <w:i/>
          <w:iCs/>
          <w:noProof/>
          <w:sz w:val="26"/>
        </w:rPr>
        <w:t>Proceedings of the 1st Machine Learning for Healthcare</w:t>
      </w:r>
      <w:r w:rsidRPr="00D541E6">
        <w:rPr>
          <w:rFonts w:ascii="Calibri" w:hAnsi="Calibri" w:cs="Calibri"/>
          <w:noProof/>
          <w:sz w:val="26"/>
        </w:rPr>
        <w:t xml:space="preserve"> (pp. 282–300). PMLR. Retrieved from http://proceedings.mlr.press/v56/Xu16.pdf</w:t>
      </w:r>
    </w:p>
    <w:p w14:paraId="14940E6B" w14:textId="77777777" w:rsidR="009B218D" w:rsidRPr="00D541E6" w:rsidRDefault="009B218D" w:rsidP="009B218D">
      <w:pPr>
        <w:widowControl w:val="0"/>
        <w:autoSpaceDE w:val="0"/>
        <w:autoSpaceDN w:val="0"/>
        <w:adjustRightInd w:val="0"/>
        <w:ind w:left="480" w:hanging="480"/>
        <w:rPr>
          <w:rFonts w:ascii="Calibri" w:eastAsia="DengXian Light" w:hAnsi="Calibri" w:cs="Times New Roman"/>
          <w:color w:val="1F4D78"/>
          <w:sz w:val="26"/>
          <w:szCs w:val="26"/>
        </w:rPr>
      </w:pPr>
      <w:r w:rsidRPr="00D541E6">
        <w:rPr>
          <w:rFonts w:ascii="Calibri" w:eastAsia="DengXian Light" w:hAnsi="Calibri" w:cs="Times New Roman"/>
          <w:color w:val="1F4D78"/>
          <w:sz w:val="26"/>
          <w:szCs w:val="26"/>
        </w:rPr>
        <w:fldChar w:fldCharType="end"/>
      </w:r>
    </w:p>
    <w:p w14:paraId="0EF9DEA3" w14:textId="31248796" w:rsidR="009B218D" w:rsidRPr="00D541E6" w:rsidRDefault="009B218D" w:rsidP="009B218D">
      <w:pPr>
        <w:rPr>
          <w:rFonts w:ascii="Calibri" w:eastAsia="DengXian Light" w:hAnsi="Calibri" w:cs="Times New Roman"/>
          <w:color w:val="1F4D78"/>
          <w:sz w:val="26"/>
          <w:szCs w:val="26"/>
        </w:rPr>
      </w:pPr>
    </w:p>
    <w:sectPr w:rsidR="009B218D" w:rsidRPr="00D541E6" w:rsidSect="006E171C">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A699D" w14:textId="77777777" w:rsidR="008A73B3" w:rsidRDefault="008A73B3" w:rsidP="00EA08FD">
      <w:r>
        <w:separator/>
      </w:r>
    </w:p>
  </w:endnote>
  <w:endnote w:type="continuationSeparator" w:id="0">
    <w:p w14:paraId="2232E192" w14:textId="77777777" w:rsidR="008A73B3" w:rsidRDefault="008A73B3" w:rsidP="00EA0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TIXGeneral-Regular">
    <w:altName w:val="STIXGeneral"/>
    <w:panose1 w:val="00000000000000000000"/>
    <w:charset w:val="00"/>
    <w:family w:val="auto"/>
    <w:pitch w:val="variable"/>
    <w:sig w:usb0="00000000" w:usb1="4203FDFF" w:usb2="02000020" w:usb3="00000000" w:csb0="800001FF" w:csb1="00000000"/>
  </w:font>
  <w:font w:name="Times Roman">
    <w:altName w:val="Times New Roman"/>
    <w:panose1 w:val="00000500000000020000"/>
    <w:charset w:val="00"/>
    <w:family w:val="auto"/>
    <w:pitch w:val="variable"/>
    <w:sig w:usb0="E00002FF" w:usb1="5000205A" w:usb2="00000000" w:usb3="00000000" w:csb0="0000019F" w:csb1="00000000"/>
  </w:font>
  <w:font w:name="Monaco">
    <w:panose1 w:val="00000000000000000000"/>
    <w:charset w:val="4D"/>
    <w:family w:val="auto"/>
    <w:pitch w:val="variable"/>
    <w:sig w:usb0="A00002FF" w:usb1="500039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54692016"/>
      <w:docPartObj>
        <w:docPartGallery w:val="Page Numbers (Bottom of Page)"/>
        <w:docPartUnique/>
      </w:docPartObj>
    </w:sdtPr>
    <w:sdtEndPr>
      <w:rPr>
        <w:rStyle w:val="PageNumber"/>
      </w:rPr>
    </w:sdtEndPr>
    <w:sdtContent>
      <w:p w14:paraId="08946E55" w14:textId="204AC51E" w:rsidR="00090AA5" w:rsidRDefault="00090AA5" w:rsidP="00090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E2028" w14:textId="77777777" w:rsidR="00090AA5" w:rsidRDefault="00090A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3221477"/>
      <w:docPartObj>
        <w:docPartGallery w:val="Page Numbers (Bottom of Page)"/>
        <w:docPartUnique/>
      </w:docPartObj>
    </w:sdtPr>
    <w:sdtEndPr>
      <w:rPr>
        <w:rStyle w:val="PageNumber"/>
      </w:rPr>
    </w:sdtEndPr>
    <w:sdtContent>
      <w:p w14:paraId="69D54464" w14:textId="314CE624" w:rsidR="00090AA5" w:rsidRDefault="00090AA5" w:rsidP="00090A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A144B2" w14:textId="77777777" w:rsidR="00090AA5" w:rsidRDefault="00090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89BCE" w14:textId="77777777" w:rsidR="008A73B3" w:rsidRDefault="008A73B3" w:rsidP="00EA08FD">
      <w:r>
        <w:separator/>
      </w:r>
    </w:p>
  </w:footnote>
  <w:footnote w:type="continuationSeparator" w:id="0">
    <w:p w14:paraId="0D59B559" w14:textId="77777777" w:rsidR="008A73B3" w:rsidRDefault="008A73B3" w:rsidP="00EA0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6EF6"/>
    <w:multiLevelType w:val="hybridMultilevel"/>
    <w:tmpl w:val="BCD23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41655"/>
    <w:multiLevelType w:val="multilevel"/>
    <w:tmpl w:val="1306495E"/>
    <w:lvl w:ilvl="0">
      <w:start w:val="1"/>
      <w:numFmt w:val="decimal"/>
      <w:lvlText w:val="%1."/>
      <w:lvlJc w:val="left"/>
      <w:pPr>
        <w:ind w:left="480" w:hanging="48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40" w:hanging="48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AE0A72"/>
    <w:multiLevelType w:val="hybridMultilevel"/>
    <w:tmpl w:val="C038B7C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12C75AB"/>
    <w:multiLevelType w:val="hybridMultilevel"/>
    <w:tmpl w:val="DED4ED78"/>
    <w:lvl w:ilvl="0" w:tplc="00000001">
      <w:start w:val="1"/>
      <w:numFmt w:val="decimal"/>
      <w:lvlText w:val="%1."/>
      <w:lvlJc w:val="left"/>
      <w:pPr>
        <w:ind w:left="720" w:hanging="36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675254"/>
    <w:multiLevelType w:val="hybridMultilevel"/>
    <w:tmpl w:val="623E3820"/>
    <w:lvl w:ilvl="0" w:tplc="EB326BFE">
      <w:start w:val="1"/>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8371E67"/>
    <w:multiLevelType w:val="hybridMultilevel"/>
    <w:tmpl w:val="F82AFFE4"/>
    <w:lvl w:ilvl="0" w:tplc="8814C7C0">
      <w:start w:val="1"/>
      <w:numFmt w:val="upperLetter"/>
      <w:lvlText w:val="%1."/>
      <w:lvlJc w:val="left"/>
      <w:pPr>
        <w:ind w:left="480" w:hanging="480"/>
      </w:pPr>
      <w:rPr>
        <w:b/>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176940"/>
    <w:multiLevelType w:val="hybridMultilevel"/>
    <w:tmpl w:val="1F149F7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1B37BC"/>
    <w:multiLevelType w:val="hybridMultilevel"/>
    <w:tmpl w:val="EF5C4A7C"/>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97552C"/>
    <w:multiLevelType w:val="hybridMultilevel"/>
    <w:tmpl w:val="B43A8414"/>
    <w:lvl w:ilvl="0" w:tplc="DE5E7994">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EE51DD"/>
    <w:multiLevelType w:val="multilevel"/>
    <w:tmpl w:val="9E90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25597"/>
    <w:multiLevelType w:val="hybridMultilevel"/>
    <w:tmpl w:val="FF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D4453"/>
    <w:multiLevelType w:val="hybridMultilevel"/>
    <w:tmpl w:val="AA6A331A"/>
    <w:lvl w:ilvl="0" w:tplc="EB326BFE">
      <w:start w:val="1"/>
      <w:numFmt w:val="bullet"/>
      <w:lvlText w:val="•"/>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F5306B2"/>
    <w:multiLevelType w:val="hybridMultilevel"/>
    <w:tmpl w:val="28ACDA76"/>
    <w:lvl w:ilvl="0" w:tplc="EB326BFE">
      <w:start w:val="1"/>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3560782"/>
    <w:multiLevelType w:val="hybridMultilevel"/>
    <w:tmpl w:val="50123396"/>
    <w:lvl w:ilvl="0" w:tplc="68F2A15E">
      <w:start w:val="1"/>
      <w:numFmt w:val="decimal"/>
      <w:lvlText w:val="%1."/>
      <w:lvlJc w:val="left"/>
      <w:pPr>
        <w:ind w:left="480" w:hanging="480"/>
      </w:pPr>
      <w:rPr>
        <w:rFonts w:hint="default"/>
        <w:b w:val="0"/>
        <w:sz w:val="24"/>
        <w:szCs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AD30FA"/>
    <w:multiLevelType w:val="multilevel"/>
    <w:tmpl w:val="1306495E"/>
    <w:lvl w:ilvl="0">
      <w:start w:val="1"/>
      <w:numFmt w:val="decimal"/>
      <w:lvlText w:val="%1."/>
      <w:lvlJc w:val="left"/>
      <w:pPr>
        <w:ind w:left="480" w:hanging="48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40" w:hanging="48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6600389"/>
    <w:multiLevelType w:val="hybridMultilevel"/>
    <w:tmpl w:val="9E20B3C8"/>
    <w:lvl w:ilvl="0" w:tplc="EB326BFE">
      <w:start w:val="1"/>
      <w:numFmt w:val="bullet"/>
      <w:lvlText w:val="•"/>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8937EBB"/>
    <w:multiLevelType w:val="hybridMultilevel"/>
    <w:tmpl w:val="66A688BC"/>
    <w:lvl w:ilvl="0" w:tplc="08090001">
      <w:start w:val="1"/>
      <w:numFmt w:val="bullet"/>
      <w:lvlText w:val=""/>
      <w:lvlJc w:val="left"/>
      <w:pPr>
        <w:ind w:left="720" w:hanging="36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D004015"/>
    <w:multiLevelType w:val="hybridMultilevel"/>
    <w:tmpl w:val="32ECD118"/>
    <w:lvl w:ilvl="0" w:tplc="EB326BFE">
      <w:start w:val="1"/>
      <w:numFmt w:val="bullet"/>
      <w:lvlText w:val="•"/>
      <w:lvlJc w:val="left"/>
      <w:pPr>
        <w:ind w:left="480" w:hanging="480"/>
      </w:pPr>
      <w:rPr>
        <w:rFonts w:hint="default"/>
      </w:rPr>
    </w:lvl>
    <w:lvl w:ilvl="1" w:tplc="EB326BFE">
      <w:start w:val="1"/>
      <w:numFmt w:val="bullet"/>
      <w:lvlText w:val="•"/>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E0A0D44"/>
    <w:multiLevelType w:val="hybridMultilevel"/>
    <w:tmpl w:val="167CD980"/>
    <w:lvl w:ilvl="0" w:tplc="4C64207A">
      <w:start w:val="1"/>
      <w:numFmt w:val="bullet"/>
      <w:lvlText w:val=""/>
      <w:lvlJc w:val="left"/>
      <w:pPr>
        <w:ind w:left="480" w:hanging="480"/>
      </w:pPr>
      <w:rPr>
        <w:rFonts w:ascii="Symbol" w:hAnsi="Symbol" w:hint="default"/>
        <w:color w:val="auto"/>
        <w:sz w:val="28"/>
        <w:szCs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FBE6AA7"/>
    <w:multiLevelType w:val="hybridMultilevel"/>
    <w:tmpl w:val="BC72ED12"/>
    <w:lvl w:ilvl="0" w:tplc="37B8DD96">
      <w:numFmt w:val="bullet"/>
      <w:lvlText w:val="-"/>
      <w:lvlJc w:val="left"/>
      <w:pPr>
        <w:ind w:left="1560" w:hanging="480"/>
      </w:pPr>
      <w:rPr>
        <w:rFonts w:ascii="Calibri" w:eastAsiaTheme="minorHAnsi" w:hAnsi="Calibri" w:cs="Calibri" w:hint="default"/>
      </w:rPr>
    </w:lvl>
    <w:lvl w:ilvl="1" w:tplc="04090003" w:tentative="1">
      <w:start w:val="1"/>
      <w:numFmt w:val="bullet"/>
      <w:lvlText w:val=""/>
      <w:lvlJc w:val="left"/>
      <w:pPr>
        <w:ind w:left="2040" w:hanging="480"/>
      </w:pPr>
      <w:rPr>
        <w:rFonts w:ascii="Wingdings" w:hAnsi="Wingdings" w:hint="default"/>
      </w:rPr>
    </w:lvl>
    <w:lvl w:ilvl="2" w:tplc="04090005" w:tentative="1">
      <w:start w:val="1"/>
      <w:numFmt w:val="bullet"/>
      <w:lvlText w:val=""/>
      <w:lvlJc w:val="left"/>
      <w:pPr>
        <w:ind w:left="2520" w:hanging="480"/>
      </w:pPr>
      <w:rPr>
        <w:rFonts w:ascii="Wingdings" w:hAnsi="Wingdings" w:hint="default"/>
      </w:rPr>
    </w:lvl>
    <w:lvl w:ilvl="3" w:tplc="04090001" w:tentative="1">
      <w:start w:val="1"/>
      <w:numFmt w:val="bullet"/>
      <w:lvlText w:val=""/>
      <w:lvlJc w:val="left"/>
      <w:pPr>
        <w:ind w:left="3000" w:hanging="480"/>
      </w:pPr>
      <w:rPr>
        <w:rFonts w:ascii="Wingdings" w:hAnsi="Wingdings" w:hint="default"/>
      </w:rPr>
    </w:lvl>
    <w:lvl w:ilvl="4" w:tplc="04090003" w:tentative="1">
      <w:start w:val="1"/>
      <w:numFmt w:val="bullet"/>
      <w:lvlText w:val=""/>
      <w:lvlJc w:val="left"/>
      <w:pPr>
        <w:ind w:left="3480" w:hanging="480"/>
      </w:pPr>
      <w:rPr>
        <w:rFonts w:ascii="Wingdings" w:hAnsi="Wingdings" w:hint="default"/>
      </w:rPr>
    </w:lvl>
    <w:lvl w:ilvl="5" w:tplc="04090005" w:tentative="1">
      <w:start w:val="1"/>
      <w:numFmt w:val="bullet"/>
      <w:lvlText w:val=""/>
      <w:lvlJc w:val="left"/>
      <w:pPr>
        <w:ind w:left="3960" w:hanging="480"/>
      </w:pPr>
      <w:rPr>
        <w:rFonts w:ascii="Wingdings" w:hAnsi="Wingdings" w:hint="default"/>
      </w:rPr>
    </w:lvl>
    <w:lvl w:ilvl="6" w:tplc="04090001" w:tentative="1">
      <w:start w:val="1"/>
      <w:numFmt w:val="bullet"/>
      <w:lvlText w:val=""/>
      <w:lvlJc w:val="left"/>
      <w:pPr>
        <w:ind w:left="4440" w:hanging="480"/>
      </w:pPr>
      <w:rPr>
        <w:rFonts w:ascii="Wingdings" w:hAnsi="Wingdings" w:hint="default"/>
      </w:rPr>
    </w:lvl>
    <w:lvl w:ilvl="7" w:tplc="04090003" w:tentative="1">
      <w:start w:val="1"/>
      <w:numFmt w:val="bullet"/>
      <w:lvlText w:val=""/>
      <w:lvlJc w:val="left"/>
      <w:pPr>
        <w:ind w:left="4920" w:hanging="480"/>
      </w:pPr>
      <w:rPr>
        <w:rFonts w:ascii="Wingdings" w:hAnsi="Wingdings" w:hint="default"/>
      </w:rPr>
    </w:lvl>
    <w:lvl w:ilvl="8" w:tplc="04090005" w:tentative="1">
      <w:start w:val="1"/>
      <w:numFmt w:val="bullet"/>
      <w:lvlText w:val=""/>
      <w:lvlJc w:val="left"/>
      <w:pPr>
        <w:ind w:left="5400" w:hanging="480"/>
      </w:pPr>
      <w:rPr>
        <w:rFonts w:ascii="Wingdings" w:hAnsi="Wingdings" w:hint="default"/>
      </w:rPr>
    </w:lvl>
  </w:abstractNum>
  <w:abstractNum w:abstractNumId="21" w15:restartNumberingAfterBreak="0">
    <w:nsid w:val="54593022"/>
    <w:multiLevelType w:val="hybridMultilevel"/>
    <w:tmpl w:val="601EC9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2121E"/>
    <w:multiLevelType w:val="hybridMultilevel"/>
    <w:tmpl w:val="2EF28906"/>
    <w:lvl w:ilvl="0" w:tplc="7DA0C556">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1B0128"/>
    <w:multiLevelType w:val="multilevel"/>
    <w:tmpl w:val="1306495E"/>
    <w:lvl w:ilvl="0">
      <w:start w:val="1"/>
      <w:numFmt w:val="decimal"/>
      <w:lvlText w:val="%1."/>
      <w:lvlJc w:val="left"/>
      <w:pPr>
        <w:ind w:left="480" w:hanging="48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40" w:hanging="48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4F0869"/>
    <w:multiLevelType w:val="multilevel"/>
    <w:tmpl w:val="1306495E"/>
    <w:lvl w:ilvl="0">
      <w:start w:val="1"/>
      <w:numFmt w:val="decimal"/>
      <w:lvlText w:val="%1."/>
      <w:lvlJc w:val="left"/>
      <w:pPr>
        <w:ind w:left="480" w:hanging="480"/>
      </w:pPr>
      <w:rPr>
        <w:rFonts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40" w:hanging="48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8803499"/>
    <w:multiLevelType w:val="hybridMultilevel"/>
    <w:tmpl w:val="1E82E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3D799C"/>
    <w:multiLevelType w:val="hybridMultilevel"/>
    <w:tmpl w:val="5EA69F1C"/>
    <w:lvl w:ilvl="0" w:tplc="D242A9C2">
      <w:start w:val="1"/>
      <w:numFmt w:val="bullet"/>
      <w:lvlText w:val=""/>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755F0CE1"/>
    <w:multiLevelType w:val="hybridMultilevel"/>
    <w:tmpl w:val="0338FA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852AA0"/>
    <w:multiLevelType w:val="hybridMultilevel"/>
    <w:tmpl w:val="F51E323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12"/>
  </w:num>
  <w:num w:numId="3">
    <w:abstractNumId w:val="5"/>
  </w:num>
  <w:num w:numId="4">
    <w:abstractNumId w:val="18"/>
  </w:num>
  <w:num w:numId="5">
    <w:abstractNumId w:val="26"/>
  </w:num>
  <w:num w:numId="6">
    <w:abstractNumId w:val="16"/>
  </w:num>
  <w:num w:numId="7">
    <w:abstractNumId w:val="8"/>
  </w:num>
  <w:num w:numId="8">
    <w:abstractNumId w:val="14"/>
  </w:num>
  <w:num w:numId="9">
    <w:abstractNumId w:val="9"/>
  </w:num>
  <w:num w:numId="10">
    <w:abstractNumId w:val="0"/>
  </w:num>
  <w:num w:numId="11">
    <w:abstractNumId w:val="4"/>
  </w:num>
  <w:num w:numId="12">
    <w:abstractNumId w:val="6"/>
  </w:num>
  <w:num w:numId="13">
    <w:abstractNumId w:val="25"/>
  </w:num>
  <w:num w:numId="14">
    <w:abstractNumId w:val="1"/>
  </w:num>
  <w:num w:numId="15">
    <w:abstractNumId w:val="20"/>
  </w:num>
  <w:num w:numId="16">
    <w:abstractNumId w:val="23"/>
  </w:num>
  <w:num w:numId="17">
    <w:abstractNumId w:val="17"/>
  </w:num>
  <w:num w:numId="18">
    <w:abstractNumId w:val="3"/>
  </w:num>
  <w:num w:numId="19">
    <w:abstractNumId w:val="19"/>
  </w:num>
  <w:num w:numId="20">
    <w:abstractNumId w:val="11"/>
  </w:num>
  <w:num w:numId="21">
    <w:abstractNumId w:val="10"/>
  </w:num>
  <w:num w:numId="22">
    <w:abstractNumId w:val="7"/>
  </w:num>
  <w:num w:numId="23">
    <w:abstractNumId w:val="2"/>
  </w:num>
  <w:num w:numId="24">
    <w:abstractNumId w:val="24"/>
  </w:num>
  <w:num w:numId="25">
    <w:abstractNumId w:val="15"/>
  </w:num>
  <w:num w:numId="26">
    <w:abstractNumId w:val="28"/>
  </w:num>
  <w:num w:numId="27">
    <w:abstractNumId w:val="13"/>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D1F33"/>
    <w:rsid w:val="0000080F"/>
    <w:rsid w:val="00000D3A"/>
    <w:rsid w:val="00000F11"/>
    <w:rsid w:val="000011C1"/>
    <w:rsid w:val="00002E25"/>
    <w:rsid w:val="00004246"/>
    <w:rsid w:val="000067CF"/>
    <w:rsid w:val="00006E20"/>
    <w:rsid w:val="0000718A"/>
    <w:rsid w:val="00007C8B"/>
    <w:rsid w:val="00010633"/>
    <w:rsid w:val="00010E90"/>
    <w:rsid w:val="000112C6"/>
    <w:rsid w:val="000128F3"/>
    <w:rsid w:val="000129D3"/>
    <w:rsid w:val="00013D06"/>
    <w:rsid w:val="000144A0"/>
    <w:rsid w:val="000157BC"/>
    <w:rsid w:val="00015802"/>
    <w:rsid w:val="00015FBB"/>
    <w:rsid w:val="00020E63"/>
    <w:rsid w:val="00024DA5"/>
    <w:rsid w:val="000262A4"/>
    <w:rsid w:val="00026AE0"/>
    <w:rsid w:val="00027204"/>
    <w:rsid w:val="00030304"/>
    <w:rsid w:val="00030608"/>
    <w:rsid w:val="00032F59"/>
    <w:rsid w:val="00034DCE"/>
    <w:rsid w:val="00034E09"/>
    <w:rsid w:val="00037975"/>
    <w:rsid w:val="00041F3F"/>
    <w:rsid w:val="00043D51"/>
    <w:rsid w:val="00043E74"/>
    <w:rsid w:val="00044D11"/>
    <w:rsid w:val="00045006"/>
    <w:rsid w:val="00045552"/>
    <w:rsid w:val="00045B85"/>
    <w:rsid w:val="00050A0A"/>
    <w:rsid w:val="000510F9"/>
    <w:rsid w:val="00054A74"/>
    <w:rsid w:val="00055F3A"/>
    <w:rsid w:val="00057AB4"/>
    <w:rsid w:val="000601BA"/>
    <w:rsid w:val="000603A7"/>
    <w:rsid w:val="00064F6B"/>
    <w:rsid w:val="00065D2B"/>
    <w:rsid w:val="000666DA"/>
    <w:rsid w:val="00067E5A"/>
    <w:rsid w:val="00071658"/>
    <w:rsid w:val="00071AEE"/>
    <w:rsid w:val="00073375"/>
    <w:rsid w:val="00073B09"/>
    <w:rsid w:val="00073F5F"/>
    <w:rsid w:val="00075E57"/>
    <w:rsid w:val="00077BE1"/>
    <w:rsid w:val="00082DF1"/>
    <w:rsid w:val="00083DC2"/>
    <w:rsid w:val="00083E1D"/>
    <w:rsid w:val="00085BAF"/>
    <w:rsid w:val="00086469"/>
    <w:rsid w:val="00090796"/>
    <w:rsid w:val="00090AA5"/>
    <w:rsid w:val="00092A5D"/>
    <w:rsid w:val="00093AF5"/>
    <w:rsid w:val="000953CE"/>
    <w:rsid w:val="0009562F"/>
    <w:rsid w:val="000956D1"/>
    <w:rsid w:val="000975E4"/>
    <w:rsid w:val="000A0283"/>
    <w:rsid w:val="000A1665"/>
    <w:rsid w:val="000A19BC"/>
    <w:rsid w:val="000A3B1A"/>
    <w:rsid w:val="000A72A9"/>
    <w:rsid w:val="000A780C"/>
    <w:rsid w:val="000B1728"/>
    <w:rsid w:val="000B20C3"/>
    <w:rsid w:val="000B577D"/>
    <w:rsid w:val="000B5E46"/>
    <w:rsid w:val="000C0651"/>
    <w:rsid w:val="000C0708"/>
    <w:rsid w:val="000C0B92"/>
    <w:rsid w:val="000C0D5D"/>
    <w:rsid w:val="000C48E6"/>
    <w:rsid w:val="000C4C9B"/>
    <w:rsid w:val="000C5147"/>
    <w:rsid w:val="000C6093"/>
    <w:rsid w:val="000C6898"/>
    <w:rsid w:val="000D080A"/>
    <w:rsid w:val="000D099D"/>
    <w:rsid w:val="000D12BA"/>
    <w:rsid w:val="000D3075"/>
    <w:rsid w:val="000D4AFA"/>
    <w:rsid w:val="000D5FA9"/>
    <w:rsid w:val="000D6B9D"/>
    <w:rsid w:val="000D7D89"/>
    <w:rsid w:val="000E0A1E"/>
    <w:rsid w:val="000E0A6D"/>
    <w:rsid w:val="000E2071"/>
    <w:rsid w:val="000E3AD9"/>
    <w:rsid w:val="000E4864"/>
    <w:rsid w:val="000E4F35"/>
    <w:rsid w:val="000E52ED"/>
    <w:rsid w:val="000E6368"/>
    <w:rsid w:val="000E6F22"/>
    <w:rsid w:val="000E7A92"/>
    <w:rsid w:val="000E7D87"/>
    <w:rsid w:val="000F461C"/>
    <w:rsid w:val="000F4DFB"/>
    <w:rsid w:val="000F77E3"/>
    <w:rsid w:val="00104198"/>
    <w:rsid w:val="001066E8"/>
    <w:rsid w:val="0011076E"/>
    <w:rsid w:val="001166FE"/>
    <w:rsid w:val="0011765E"/>
    <w:rsid w:val="00117BB8"/>
    <w:rsid w:val="00120633"/>
    <w:rsid w:val="00125825"/>
    <w:rsid w:val="0012588A"/>
    <w:rsid w:val="00126F3F"/>
    <w:rsid w:val="0012780D"/>
    <w:rsid w:val="0012799B"/>
    <w:rsid w:val="00131BCE"/>
    <w:rsid w:val="001344E3"/>
    <w:rsid w:val="00134B8F"/>
    <w:rsid w:val="001358E1"/>
    <w:rsid w:val="0014079E"/>
    <w:rsid w:val="00142DE0"/>
    <w:rsid w:val="00144898"/>
    <w:rsid w:val="00146833"/>
    <w:rsid w:val="00146D75"/>
    <w:rsid w:val="00150C64"/>
    <w:rsid w:val="00151370"/>
    <w:rsid w:val="00153042"/>
    <w:rsid w:val="00154142"/>
    <w:rsid w:val="001542D9"/>
    <w:rsid w:val="001548DF"/>
    <w:rsid w:val="00157B3B"/>
    <w:rsid w:val="001601E7"/>
    <w:rsid w:val="00161F4A"/>
    <w:rsid w:val="001633E3"/>
    <w:rsid w:val="001652D4"/>
    <w:rsid w:val="001661E0"/>
    <w:rsid w:val="00167EF2"/>
    <w:rsid w:val="00175B4F"/>
    <w:rsid w:val="00176B55"/>
    <w:rsid w:val="00181020"/>
    <w:rsid w:val="0018174C"/>
    <w:rsid w:val="001818E5"/>
    <w:rsid w:val="001832C8"/>
    <w:rsid w:val="00184E4D"/>
    <w:rsid w:val="001855D0"/>
    <w:rsid w:val="00186A5C"/>
    <w:rsid w:val="001902B2"/>
    <w:rsid w:val="00192ADE"/>
    <w:rsid w:val="00192CF1"/>
    <w:rsid w:val="001932F4"/>
    <w:rsid w:val="001933D1"/>
    <w:rsid w:val="001956E4"/>
    <w:rsid w:val="00195CE3"/>
    <w:rsid w:val="00196561"/>
    <w:rsid w:val="001969BD"/>
    <w:rsid w:val="00196E19"/>
    <w:rsid w:val="00196FC9"/>
    <w:rsid w:val="001B1736"/>
    <w:rsid w:val="001B2603"/>
    <w:rsid w:val="001B3479"/>
    <w:rsid w:val="001B49C8"/>
    <w:rsid w:val="001B5B76"/>
    <w:rsid w:val="001B71E2"/>
    <w:rsid w:val="001C2340"/>
    <w:rsid w:val="001C2449"/>
    <w:rsid w:val="001C5201"/>
    <w:rsid w:val="001C58B9"/>
    <w:rsid w:val="001C6156"/>
    <w:rsid w:val="001D15E1"/>
    <w:rsid w:val="001D2881"/>
    <w:rsid w:val="001D2FE6"/>
    <w:rsid w:val="001D4241"/>
    <w:rsid w:val="001D4312"/>
    <w:rsid w:val="001D5C10"/>
    <w:rsid w:val="001D6DE9"/>
    <w:rsid w:val="001D7E45"/>
    <w:rsid w:val="001E1993"/>
    <w:rsid w:val="001E436E"/>
    <w:rsid w:val="001E5279"/>
    <w:rsid w:val="001E7284"/>
    <w:rsid w:val="001F30EB"/>
    <w:rsid w:val="001F315A"/>
    <w:rsid w:val="001F4D06"/>
    <w:rsid w:val="001F54DF"/>
    <w:rsid w:val="001F59C0"/>
    <w:rsid w:val="001F5C43"/>
    <w:rsid w:val="001F663F"/>
    <w:rsid w:val="00200360"/>
    <w:rsid w:val="0020474F"/>
    <w:rsid w:val="00205B3C"/>
    <w:rsid w:val="0020718E"/>
    <w:rsid w:val="00210CDF"/>
    <w:rsid w:val="00211DB5"/>
    <w:rsid w:val="002139BB"/>
    <w:rsid w:val="0021513A"/>
    <w:rsid w:val="002151A9"/>
    <w:rsid w:val="00215B36"/>
    <w:rsid w:val="00216AA4"/>
    <w:rsid w:val="00216E7B"/>
    <w:rsid w:val="002176F3"/>
    <w:rsid w:val="00220132"/>
    <w:rsid w:val="002206DD"/>
    <w:rsid w:val="00220A43"/>
    <w:rsid w:val="002221F2"/>
    <w:rsid w:val="00222C4C"/>
    <w:rsid w:val="002245B2"/>
    <w:rsid w:val="0022618F"/>
    <w:rsid w:val="002301B9"/>
    <w:rsid w:val="00232E22"/>
    <w:rsid w:val="002332F8"/>
    <w:rsid w:val="002349F4"/>
    <w:rsid w:val="002358B8"/>
    <w:rsid w:val="00235F1B"/>
    <w:rsid w:val="00235FA3"/>
    <w:rsid w:val="00236055"/>
    <w:rsid w:val="00236A63"/>
    <w:rsid w:val="00237849"/>
    <w:rsid w:val="00237E4C"/>
    <w:rsid w:val="002414DD"/>
    <w:rsid w:val="00241F70"/>
    <w:rsid w:val="002423F0"/>
    <w:rsid w:val="00244425"/>
    <w:rsid w:val="002500A8"/>
    <w:rsid w:val="00251DFD"/>
    <w:rsid w:val="00252666"/>
    <w:rsid w:val="00253232"/>
    <w:rsid w:val="0025379F"/>
    <w:rsid w:val="00255401"/>
    <w:rsid w:val="00256718"/>
    <w:rsid w:val="002577C9"/>
    <w:rsid w:val="0026058A"/>
    <w:rsid w:val="0026281B"/>
    <w:rsid w:val="00263A5E"/>
    <w:rsid w:val="0026493E"/>
    <w:rsid w:val="002708ED"/>
    <w:rsid w:val="002735AF"/>
    <w:rsid w:val="002741B8"/>
    <w:rsid w:val="00275901"/>
    <w:rsid w:val="002803B1"/>
    <w:rsid w:val="00280653"/>
    <w:rsid w:val="0028097B"/>
    <w:rsid w:val="002837A3"/>
    <w:rsid w:val="0028490B"/>
    <w:rsid w:val="0028590A"/>
    <w:rsid w:val="002878C1"/>
    <w:rsid w:val="00290088"/>
    <w:rsid w:val="002917B7"/>
    <w:rsid w:val="00293005"/>
    <w:rsid w:val="0029310F"/>
    <w:rsid w:val="00296C16"/>
    <w:rsid w:val="002A1EC9"/>
    <w:rsid w:val="002A3492"/>
    <w:rsid w:val="002A3F76"/>
    <w:rsid w:val="002A4612"/>
    <w:rsid w:val="002A4CFE"/>
    <w:rsid w:val="002A64D4"/>
    <w:rsid w:val="002A6B81"/>
    <w:rsid w:val="002A6EBE"/>
    <w:rsid w:val="002B1029"/>
    <w:rsid w:val="002B2FDC"/>
    <w:rsid w:val="002B379A"/>
    <w:rsid w:val="002B45FD"/>
    <w:rsid w:val="002B4B07"/>
    <w:rsid w:val="002C040A"/>
    <w:rsid w:val="002C1E8F"/>
    <w:rsid w:val="002C3B1C"/>
    <w:rsid w:val="002C3BC3"/>
    <w:rsid w:val="002C42D1"/>
    <w:rsid w:val="002C6422"/>
    <w:rsid w:val="002C6B87"/>
    <w:rsid w:val="002C6EAD"/>
    <w:rsid w:val="002C6EC8"/>
    <w:rsid w:val="002D0BCF"/>
    <w:rsid w:val="002D1312"/>
    <w:rsid w:val="002D18BD"/>
    <w:rsid w:val="002D1A53"/>
    <w:rsid w:val="002D1BC2"/>
    <w:rsid w:val="002D2D0D"/>
    <w:rsid w:val="002D35A1"/>
    <w:rsid w:val="002D3DF6"/>
    <w:rsid w:val="002D4267"/>
    <w:rsid w:val="002E12CB"/>
    <w:rsid w:val="002E16BF"/>
    <w:rsid w:val="002E3200"/>
    <w:rsid w:val="002E3372"/>
    <w:rsid w:val="002E3E76"/>
    <w:rsid w:val="002E42AB"/>
    <w:rsid w:val="002E48AB"/>
    <w:rsid w:val="002E5FFE"/>
    <w:rsid w:val="002F0217"/>
    <w:rsid w:val="002F181D"/>
    <w:rsid w:val="002F1EB4"/>
    <w:rsid w:val="002F2764"/>
    <w:rsid w:val="002F2E73"/>
    <w:rsid w:val="002F56A0"/>
    <w:rsid w:val="002F5BC9"/>
    <w:rsid w:val="002F681C"/>
    <w:rsid w:val="003003E3"/>
    <w:rsid w:val="00300B32"/>
    <w:rsid w:val="003019B6"/>
    <w:rsid w:val="00301D95"/>
    <w:rsid w:val="00302BF4"/>
    <w:rsid w:val="00302EA7"/>
    <w:rsid w:val="003037BA"/>
    <w:rsid w:val="00310094"/>
    <w:rsid w:val="00311CBE"/>
    <w:rsid w:val="0031247A"/>
    <w:rsid w:val="00314FE8"/>
    <w:rsid w:val="003158B1"/>
    <w:rsid w:val="00315920"/>
    <w:rsid w:val="00315954"/>
    <w:rsid w:val="00315D56"/>
    <w:rsid w:val="003170E1"/>
    <w:rsid w:val="00320179"/>
    <w:rsid w:val="0032049F"/>
    <w:rsid w:val="00320A01"/>
    <w:rsid w:val="00321562"/>
    <w:rsid w:val="00321C45"/>
    <w:rsid w:val="0032402C"/>
    <w:rsid w:val="00325236"/>
    <w:rsid w:val="00325665"/>
    <w:rsid w:val="00325FBF"/>
    <w:rsid w:val="003265FE"/>
    <w:rsid w:val="00326F37"/>
    <w:rsid w:val="00331512"/>
    <w:rsid w:val="00331DBB"/>
    <w:rsid w:val="00333881"/>
    <w:rsid w:val="00336064"/>
    <w:rsid w:val="00336F0F"/>
    <w:rsid w:val="00337AD4"/>
    <w:rsid w:val="0034075A"/>
    <w:rsid w:val="00340764"/>
    <w:rsid w:val="003416E9"/>
    <w:rsid w:val="003437AD"/>
    <w:rsid w:val="003440E1"/>
    <w:rsid w:val="00344AC2"/>
    <w:rsid w:val="003462F8"/>
    <w:rsid w:val="00346A03"/>
    <w:rsid w:val="00347B3B"/>
    <w:rsid w:val="00350685"/>
    <w:rsid w:val="00350F32"/>
    <w:rsid w:val="00350F88"/>
    <w:rsid w:val="003518D1"/>
    <w:rsid w:val="00352489"/>
    <w:rsid w:val="0035387B"/>
    <w:rsid w:val="00355EB5"/>
    <w:rsid w:val="00356229"/>
    <w:rsid w:val="003568DF"/>
    <w:rsid w:val="003575D6"/>
    <w:rsid w:val="00357645"/>
    <w:rsid w:val="00360A23"/>
    <w:rsid w:val="00365B38"/>
    <w:rsid w:val="00366207"/>
    <w:rsid w:val="0037034E"/>
    <w:rsid w:val="003709A5"/>
    <w:rsid w:val="00372A2F"/>
    <w:rsid w:val="003735C4"/>
    <w:rsid w:val="00373813"/>
    <w:rsid w:val="0037420A"/>
    <w:rsid w:val="0037788F"/>
    <w:rsid w:val="00377B7C"/>
    <w:rsid w:val="003806E8"/>
    <w:rsid w:val="00381A3B"/>
    <w:rsid w:val="00382911"/>
    <w:rsid w:val="003839A8"/>
    <w:rsid w:val="003841C1"/>
    <w:rsid w:val="00385643"/>
    <w:rsid w:val="00386F9B"/>
    <w:rsid w:val="0038751C"/>
    <w:rsid w:val="00387596"/>
    <w:rsid w:val="00393E2D"/>
    <w:rsid w:val="00397FC5"/>
    <w:rsid w:val="003A24C1"/>
    <w:rsid w:val="003A276E"/>
    <w:rsid w:val="003A31AB"/>
    <w:rsid w:val="003A5923"/>
    <w:rsid w:val="003B1161"/>
    <w:rsid w:val="003B1C61"/>
    <w:rsid w:val="003B24A7"/>
    <w:rsid w:val="003B2CE1"/>
    <w:rsid w:val="003B323F"/>
    <w:rsid w:val="003B7A1B"/>
    <w:rsid w:val="003C2133"/>
    <w:rsid w:val="003C5887"/>
    <w:rsid w:val="003C5C4E"/>
    <w:rsid w:val="003D0BA5"/>
    <w:rsid w:val="003D170A"/>
    <w:rsid w:val="003D28A9"/>
    <w:rsid w:val="003D2923"/>
    <w:rsid w:val="003D3405"/>
    <w:rsid w:val="003D537A"/>
    <w:rsid w:val="003D5D84"/>
    <w:rsid w:val="003E0170"/>
    <w:rsid w:val="003E0CF3"/>
    <w:rsid w:val="003E108A"/>
    <w:rsid w:val="003E51D0"/>
    <w:rsid w:val="003E7124"/>
    <w:rsid w:val="003E7F62"/>
    <w:rsid w:val="003F01AC"/>
    <w:rsid w:val="003F083E"/>
    <w:rsid w:val="003F4BCD"/>
    <w:rsid w:val="003F5C4D"/>
    <w:rsid w:val="00403D9D"/>
    <w:rsid w:val="00404348"/>
    <w:rsid w:val="0041127F"/>
    <w:rsid w:val="0041154B"/>
    <w:rsid w:val="0041293B"/>
    <w:rsid w:val="00413B41"/>
    <w:rsid w:val="00413DAD"/>
    <w:rsid w:val="00416704"/>
    <w:rsid w:val="004168AD"/>
    <w:rsid w:val="00417C21"/>
    <w:rsid w:val="00421806"/>
    <w:rsid w:val="004219F4"/>
    <w:rsid w:val="004233CC"/>
    <w:rsid w:val="00425193"/>
    <w:rsid w:val="00425DEC"/>
    <w:rsid w:val="00426455"/>
    <w:rsid w:val="00426C88"/>
    <w:rsid w:val="004272C7"/>
    <w:rsid w:val="004303A3"/>
    <w:rsid w:val="00431B31"/>
    <w:rsid w:val="00431C82"/>
    <w:rsid w:val="004326AD"/>
    <w:rsid w:val="004328AD"/>
    <w:rsid w:val="00435979"/>
    <w:rsid w:val="00437C31"/>
    <w:rsid w:val="00441342"/>
    <w:rsid w:val="00442C7D"/>
    <w:rsid w:val="00443D7B"/>
    <w:rsid w:val="004447C1"/>
    <w:rsid w:val="0044594A"/>
    <w:rsid w:val="004462B7"/>
    <w:rsid w:val="004470B8"/>
    <w:rsid w:val="00447CA7"/>
    <w:rsid w:val="00450654"/>
    <w:rsid w:val="004537F4"/>
    <w:rsid w:val="00454006"/>
    <w:rsid w:val="00454B6D"/>
    <w:rsid w:val="004577D3"/>
    <w:rsid w:val="004602E9"/>
    <w:rsid w:val="00461650"/>
    <w:rsid w:val="0046632E"/>
    <w:rsid w:val="004677F4"/>
    <w:rsid w:val="00467B36"/>
    <w:rsid w:val="00467DF3"/>
    <w:rsid w:val="0047077C"/>
    <w:rsid w:val="00477480"/>
    <w:rsid w:val="00477F6A"/>
    <w:rsid w:val="004812FF"/>
    <w:rsid w:val="00484039"/>
    <w:rsid w:val="004857B8"/>
    <w:rsid w:val="00485CDC"/>
    <w:rsid w:val="004879A8"/>
    <w:rsid w:val="004916E6"/>
    <w:rsid w:val="004916F4"/>
    <w:rsid w:val="00491DC4"/>
    <w:rsid w:val="00492A10"/>
    <w:rsid w:val="004931A4"/>
    <w:rsid w:val="0049436A"/>
    <w:rsid w:val="0049463B"/>
    <w:rsid w:val="00496EC0"/>
    <w:rsid w:val="00497F39"/>
    <w:rsid w:val="004A19D8"/>
    <w:rsid w:val="004A1A3E"/>
    <w:rsid w:val="004A51CF"/>
    <w:rsid w:val="004A6700"/>
    <w:rsid w:val="004A6B53"/>
    <w:rsid w:val="004B0A9B"/>
    <w:rsid w:val="004B13E5"/>
    <w:rsid w:val="004B1F6F"/>
    <w:rsid w:val="004B38FC"/>
    <w:rsid w:val="004B3D86"/>
    <w:rsid w:val="004B4214"/>
    <w:rsid w:val="004B6581"/>
    <w:rsid w:val="004B6597"/>
    <w:rsid w:val="004B6C84"/>
    <w:rsid w:val="004B6FF4"/>
    <w:rsid w:val="004B7BB8"/>
    <w:rsid w:val="004C2B0E"/>
    <w:rsid w:val="004C35FB"/>
    <w:rsid w:val="004C395B"/>
    <w:rsid w:val="004C3A84"/>
    <w:rsid w:val="004C4046"/>
    <w:rsid w:val="004C46ED"/>
    <w:rsid w:val="004C5639"/>
    <w:rsid w:val="004C7434"/>
    <w:rsid w:val="004D0BA1"/>
    <w:rsid w:val="004D135F"/>
    <w:rsid w:val="004D2916"/>
    <w:rsid w:val="004D354A"/>
    <w:rsid w:val="004D4696"/>
    <w:rsid w:val="004D5612"/>
    <w:rsid w:val="004D59C1"/>
    <w:rsid w:val="004E1629"/>
    <w:rsid w:val="004E4070"/>
    <w:rsid w:val="004E5B99"/>
    <w:rsid w:val="004F0085"/>
    <w:rsid w:val="004F1602"/>
    <w:rsid w:val="004F263A"/>
    <w:rsid w:val="004F5DF1"/>
    <w:rsid w:val="004F6191"/>
    <w:rsid w:val="004F6DE2"/>
    <w:rsid w:val="0050129B"/>
    <w:rsid w:val="005012A6"/>
    <w:rsid w:val="00501801"/>
    <w:rsid w:val="0050239C"/>
    <w:rsid w:val="00502CBC"/>
    <w:rsid w:val="00503A81"/>
    <w:rsid w:val="00506E2A"/>
    <w:rsid w:val="005127B3"/>
    <w:rsid w:val="00512B41"/>
    <w:rsid w:val="00513492"/>
    <w:rsid w:val="00513B86"/>
    <w:rsid w:val="005140DE"/>
    <w:rsid w:val="00515308"/>
    <w:rsid w:val="00516A60"/>
    <w:rsid w:val="00520E2F"/>
    <w:rsid w:val="00521DD3"/>
    <w:rsid w:val="005234BE"/>
    <w:rsid w:val="005235C6"/>
    <w:rsid w:val="0052392B"/>
    <w:rsid w:val="0052445B"/>
    <w:rsid w:val="005254D2"/>
    <w:rsid w:val="005264A6"/>
    <w:rsid w:val="00527F83"/>
    <w:rsid w:val="00530673"/>
    <w:rsid w:val="00531922"/>
    <w:rsid w:val="00532BC6"/>
    <w:rsid w:val="005373B3"/>
    <w:rsid w:val="005408C5"/>
    <w:rsid w:val="00540CA3"/>
    <w:rsid w:val="005410FF"/>
    <w:rsid w:val="00541772"/>
    <w:rsid w:val="00542406"/>
    <w:rsid w:val="00542D20"/>
    <w:rsid w:val="00542EC9"/>
    <w:rsid w:val="00544938"/>
    <w:rsid w:val="00545851"/>
    <w:rsid w:val="005512AD"/>
    <w:rsid w:val="00552314"/>
    <w:rsid w:val="00552728"/>
    <w:rsid w:val="00553316"/>
    <w:rsid w:val="00553CB7"/>
    <w:rsid w:val="00553D21"/>
    <w:rsid w:val="00556336"/>
    <w:rsid w:val="005613B5"/>
    <w:rsid w:val="00565646"/>
    <w:rsid w:val="0056642C"/>
    <w:rsid w:val="00566F0B"/>
    <w:rsid w:val="005726DB"/>
    <w:rsid w:val="0057377D"/>
    <w:rsid w:val="00573B35"/>
    <w:rsid w:val="0057470E"/>
    <w:rsid w:val="00575933"/>
    <w:rsid w:val="00582E5A"/>
    <w:rsid w:val="00584ADD"/>
    <w:rsid w:val="005857AB"/>
    <w:rsid w:val="00592454"/>
    <w:rsid w:val="0059582C"/>
    <w:rsid w:val="005A14FD"/>
    <w:rsid w:val="005A1581"/>
    <w:rsid w:val="005A1750"/>
    <w:rsid w:val="005A40BD"/>
    <w:rsid w:val="005A46EB"/>
    <w:rsid w:val="005A6ABF"/>
    <w:rsid w:val="005A713E"/>
    <w:rsid w:val="005B16AA"/>
    <w:rsid w:val="005B2C0B"/>
    <w:rsid w:val="005B4D07"/>
    <w:rsid w:val="005B5054"/>
    <w:rsid w:val="005B6729"/>
    <w:rsid w:val="005B6B4A"/>
    <w:rsid w:val="005B7B8E"/>
    <w:rsid w:val="005C0828"/>
    <w:rsid w:val="005C4056"/>
    <w:rsid w:val="005C4903"/>
    <w:rsid w:val="005C796D"/>
    <w:rsid w:val="005D1287"/>
    <w:rsid w:val="005D2F60"/>
    <w:rsid w:val="005D3A06"/>
    <w:rsid w:val="005D49AE"/>
    <w:rsid w:val="005D4D3C"/>
    <w:rsid w:val="005D54A4"/>
    <w:rsid w:val="005E00AF"/>
    <w:rsid w:val="005E12C4"/>
    <w:rsid w:val="005E3192"/>
    <w:rsid w:val="005E482D"/>
    <w:rsid w:val="005E4BC5"/>
    <w:rsid w:val="005E591B"/>
    <w:rsid w:val="005F1D88"/>
    <w:rsid w:val="005F1FCD"/>
    <w:rsid w:val="005F3967"/>
    <w:rsid w:val="005F3E15"/>
    <w:rsid w:val="005F5479"/>
    <w:rsid w:val="005F5D47"/>
    <w:rsid w:val="005F66F9"/>
    <w:rsid w:val="005F6735"/>
    <w:rsid w:val="00602D01"/>
    <w:rsid w:val="00603B3D"/>
    <w:rsid w:val="0060472E"/>
    <w:rsid w:val="006064C7"/>
    <w:rsid w:val="006076FD"/>
    <w:rsid w:val="00611377"/>
    <w:rsid w:val="00612083"/>
    <w:rsid w:val="006121C0"/>
    <w:rsid w:val="00614A66"/>
    <w:rsid w:val="006173F2"/>
    <w:rsid w:val="006231FB"/>
    <w:rsid w:val="00624800"/>
    <w:rsid w:val="006255CB"/>
    <w:rsid w:val="00625CC4"/>
    <w:rsid w:val="00625E1C"/>
    <w:rsid w:val="00626ABB"/>
    <w:rsid w:val="006279E7"/>
    <w:rsid w:val="006309D8"/>
    <w:rsid w:val="00631582"/>
    <w:rsid w:val="006318F9"/>
    <w:rsid w:val="006323D4"/>
    <w:rsid w:val="00632A21"/>
    <w:rsid w:val="00635327"/>
    <w:rsid w:val="006367F1"/>
    <w:rsid w:val="00640D62"/>
    <w:rsid w:val="00641AFE"/>
    <w:rsid w:val="00644D33"/>
    <w:rsid w:val="0064626F"/>
    <w:rsid w:val="00646A0E"/>
    <w:rsid w:val="00646CFA"/>
    <w:rsid w:val="006470AE"/>
    <w:rsid w:val="006473B9"/>
    <w:rsid w:val="00647928"/>
    <w:rsid w:val="00650849"/>
    <w:rsid w:val="0065426C"/>
    <w:rsid w:val="00655404"/>
    <w:rsid w:val="00661053"/>
    <w:rsid w:val="0066384D"/>
    <w:rsid w:val="00664331"/>
    <w:rsid w:val="00665DB8"/>
    <w:rsid w:val="0066758B"/>
    <w:rsid w:val="00667E25"/>
    <w:rsid w:val="006714D1"/>
    <w:rsid w:val="00672675"/>
    <w:rsid w:val="00672763"/>
    <w:rsid w:val="0067483B"/>
    <w:rsid w:val="00674A55"/>
    <w:rsid w:val="00675062"/>
    <w:rsid w:val="0067649B"/>
    <w:rsid w:val="00677764"/>
    <w:rsid w:val="00677F2C"/>
    <w:rsid w:val="00680D74"/>
    <w:rsid w:val="00685078"/>
    <w:rsid w:val="0068561A"/>
    <w:rsid w:val="006875D3"/>
    <w:rsid w:val="00690BF2"/>
    <w:rsid w:val="00692D20"/>
    <w:rsid w:val="00693743"/>
    <w:rsid w:val="0069476D"/>
    <w:rsid w:val="00695A24"/>
    <w:rsid w:val="00697A0B"/>
    <w:rsid w:val="006A309D"/>
    <w:rsid w:val="006A4946"/>
    <w:rsid w:val="006A6F2B"/>
    <w:rsid w:val="006A7540"/>
    <w:rsid w:val="006B163A"/>
    <w:rsid w:val="006B1E95"/>
    <w:rsid w:val="006B1EB8"/>
    <w:rsid w:val="006B5FA5"/>
    <w:rsid w:val="006B6BEB"/>
    <w:rsid w:val="006B6F38"/>
    <w:rsid w:val="006B70E3"/>
    <w:rsid w:val="006B716E"/>
    <w:rsid w:val="006C0276"/>
    <w:rsid w:val="006C27A0"/>
    <w:rsid w:val="006C55FE"/>
    <w:rsid w:val="006C6BE9"/>
    <w:rsid w:val="006C770D"/>
    <w:rsid w:val="006C7B8B"/>
    <w:rsid w:val="006C7D59"/>
    <w:rsid w:val="006D0936"/>
    <w:rsid w:val="006D1F33"/>
    <w:rsid w:val="006D5409"/>
    <w:rsid w:val="006E09BE"/>
    <w:rsid w:val="006E171C"/>
    <w:rsid w:val="006E1CEE"/>
    <w:rsid w:val="006E2612"/>
    <w:rsid w:val="006E3162"/>
    <w:rsid w:val="006E3B15"/>
    <w:rsid w:val="006E6982"/>
    <w:rsid w:val="006E6B4D"/>
    <w:rsid w:val="006E79B7"/>
    <w:rsid w:val="006F1C87"/>
    <w:rsid w:val="006F4DB7"/>
    <w:rsid w:val="006F6AAE"/>
    <w:rsid w:val="00700F35"/>
    <w:rsid w:val="00701BF3"/>
    <w:rsid w:val="00702273"/>
    <w:rsid w:val="007040F5"/>
    <w:rsid w:val="00704404"/>
    <w:rsid w:val="007044DF"/>
    <w:rsid w:val="00705402"/>
    <w:rsid w:val="00707864"/>
    <w:rsid w:val="00707A8D"/>
    <w:rsid w:val="00707F99"/>
    <w:rsid w:val="00710837"/>
    <w:rsid w:val="007109BC"/>
    <w:rsid w:val="007112D0"/>
    <w:rsid w:val="007117DF"/>
    <w:rsid w:val="00713515"/>
    <w:rsid w:val="00713E18"/>
    <w:rsid w:val="00713FF7"/>
    <w:rsid w:val="00715C3A"/>
    <w:rsid w:val="00715FED"/>
    <w:rsid w:val="00717142"/>
    <w:rsid w:val="007200DB"/>
    <w:rsid w:val="00720AD1"/>
    <w:rsid w:val="00722491"/>
    <w:rsid w:val="00722C32"/>
    <w:rsid w:val="00723B67"/>
    <w:rsid w:val="007303A9"/>
    <w:rsid w:val="00734D5B"/>
    <w:rsid w:val="00734EE3"/>
    <w:rsid w:val="00740600"/>
    <w:rsid w:val="0074389A"/>
    <w:rsid w:val="007452DF"/>
    <w:rsid w:val="007464FB"/>
    <w:rsid w:val="00746E53"/>
    <w:rsid w:val="00752D0E"/>
    <w:rsid w:val="00755C3D"/>
    <w:rsid w:val="00761624"/>
    <w:rsid w:val="0076190A"/>
    <w:rsid w:val="00761E04"/>
    <w:rsid w:val="00764B31"/>
    <w:rsid w:val="00765285"/>
    <w:rsid w:val="007673E5"/>
    <w:rsid w:val="007700E0"/>
    <w:rsid w:val="0077284D"/>
    <w:rsid w:val="007733EA"/>
    <w:rsid w:val="00773E06"/>
    <w:rsid w:val="0077429D"/>
    <w:rsid w:val="00775F80"/>
    <w:rsid w:val="00776581"/>
    <w:rsid w:val="007808DE"/>
    <w:rsid w:val="007808F9"/>
    <w:rsid w:val="0078172E"/>
    <w:rsid w:val="0078209C"/>
    <w:rsid w:val="0078392C"/>
    <w:rsid w:val="0078435F"/>
    <w:rsid w:val="00785539"/>
    <w:rsid w:val="0078648E"/>
    <w:rsid w:val="007874CB"/>
    <w:rsid w:val="007900C3"/>
    <w:rsid w:val="007917B4"/>
    <w:rsid w:val="007927D7"/>
    <w:rsid w:val="0079284E"/>
    <w:rsid w:val="00792D5F"/>
    <w:rsid w:val="007938EE"/>
    <w:rsid w:val="00793D1E"/>
    <w:rsid w:val="00795A8B"/>
    <w:rsid w:val="007A26ED"/>
    <w:rsid w:val="007A4171"/>
    <w:rsid w:val="007A4B02"/>
    <w:rsid w:val="007A5047"/>
    <w:rsid w:val="007A5684"/>
    <w:rsid w:val="007A656E"/>
    <w:rsid w:val="007A7813"/>
    <w:rsid w:val="007B0AB8"/>
    <w:rsid w:val="007B16E7"/>
    <w:rsid w:val="007B2922"/>
    <w:rsid w:val="007B2A6C"/>
    <w:rsid w:val="007B36F3"/>
    <w:rsid w:val="007B4ED7"/>
    <w:rsid w:val="007B5E14"/>
    <w:rsid w:val="007B6141"/>
    <w:rsid w:val="007B629D"/>
    <w:rsid w:val="007B709D"/>
    <w:rsid w:val="007B7682"/>
    <w:rsid w:val="007C05A6"/>
    <w:rsid w:val="007C1C5E"/>
    <w:rsid w:val="007C3102"/>
    <w:rsid w:val="007C64C2"/>
    <w:rsid w:val="007C6799"/>
    <w:rsid w:val="007C6B25"/>
    <w:rsid w:val="007C6C57"/>
    <w:rsid w:val="007D0F1D"/>
    <w:rsid w:val="007D2CBF"/>
    <w:rsid w:val="007D2D8B"/>
    <w:rsid w:val="007D3CB6"/>
    <w:rsid w:val="007D58B5"/>
    <w:rsid w:val="007D5A36"/>
    <w:rsid w:val="007D6121"/>
    <w:rsid w:val="007D6137"/>
    <w:rsid w:val="007D7A02"/>
    <w:rsid w:val="007E11C6"/>
    <w:rsid w:val="007E3171"/>
    <w:rsid w:val="007E4790"/>
    <w:rsid w:val="007E5344"/>
    <w:rsid w:val="007E7644"/>
    <w:rsid w:val="007F301C"/>
    <w:rsid w:val="007F34D4"/>
    <w:rsid w:val="007F40F6"/>
    <w:rsid w:val="007F641C"/>
    <w:rsid w:val="007F7DB5"/>
    <w:rsid w:val="007F7DBB"/>
    <w:rsid w:val="008008F8"/>
    <w:rsid w:val="008037DE"/>
    <w:rsid w:val="00804AE0"/>
    <w:rsid w:val="00804CBD"/>
    <w:rsid w:val="00805182"/>
    <w:rsid w:val="00805688"/>
    <w:rsid w:val="00806EBB"/>
    <w:rsid w:val="00807D76"/>
    <w:rsid w:val="008112C0"/>
    <w:rsid w:val="00811EF9"/>
    <w:rsid w:val="00813824"/>
    <w:rsid w:val="00816688"/>
    <w:rsid w:val="008166D4"/>
    <w:rsid w:val="00816E7E"/>
    <w:rsid w:val="0081702E"/>
    <w:rsid w:val="0082118B"/>
    <w:rsid w:val="00821A6C"/>
    <w:rsid w:val="00821B1E"/>
    <w:rsid w:val="00821D49"/>
    <w:rsid w:val="00823DE4"/>
    <w:rsid w:val="0082491D"/>
    <w:rsid w:val="00825B5D"/>
    <w:rsid w:val="00826944"/>
    <w:rsid w:val="00826C4F"/>
    <w:rsid w:val="008277A6"/>
    <w:rsid w:val="0082792B"/>
    <w:rsid w:val="008320FE"/>
    <w:rsid w:val="008328F1"/>
    <w:rsid w:val="00833755"/>
    <w:rsid w:val="00833871"/>
    <w:rsid w:val="00834326"/>
    <w:rsid w:val="00835708"/>
    <w:rsid w:val="00836426"/>
    <w:rsid w:val="0083651C"/>
    <w:rsid w:val="00836556"/>
    <w:rsid w:val="00836558"/>
    <w:rsid w:val="0083691A"/>
    <w:rsid w:val="00837AFF"/>
    <w:rsid w:val="00841FF5"/>
    <w:rsid w:val="00842A81"/>
    <w:rsid w:val="00844452"/>
    <w:rsid w:val="008448CD"/>
    <w:rsid w:val="00845C1B"/>
    <w:rsid w:val="0084635A"/>
    <w:rsid w:val="00847A61"/>
    <w:rsid w:val="00850893"/>
    <w:rsid w:val="008517CD"/>
    <w:rsid w:val="00851D7C"/>
    <w:rsid w:val="0085464B"/>
    <w:rsid w:val="00855ED4"/>
    <w:rsid w:val="00861B6E"/>
    <w:rsid w:val="008630A9"/>
    <w:rsid w:val="00864EDB"/>
    <w:rsid w:val="00865135"/>
    <w:rsid w:val="0086771C"/>
    <w:rsid w:val="00875489"/>
    <w:rsid w:val="00876C1C"/>
    <w:rsid w:val="0088395F"/>
    <w:rsid w:val="00883BCE"/>
    <w:rsid w:val="008859D0"/>
    <w:rsid w:val="00890C00"/>
    <w:rsid w:val="00891395"/>
    <w:rsid w:val="008913C6"/>
    <w:rsid w:val="008927A0"/>
    <w:rsid w:val="00892958"/>
    <w:rsid w:val="0089353F"/>
    <w:rsid w:val="0089358A"/>
    <w:rsid w:val="00894639"/>
    <w:rsid w:val="0089536A"/>
    <w:rsid w:val="008962C2"/>
    <w:rsid w:val="00896A17"/>
    <w:rsid w:val="008A4301"/>
    <w:rsid w:val="008A49B1"/>
    <w:rsid w:val="008A67DA"/>
    <w:rsid w:val="008A73B3"/>
    <w:rsid w:val="008A78C6"/>
    <w:rsid w:val="008B4CFF"/>
    <w:rsid w:val="008C2C57"/>
    <w:rsid w:val="008C3229"/>
    <w:rsid w:val="008C42DD"/>
    <w:rsid w:val="008C7E7C"/>
    <w:rsid w:val="008D0A7D"/>
    <w:rsid w:val="008D0BD8"/>
    <w:rsid w:val="008D1237"/>
    <w:rsid w:val="008D6666"/>
    <w:rsid w:val="008D6A29"/>
    <w:rsid w:val="008E05B9"/>
    <w:rsid w:val="008E1AB9"/>
    <w:rsid w:val="008E2D9C"/>
    <w:rsid w:val="008E3227"/>
    <w:rsid w:val="008E3924"/>
    <w:rsid w:val="008E49BE"/>
    <w:rsid w:val="008E4AA0"/>
    <w:rsid w:val="008E5B9D"/>
    <w:rsid w:val="008E5D24"/>
    <w:rsid w:val="008E621D"/>
    <w:rsid w:val="008E78F2"/>
    <w:rsid w:val="008E7EAF"/>
    <w:rsid w:val="008F0E9B"/>
    <w:rsid w:val="008F16CE"/>
    <w:rsid w:val="008F47CB"/>
    <w:rsid w:val="008F50D1"/>
    <w:rsid w:val="008F6252"/>
    <w:rsid w:val="009009DD"/>
    <w:rsid w:val="00900BD8"/>
    <w:rsid w:val="00901262"/>
    <w:rsid w:val="00901757"/>
    <w:rsid w:val="0090336D"/>
    <w:rsid w:val="00903387"/>
    <w:rsid w:val="00911D3B"/>
    <w:rsid w:val="00911DA2"/>
    <w:rsid w:val="00914B63"/>
    <w:rsid w:val="009232EA"/>
    <w:rsid w:val="00923322"/>
    <w:rsid w:val="0092450E"/>
    <w:rsid w:val="0092461A"/>
    <w:rsid w:val="00925F4B"/>
    <w:rsid w:val="00927EFA"/>
    <w:rsid w:val="00932CA4"/>
    <w:rsid w:val="00934B87"/>
    <w:rsid w:val="00935E5F"/>
    <w:rsid w:val="0093616D"/>
    <w:rsid w:val="009364DE"/>
    <w:rsid w:val="00937915"/>
    <w:rsid w:val="00937B97"/>
    <w:rsid w:val="00937FB5"/>
    <w:rsid w:val="00940E0B"/>
    <w:rsid w:val="00941265"/>
    <w:rsid w:val="00941405"/>
    <w:rsid w:val="00944D18"/>
    <w:rsid w:val="0094580A"/>
    <w:rsid w:val="00946A45"/>
    <w:rsid w:val="00946D78"/>
    <w:rsid w:val="00946EFD"/>
    <w:rsid w:val="00947335"/>
    <w:rsid w:val="00950B1E"/>
    <w:rsid w:val="00952789"/>
    <w:rsid w:val="00953386"/>
    <w:rsid w:val="009550F7"/>
    <w:rsid w:val="0095713B"/>
    <w:rsid w:val="00957C97"/>
    <w:rsid w:val="00961505"/>
    <w:rsid w:val="00961CE0"/>
    <w:rsid w:val="00963322"/>
    <w:rsid w:val="009635B7"/>
    <w:rsid w:val="00964088"/>
    <w:rsid w:val="009645A8"/>
    <w:rsid w:val="00966A11"/>
    <w:rsid w:val="00966EF6"/>
    <w:rsid w:val="009678AA"/>
    <w:rsid w:val="00967A40"/>
    <w:rsid w:val="00973554"/>
    <w:rsid w:val="009769FA"/>
    <w:rsid w:val="00980D5C"/>
    <w:rsid w:val="0098162F"/>
    <w:rsid w:val="0098281A"/>
    <w:rsid w:val="009833DA"/>
    <w:rsid w:val="0098358D"/>
    <w:rsid w:val="00985B9F"/>
    <w:rsid w:val="009861EE"/>
    <w:rsid w:val="00986305"/>
    <w:rsid w:val="00990C72"/>
    <w:rsid w:val="0099106A"/>
    <w:rsid w:val="00991ED0"/>
    <w:rsid w:val="009956A4"/>
    <w:rsid w:val="00995AB5"/>
    <w:rsid w:val="00995B32"/>
    <w:rsid w:val="00997263"/>
    <w:rsid w:val="009A106A"/>
    <w:rsid w:val="009A11F4"/>
    <w:rsid w:val="009A1574"/>
    <w:rsid w:val="009A2FE5"/>
    <w:rsid w:val="009A31D7"/>
    <w:rsid w:val="009A428B"/>
    <w:rsid w:val="009A4612"/>
    <w:rsid w:val="009A6F16"/>
    <w:rsid w:val="009A7F2B"/>
    <w:rsid w:val="009B14AB"/>
    <w:rsid w:val="009B218D"/>
    <w:rsid w:val="009B24A2"/>
    <w:rsid w:val="009B3A96"/>
    <w:rsid w:val="009B4482"/>
    <w:rsid w:val="009B542A"/>
    <w:rsid w:val="009C130F"/>
    <w:rsid w:val="009C1A88"/>
    <w:rsid w:val="009C52AB"/>
    <w:rsid w:val="009D12BC"/>
    <w:rsid w:val="009D30D2"/>
    <w:rsid w:val="009D3C93"/>
    <w:rsid w:val="009D7337"/>
    <w:rsid w:val="009E2B90"/>
    <w:rsid w:val="009E3C5B"/>
    <w:rsid w:val="009E4D3C"/>
    <w:rsid w:val="009E5AD9"/>
    <w:rsid w:val="009F0695"/>
    <w:rsid w:val="009F6C72"/>
    <w:rsid w:val="009F7A00"/>
    <w:rsid w:val="00A011BF"/>
    <w:rsid w:val="00A01D59"/>
    <w:rsid w:val="00A027C7"/>
    <w:rsid w:val="00A0395A"/>
    <w:rsid w:val="00A12299"/>
    <w:rsid w:val="00A16B10"/>
    <w:rsid w:val="00A16DA1"/>
    <w:rsid w:val="00A16E88"/>
    <w:rsid w:val="00A17F9A"/>
    <w:rsid w:val="00A20AA8"/>
    <w:rsid w:val="00A21014"/>
    <w:rsid w:val="00A22692"/>
    <w:rsid w:val="00A23C19"/>
    <w:rsid w:val="00A255B7"/>
    <w:rsid w:val="00A318A5"/>
    <w:rsid w:val="00A326F8"/>
    <w:rsid w:val="00A34C49"/>
    <w:rsid w:val="00A35E29"/>
    <w:rsid w:val="00A36FAE"/>
    <w:rsid w:val="00A375B5"/>
    <w:rsid w:val="00A377C5"/>
    <w:rsid w:val="00A405F2"/>
    <w:rsid w:val="00A40786"/>
    <w:rsid w:val="00A41FE7"/>
    <w:rsid w:val="00A464F9"/>
    <w:rsid w:val="00A46661"/>
    <w:rsid w:val="00A47A6F"/>
    <w:rsid w:val="00A47F83"/>
    <w:rsid w:val="00A51A1D"/>
    <w:rsid w:val="00A53E05"/>
    <w:rsid w:val="00A53FCB"/>
    <w:rsid w:val="00A5403B"/>
    <w:rsid w:val="00A54865"/>
    <w:rsid w:val="00A55EB7"/>
    <w:rsid w:val="00A56AB0"/>
    <w:rsid w:val="00A56ACB"/>
    <w:rsid w:val="00A60247"/>
    <w:rsid w:val="00A60A0A"/>
    <w:rsid w:val="00A610C4"/>
    <w:rsid w:val="00A61E03"/>
    <w:rsid w:val="00A62146"/>
    <w:rsid w:val="00A62210"/>
    <w:rsid w:val="00A624EB"/>
    <w:rsid w:val="00A62CB8"/>
    <w:rsid w:val="00A64741"/>
    <w:rsid w:val="00A651D6"/>
    <w:rsid w:val="00A67376"/>
    <w:rsid w:val="00A712A9"/>
    <w:rsid w:val="00A719C5"/>
    <w:rsid w:val="00A72619"/>
    <w:rsid w:val="00A75D86"/>
    <w:rsid w:val="00A7633C"/>
    <w:rsid w:val="00A767D4"/>
    <w:rsid w:val="00A76848"/>
    <w:rsid w:val="00A776DB"/>
    <w:rsid w:val="00A80FD4"/>
    <w:rsid w:val="00A81920"/>
    <w:rsid w:val="00A81C98"/>
    <w:rsid w:val="00A81E4B"/>
    <w:rsid w:val="00A837BE"/>
    <w:rsid w:val="00A844B9"/>
    <w:rsid w:val="00A8565F"/>
    <w:rsid w:val="00A85793"/>
    <w:rsid w:val="00A85CE2"/>
    <w:rsid w:val="00A8608A"/>
    <w:rsid w:val="00A87013"/>
    <w:rsid w:val="00A910FC"/>
    <w:rsid w:val="00A9136E"/>
    <w:rsid w:val="00A920D0"/>
    <w:rsid w:val="00A92C08"/>
    <w:rsid w:val="00A952FA"/>
    <w:rsid w:val="00A97B99"/>
    <w:rsid w:val="00AA1904"/>
    <w:rsid w:val="00AA3B90"/>
    <w:rsid w:val="00AA4EF1"/>
    <w:rsid w:val="00AA5EA7"/>
    <w:rsid w:val="00AA5EAA"/>
    <w:rsid w:val="00AA68BF"/>
    <w:rsid w:val="00AA7A75"/>
    <w:rsid w:val="00AA7B8A"/>
    <w:rsid w:val="00AB08E8"/>
    <w:rsid w:val="00AB3DE2"/>
    <w:rsid w:val="00AB5627"/>
    <w:rsid w:val="00AB5C84"/>
    <w:rsid w:val="00AB7B55"/>
    <w:rsid w:val="00AC13B6"/>
    <w:rsid w:val="00AC2B0E"/>
    <w:rsid w:val="00AC2CFA"/>
    <w:rsid w:val="00AC378D"/>
    <w:rsid w:val="00AC593B"/>
    <w:rsid w:val="00AC5AFB"/>
    <w:rsid w:val="00AD0911"/>
    <w:rsid w:val="00AD12E7"/>
    <w:rsid w:val="00AD1D0A"/>
    <w:rsid w:val="00AD3E67"/>
    <w:rsid w:val="00AD4756"/>
    <w:rsid w:val="00AD547C"/>
    <w:rsid w:val="00AD764B"/>
    <w:rsid w:val="00AE11AE"/>
    <w:rsid w:val="00AE1EFA"/>
    <w:rsid w:val="00AE36FA"/>
    <w:rsid w:val="00AE5D49"/>
    <w:rsid w:val="00AE6B93"/>
    <w:rsid w:val="00AF1EB2"/>
    <w:rsid w:val="00AF41AD"/>
    <w:rsid w:val="00B012CE"/>
    <w:rsid w:val="00B016B3"/>
    <w:rsid w:val="00B04F7D"/>
    <w:rsid w:val="00B0550F"/>
    <w:rsid w:val="00B07141"/>
    <w:rsid w:val="00B10B2F"/>
    <w:rsid w:val="00B124A8"/>
    <w:rsid w:val="00B15FF5"/>
    <w:rsid w:val="00B16D6B"/>
    <w:rsid w:val="00B16FA1"/>
    <w:rsid w:val="00B1770C"/>
    <w:rsid w:val="00B17E8C"/>
    <w:rsid w:val="00B201FB"/>
    <w:rsid w:val="00B22B40"/>
    <w:rsid w:val="00B24A7D"/>
    <w:rsid w:val="00B3053C"/>
    <w:rsid w:val="00B319B7"/>
    <w:rsid w:val="00B31EE4"/>
    <w:rsid w:val="00B33B42"/>
    <w:rsid w:val="00B34865"/>
    <w:rsid w:val="00B368E6"/>
    <w:rsid w:val="00B408B9"/>
    <w:rsid w:val="00B408C2"/>
    <w:rsid w:val="00B40B44"/>
    <w:rsid w:val="00B40B71"/>
    <w:rsid w:val="00B432AD"/>
    <w:rsid w:val="00B45B3B"/>
    <w:rsid w:val="00B46173"/>
    <w:rsid w:val="00B464F5"/>
    <w:rsid w:val="00B46F8D"/>
    <w:rsid w:val="00B50825"/>
    <w:rsid w:val="00B50B2D"/>
    <w:rsid w:val="00B51FFB"/>
    <w:rsid w:val="00B5523E"/>
    <w:rsid w:val="00B60A17"/>
    <w:rsid w:val="00B61242"/>
    <w:rsid w:val="00B63192"/>
    <w:rsid w:val="00B64033"/>
    <w:rsid w:val="00B70B52"/>
    <w:rsid w:val="00B70C8F"/>
    <w:rsid w:val="00B7323D"/>
    <w:rsid w:val="00B73E7E"/>
    <w:rsid w:val="00B76141"/>
    <w:rsid w:val="00B811F0"/>
    <w:rsid w:val="00B84000"/>
    <w:rsid w:val="00B85A71"/>
    <w:rsid w:val="00B870E5"/>
    <w:rsid w:val="00B878C9"/>
    <w:rsid w:val="00B87F12"/>
    <w:rsid w:val="00B90DAE"/>
    <w:rsid w:val="00B90F1B"/>
    <w:rsid w:val="00B93165"/>
    <w:rsid w:val="00B953E9"/>
    <w:rsid w:val="00B97476"/>
    <w:rsid w:val="00BA129D"/>
    <w:rsid w:val="00BA1456"/>
    <w:rsid w:val="00BA1A04"/>
    <w:rsid w:val="00BA2B21"/>
    <w:rsid w:val="00BA4AA9"/>
    <w:rsid w:val="00BA4DB2"/>
    <w:rsid w:val="00BA5E77"/>
    <w:rsid w:val="00BA6244"/>
    <w:rsid w:val="00BB11CF"/>
    <w:rsid w:val="00BB1DC1"/>
    <w:rsid w:val="00BB2F0B"/>
    <w:rsid w:val="00BB42E8"/>
    <w:rsid w:val="00BB5228"/>
    <w:rsid w:val="00BB5229"/>
    <w:rsid w:val="00BB6AAE"/>
    <w:rsid w:val="00BC0295"/>
    <w:rsid w:val="00BC1B95"/>
    <w:rsid w:val="00BC61E3"/>
    <w:rsid w:val="00BC6F97"/>
    <w:rsid w:val="00BD1907"/>
    <w:rsid w:val="00BD2DFE"/>
    <w:rsid w:val="00BD3EE9"/>
    <w:rsid w:val="00BD690F"/>
    <w:rsid w:val="00BD7E45"/>
    <w:rsid w:val="00BE096F"/>
    <w:rsid w:val="00BE1FE8"/>
    <w:rsid w:val="00BE299D"/>
    <w:rsid w:val="00BE390F"/>
    <w:rsid w:val="00BE63BB"/>
    <w:rsid w:val="00BE7A2A"/>
    <w:rsid w:val="00BF1E48"/>
    <w:rsid w:val="00BF238C"/>
    <w:rsid w:val="00BF2392"/>
    <w:rsid w:val="00BF23CD"/>
    <w:rsid w:val="00BF31F9"/>
    <w:rsid w:val="00BF4249"/>
    <w:rsid w:val="00BF4F8D"/>
    <w:rsid w:val="00BF58C7"/>
    <w:rsid w:val="00BF7D97"/>
    <w:rsid w:val="00C00A38"/>
    <w:rsid w:val="00C01204"/>
    <w:rsid w:val="00C01F97"/>
    <w:rsid w:val="00C053AB"/>
    <w:rsid w:val="00C0586C"/>
    <w:rsid w:val="00C06DE7"/>
    <w:rsid w:val="00C076F4"/>
    <w:rsid w:val="00C120E6"/>
    <w:rsid w:val="00C16388"/>
    <w:rsid w:val="00C168BC"/>
    <w:rsid w:val="00C17D80"/>
    <w:rsid w:val="00C217CA"/>
    <w:rsid w:val="00C22BB9"/>
    <w:rsid w:val="00C24156"/>
    <w:rsid w:val="00C268D8"/>
    <w:rsid w:val="00C27BED"/>
    <w:rsid w:val="00C30D7F"/>
    <w:rsid w:val="00C31468"/>
    <w:rsid w:val="00C31F3B"/>
    <w:rsid w:val="00C324F9"/>
    <w:rsid w:val="00C328F7"/>
    <w:rsid w:val="00C32D53"/>
    <w:rsid w:val="00C332A8"/>
    <w:rsid w:val="00C33E9B"/>
    <w:rsid w:val="00C3438E"/>
    <w:rsid w:val="00C3455F"/>
    <w:rsid w:val="00C35971"/>
    <w:rsid w:val="00C36C5B"/>
    <w:rsid w:val="00C37819"/>
    <w:rsid w:val="00C426AE"/>
    <w:rsid w:val="00C47082"/>
    <w:rsid w:val="00C52CBF"/>
    <w:rsid w:val="00C53418"/>
    <w:rsid w:val="00C534FD"/>
    <w:rsid w:val="00C549DC"/>
    <w:rsid w:val="00C552E6"/>
    <w:rsid w:val="00C5695C"/>
    <w:rsid w:val="00C578C9"/>
    <w:rsid w:val="00C579A9"/>
    <w:rsid w:val="00C57E3F"/>
    <w:rsid w:val="00C61130"/>
    <w:rsid w:val="00C619D3"/>
    <w:rsid w:val="00C637B9"/>
    <w:rsid w:val="00C641E8"/>
    <w:rsid w:val="00C647E1"/>
    <w:rsid w:val="00C66CD2"/>
    <w:rsid w:val="00C6793D"/>
    <w:rsid w:val="00C67C27"/>
    <w:rsid w:val="00C67E1C"/>
    <w:rsid w:val="00C67F68"/>
    <w:rsid w:val="00C712F5"/>
    <w:rsid w:val="00C71F40"/>
    <w:rsid w:val="00C72419"/>
    <w:rsid w:val="00C74C66"/>
    <w:rsid w:val="00C811B6"/>
    <w:rsid w:val="00C81FED"/>
    <w:rsid w:val="00C82261"/>
    <w:rsid w:val="00C82434"/>
    <w:rsid w:val="00C835F0"/>
    <w:rsid w:val="00C84FFE"/>
    <w:rsid w:val="00C861C7"/>
    <w:rsid w:val="00C87C9C"/>
    <w:rsid w:val="00C91506"/>
    <w:rsid w:val="00C93055"/>
    <w:rsid w:val="00C944AF"/>
    <w:rsid w:val="00C94A56"/>
    <w:rsid w:val="00C97E8D"/>
    <w:rsid w:val="00CA20D8"/>
    <w:rsid w:val="00CA241C"/>
    <w:rsid w:val="00CA2C36"/>
    <w:rsid w:val="00CA2CD3"/>
    <w:rsid w:val="00CA3110"/>
    <w:rsid w:val="00CA34AD"/>
    <w:rsid w:val="00CA3EAB"/>
    <w:rsid w:val="00CA4BAF"/>
    <w:rsid w:val="00CB1602"/>
    <w:rsid w:val="00CB1C0B"/>
    <w:rsid w:val="00CB271A"/>
    <w:rsid w:val="00CB4DC6"/>
    <w:rsid w:val="00CB6DA1"/>
    <w:rsid w:val="00CB7F01"/>
    <w:rsid w:val="00CC1D13"/>
    <w:rsid w:val="00CC2044"/>
    <w:rsid w:val="00CC3D6D"/>
    <w:rsid w:val="00CC70A5"/>
    <w:rsid w:val="00CD0E2B"/>
    <w:rsid w:val="00CD3498"/>
    <w:rsid w:val="00CD5A2D"/>
    <w:rsid w:val="00CD6694"/>
    <w:rsid w:val="00CE00DD"/>
    <w:rsid w:val="00CE026A"/>
    <w:rsid w:val="00CE02A9"/>
    <w:rsid w:val="00CE0F45"/>
    <w:rsid w:val="00CE67CC"/>
    <w:rsid w:val="00CF0E2A"/>
    <w:rsid w:val="00CF4536"/>
    <w:rsid w:val="00CF468C"/>
    <w:rsid w:val="00CF4BF6"/>
    <w:rsid w:val="00CF6404"/>
    <w:rsid w:val="00CF6D81"/>
    <w:rsid w:val="00CF7373"/>
    <w:rsid w:val="00D010EC"/>
    <w:rsid w:val="00D01A9C"/>
    <w:rsid w:val="00D01C71"/>
    <w:rsid w:val="00D02D06"/>
    <w:rsid w:val="00D034B5"/>
    <w:rsid w:val="00D0507D"/>
    <w:rsid w:val="00D06DE5"/>
    <w:rsid w:val="00D159F5"/>
    <w:rsid w:val="00D16AC8"/>
    <w:rsid w:val="00D171CA"/>
    <w:rsid w:val="00D20707"/>
    <w:rsid w:val="00D20CD4"/>
    <w:rsid w:val="00D238FC"/>
    <w:rsid w:val="00D23FF1"/>
    <w:rsid w:val="00D245D0"/>
    <w:rsid w:val="00D26A9D"/>
    <w:rsid w:val="00D30C22"/>
    <w:rsid w:val="00D312F9"/>
    <w:rsid w:val="00D340DE"/>
    <w:rsid w:val="00D35165"/>
    <w:rsid w:val="00D35D52"/>
    <w:rsid w:val="00D360F1"/>
    <w:rsid w:val="00D37663"/>
    <w:rsid w:val="00D44831"/>
    <w:rsid w:val="00D46161"/>
    <w:rsid w:val="00D46CAF"/>
    <w:rsid w:val="00D47501"/>
    <w:rsid w:val="00D51D10"/>
    <w:rsid w:val="00D52142"/>
    <w:rsid w:val="00D525A7"/>
    <w:rsid w:val="00D53A83"/>
    <w:rsid w:val="00D541E6"/>
    <w:rsid w:val="00D550F1"/>
    <w:rsid w:val="00D56311"/>
    <w:rsid w:val="00D60219"/>
    <w:rsid w:val="00D603D5"/>
    <w:rsid w:val="00D612E9"/>
    <w:rsid w:val="00D6192F"/>
    <w:rsid w:val="00D61A3F"/>
    <w:rsid w:val="00D6286E"/>
    <w:rsid w:val="00D67048"/>
    <w:rsid w:val="00D728E1"/>
    <w:rsid w:val="00D732F5"/>
    <w:rsid w:val="00D7445D"/>
    <w:rsid w:val="00D76A19"/>
    <w:rsid w:val="00D772CC"/>
    <w:rsid w:val="00D7737E"/>
    <w:rsid w:val="00D8062A"/>
    <w:rsid w:val="00D80FC3"/>
    <w:rsid w:val="00D813B1"/>
    <w:rsid w:val="00D822E7"/>
    <w:rsid w:val="00D845A6"/>
    <w:rsid w:val="00D849EC"/>
    <w:rsid w:val="00D85D3C"/>
    <w:rsid w:val="00D8773D"/>
    <w:rsid w:val="00D92409"/>
    <w:rsid w:val="00D93F55"/>
    <w:rsid w:val="00D96E21"/>
    <w:rsid w:val="00D974D0"/>
    <w:rsid w:val="00D97C58"/>
    <w:rsid w:val="00DA04DC"/>
    <w:rsid w:val="00DA1C73"/>
    <w:rsid w:val="00DA37C2"/>
    <w:rsid w:val="00DA3B84"/>
    <w:rsid w:val="00DA4686"/>
    <w:rsid w:val="00DA5E0D"/>
    <w:rsid w:val="00DA6406"/>
    <w:rsid w:val="00DA6A83"/>
    <w:rsid w:val="00DA72D6"/>
    <w:rsid w:val="00DB16EB"/>
    <w:rsid w:val="00DB2667"/>
    <w:rsid w:val="00DB5383"/>
    <w:rsid w:val="00DB6190"/>
    <w:rsid w:val="00DB61A1"/>
    <w:rsid w:val="00DB66CA"/>
    <w:rsid w:val="00DB6BE3"/>
    <w:rsid w:val="00DB7DB1"/>
    <w:rsid w:val="00DC1D20"/>
    <w:rsid w:val="00DC22F8"/>
    <w:rsid w:val="00DC3919"/>
    <w:rsid w:val="00DC3DB2"/>
    <w:rsid w:val="00DC54C5"/>
    <w:rsid w:val="00DC7D83"/>
    <w:rsid w:val="00DD2A10"/>
    <w:rsid w:val="00DD3863"/>
    <w:rsid w:val="00DD3C5B"/>
    <w:rsid w:val="00DD456E"/>
    <w:rsid w:val="00DD48A2"/>
    <w:rsid w:val="00DD4F1C"/>
    <w:rsid w:val="00DD53BF"/>
    <w:rsid w:val="00DD5D90"/>
    <w:rsid w:val="00DE06E0"/>
    <w:rsid w:val="00DE09D7"/>
    <w:rsid w:val="00DE0AC6"/>
    <w:rsid w:val="00DE11CA"/>
    <w:rsid w:val="00DE1554"/>
    <w:rsid w:val="00DE4B7F"/>
    <w:rsid w:val="00DE519A"/>
    <w:rsid w:val="00DE6173"/>
    <w:rsid w:val="00DE6331"/>
    <w:rsid w:val="00DE63A1"/>
    <w:rsid w:val="00DF07A3"/>
    <w:rsid w:val="00DF3DF5"/>
    <w:rsid w:val="00DF431E"/>
    <w:rsid w:val="00DF48E2"/>
    <w:rsid w:val="00E00738"/>
    <w:rsid w:val="00E010CB"/>
    <w:rsid w:val="00E0256B"/>
    <w:rsid w:val="00E030A4"/>
    <w:rsid w:val="00E036CB"/>
    <w:rsid w:val="00E03A9D"/>
    <w:rsid w:val="00E05C79"/>
    <w:rsid w:val="00E07172"/>
    <w:rsid w:val="00E15931"/>
    <w:rsid w:val="00E15B35"/>
    <w:rsid w:val="00E17990"/>
    <w:rsid w:val="00E2077E"/>
    <w:rsid w:val="00E20EBE"/>
    <w:rsid w:val="00E212B3"/>
    <w:rsid w:val="00E212E0"/>
    <w:rsid w:val="00E23C63"/>
    <w:rsid w:val="00E24118"/>
    <w:rsid w:val="00E243FF"/>
    <w:rsid w:val="00E246BE"/>
    <w:rsid w:val="00E3042C"/>
    <w:rsid w:val="00E3045E"/>
    <w:rsid w:val="00E30867"/>
    <w:rsid w:val="00E31405"/>
    <w:rsid w:val="00E33AC7"/>
    <w:rsid w:val="00E3400D"/>
    <w:rsid w:val="00E373D8"/>
    <w:rsid w:val="00E40EE1"/>
    <w:rsid w:val="00E42E50"/>
    <w:rsid w:val="00E44C4D"/>
    <w:rsid w:val="00E45B8B"/>
    <w:rsid w:val="00E46DC0"/>
    <w:rsid w:val="00E5050C"/>
    <w:rsid w:val="00E515BC"/>
    <w:rsid w:val="00E52DC8"/>
    <w:rsid w:val="00E546A2"/>
    <w:rsid w:val="00E54B6B"/>
    <w:rsid w:val="00E5586B"/>
    <w:rsid w:val="00E55DD6"/>
    <w:rsid w:val="00E563BE"/>
    <w:rsid w:val="00E60476"/>
    <w:rsid w:val="00E60BB3"/>
    <w:rsid w:val="00E6256E"/>
    <w:rsid w:val="00E62DEA"/>
    <w:rsid w:val="00E638C7"/>
    <w:rsid w:val="00E63BFF"/>
    <w:rsid w:val="00E64739"/>
    <w:rsid w:val="00E64D43"/>
    <w:rsid w:val="00E67B7E"/>
    <w:rsid w:val="00E67CE0"/>
    <w:rsid w:val="00E722B7"/>
    <w:rsid w:val="00E73357"/>
    <w:rsid w:val="00E76263"/>
    <w:rsid w:val="00E763D7"/>
    <w:rsid w:val="00E763DF"/>
    <w:rsid w:val="00E77A8E"/>
    <w:rsid w:val="00E80186"/>
    <w:rsid w:val="00E81C37"/>
    <w:rsid w:val="00E8331F"/>
    <w:rsid w:val="00E83E28"/>
    <w:rsid w:val="00E85ED2"/>
    <w:rsid w:val="00E8684E"/>
    <w:rsid w:val="00E86B2D"/>
    <w:rsid w:val="00E90A7E"/>
    <w:rsid w:val="00E9143D"/>
    <w:rsid w:val="00E93D90"/>
    <w:rsid w:val="00E955C5"/>
    <w:rsid w:val="00E97766"/>
    <w:rsid w:val="00EA08FD"/>
    <w:rsid w:val="00EA0F05"/>
    <w:rsid w:val="00EA3DC2"/>
    <w:rsid w:val="00EA4243"/>
    <w:rsid w:val="00EA4FAE"/>
    <w:rsid w:val="00EA553C"/>
    <w:rsid w:val="00EA7995"/>
    <w:rsid w:val="00EB1D36"/>
    <w:rsid w:val="00EB2910"/>
    <w:rsid w:val="00EB311C"/>
    <w:rsid w:val="00EB4908"/>
    <w:rsid w:val="00EB65A4"/>
    <w:rsid w:val="00EB76F7"/>
    <w:rsid w:val="00EC0988"/>
    <w:rsid w:val="00EC0FFE"/>
    <w:rsid w:val="00EC10B3"/>
    <w:rsid w:val="00EC3646"/>
    <w:rsid w:val="00EC4AE9"/>
    <w:rsid w:val="00EC5515"/>
    <w:rsid w:val="00EC5E97"/>
    <w:rsid w:val="00EC6130"/>
    <w:rsid w:val="00EC77D0"/>
    <w:rsid w:val="00EC7B2D"/>
    <w:rsid w:val="00EC7C03"/>
    <w:rsid w:val="00ED15D2"/>
    <w:rsid w:val="00ED1CD7"/>
    <w:rsid w:val="00ED5AAA"/>
    <w:rsid w:val="00ED5C9A"/>
    <w:rsid w:val="00EE1E5A"/>
    <w:rsid w:val="00EE307C"/>
    <w:rsid w:val="00EE3F4C"/>
    <w:rsid w:val="00EE419E"/>
    <w:rsid w:val="00EE5D16"/>
    <w:rsid w:val="00EE609A"/>
    <w:rsid w:val="00EE793D"/>
    <w:rsid w:val="00EE7DC8"/>
    <w:rsid w:val="00EF1092"/>
    <w:rsid w:val="00EF188B"/>
    <w:rsid w:val="00EF24E6"/>
    <w:rsid w:val="00EF3AC2"/>
    <w:rsid w:val="00EF5D9C"/>
    <w:rsid w:val="00EF784A"/>
    <w:rsid w:val="00F007A5"/>
    <w:rsid w:val="00F023DC"/>
    <w:rsid w:val="00F02613"/>
    <w:rsid w:val="00F02D20"/>
    <w:rsid w:val="00F02DC6"/>
    <w:rsid w:val="00F04666"/>
    <w:rsid w:val="00F10067"/>
    <w:rsid w:val="00F1097C"/>
    <w:rsid w:val="00F138F4"/>
    <w:rsid w:val="00F14BD8"/>
    <w:rsid w:val="00F15EED"/>
    <w:rsid w:val="00F17CB8"/>
    <w:rsid w:val="00F2231C"/>
    <w:rsid w:val="00F22E40"/>
    <w:rsid w:val="00F23695"/>
    <w:rsid w:val="00F237A1"/>
    <w:rsid w:val="00F24156"/>
    <w:rsid w:val="00F31685"/>
    <w:rsid w:val="00F337C8"/>
    <w:rsid w:val="00F33804"/>
    <w:rsid w:val="00F35F76"/>
    <w:rsid w:val="00F37111"/>
    <w:rsid w:val="00F37AB2"/>
    <w:rsid w:val="00F40810"/>
    <w:rsid w:val="00F4171F"/>
    <w:rsid w:val="00F41B2B"/>
    <w:rsid w:val="00F44DD4"/>
    <w:rsid w:val="00F50AB8"/>
    <w:rsid w:val="00F527C9"/>
    <w:rsid w:val="00F52920"/>
    <w:rsid w:val="00F533A9"/>
    <w:rsid w:val="00F54499"/>
    <w:rsid w:val="00F559F8"/>
    <w:rsid w:val="00F56A36"/>
    <w:rsid w:val="00F57B41"/>
    <w:rsid w:val="00F6210F"/>
    <w:rsid w:val="00F62BEC"/>
    <w:rsid w:val="00F62F5E"/>
    <w:rsid w:val="00F63A71"/>
    <w:rsid w:val="00F64FCF"/>
    <w:rsid w:val="00F66B61"/>
    <w:rsid w:val="00F67250"/>
    <w:rsid w:val="00F70FFD"/>
    <w:rsid w:val="00F72B0A"/>
    <w:rsid w:val="00F72F03"/>
    <w:rsid w:val="00F74E0D"/>
    <w:rsid w:val="00F752DD"/>
    <w:rsid w:val="00F756C9"/>
    <w:rsid w:val="00F76947"/>
    <w:rsid w:val="00F773F2"/>
    <w:rsid w:val="00F80EEC"/>
    <w:rsid w:val="00F813CD"/>
    <w:rsid w:val="00F8162D"/>
    <w:rsid w:val="00F825E1"/>
    <w:rsid w:val="00F83757"/>
    <w:rsid w:val="00F8457C"/>
    <w:rsid w:val="00F84BA6"/>
    <w:rsid w:val="00F86103"/>
    <w:rsid w:val="00F87A68"/>
    <w:rsid w:val="00F90A82"/>
    <w:rsid w:val="00F93D31"/>
    <w:rsid w:val="00F940E2"/>
    <w:rsid w:val="00F9496E"/>
    <w:rsid w:val="00F9558D"/>
    <w:rsid w:val="00F95888"/>
    <w:rsid w:val="00F95C58"/>
    <w:rsid w:val="00F95DE7"/>
    <w:rsid w:val="00F96C31"/>
    <w:rsid w:val="00F97258"/>
    <w:rsid w:val="00F97C71"/>
    <w:rsid w:val="00FA07E2"/>
    <w:rsid w:val="00FA6FC8"/>
    <w:rsid w:val="00FB13C6"/>
    <w:rsid w:val="00FB29B4"/>
    <w:rsid w:val="00FB4D49"/>
    <w:rsid w:val="00FB50BB"/>
    <w:rsid w:val="00FB5393"/>
    <w:rsid w:val="00FB6F1A"/>
    <w:rsid w:val="00FC05CF"/>
    <w:rsid w:val="00FC1133"/>
    <w:rsid w:val="00FC2943"/>
    <w:rsid w:val="00FC4DC3"/>
    <w:rsid w:val="00FC4DF0"/>
    <w:rsid w:val="00FC5720"/>
    <w:rsid w:val="00FC5EC9"/>
    <w:rsid w:val="00FD190E"/>
    <w:rsid w:val="00FD3072"/>
    <w:rsid w:val="00FD36E6"/>
    <w:rsid w:val="00FD58C2"/>
    <w:rsid w:val="00FD66A9"/>
    <w:rsid w:val="00FD6B2D"/>
    <w:rsid w:val="00FD7E08"/>
    <w:rsid w:val="00FE21CD"/>
    <w:rsid w:val="00FE2C1D"/>
    <w:rsid w:val="00FE5ADF"/>
    <w:rsid w:val="00FF05BB"/>
    <w:rsid w:val="00FF3F0A"/>
    <w:rsid w:val="00FF658A"/>
    <w:rsid w:val="00FF7B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C34253"/>
  <w14:defaultImageDpi w14:val="300"/>
  <w15:docId w15:val="{06C7BD66-90CD-5C4D-B8D6-40F9CDA1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1D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651D6"/>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651D6"/>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932F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unhideWhenUsed/>
    <w:qFormat/>
    <w:rsid w:val="0070786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1D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651D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651D6"/>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1932F4"/>
    <w:rPr>
      <w:rFonts w:asciiTheme="majorHAnsi" w:eastAsiaTheme="majorEastAsia" w:hAnsiTheme="majorHAnsi" w:cstheme="majorBidi"/>
      <w:b/>
      <w:bCs/>
      <w:sz w:val="28"/>
      <w:szCs w:val="28"/>
    </w:rPr>
  </w:style>
  <w:style w:type="paragraph" w:styleId="ListParagraph">
    <w:name w:val="List Paragraph"/>
    <w:basedOn w:val="Normal"/>
    <w:uiPriority w:val="34"/>
    <w:qFormat/>
    <w:rsid w:val="00EC4AE9"/>
    <w:pPr>
      <w:ind w:firstLine="420"/>
    </w:pPr>
  </w:style>
  <w:style w:type="character" w:styleId="Hyperlink">
    <w:name w:val="Hyperlink"/>
    <w:basedOn w:val="DefaultParagraphFont"/>
    <w:uiPriority w:val="99"/>
    <w:unhideWhenUsed/>
    <w:rsid w:val="00892958"/>
    <w:rPr>
      <w:color w:val="0000FF" w:themeColor="hyperlink"/>
      <w:u w:val="single"/>
    </w:rPr>
  </w:style>
  <w:style w:type="character" w:styleId="FollowedHyperlink">
    <w:name w:val="FollowedHyperlink"/>
    <w:basedOn w:val="DefaultParagraphFont"/>
    <w:uiPriority w:val="99"/>
    <w:semiHidden/>
    <w:unhideWhenUsed/>
    <w:rsid w:val="00892958"/>
    <w:rPr>
      <w:color w:val="800080" w:themeColor="followedHyperlink"/>
      <w:u w:val="single"/>
    </w:rPr>
  </w:style>
  <w:style w:type="paragraph" w:customStyle="1" w:styleId="EndNoteBibliographyTitle">
    <w:name w:val="EndNote Bibliography Title"/>
    <w:basedOn w:val="Normal"/>
    <w:rsid w:val="00DC7D83"/>
    <w:pPr>
      <w:jc w:val="center"/>
    </w:pPr>
    <w:rPr>
      <w:rFonts w:ascii="Cambria" w:hAnsi="Cambria"/>
      <w:lang w:val="en-US"/>
    </w:rPr>
  </w:style>
  <w:style w:type="paragraph" w:customStyle="1" w:styleId="EndNoteBibliography">
    <w:name w:val="EndNote Bibliography"/>
    <w:basedOn w:val="Normal"/>
    <w:rsid w:val="00DC7D83"/>
    <w:rPr>
      <w:rFonts w:ascii="Cambria" w:hAnsi="Cambria"/>
      <w:lang w:val="en-US"/>
    </w:rPr>
  </w:style>
  <w:style w:type="character" w:styleId="Emphasis">
    <w:name w:val="Emphasis"/>
    <w:basedOn w:val="DefaultParagraphFont"/>
    <w:uiPriority w:val="20"/>
    <w:qFormat/>
    <w:rsid w:val="001344E3"/>
    <w:rPr>
      <w:i/>
      <w:iCs/>
    </w:rPr>
  </w:style>
  <w:style w:type="character" w:styleId="FootnoteReference">
    <w:name w:val="footnote reference"/>
    <w:basedOn w:val="DefaultParagraphFont"/>
    <w:uiPriority w:val="99"/>
    <w:semiHidden/>
    <w:unhideWhenUsed/>
    <w:rsid w:val="00A651D6"/>
    <w:rPr>
      <w:vertAlign w:val="superscript"/>
    </w:rPr>
  </w:style>
  <w:style w:type="character" w:styleId="CommentReference">
    <w:name w:val="annotation reference"/>
    <w:basedOn w:val="DefaultParagraphFont"/>
    <w:uiPriority w:val="99"/>
    <w:semiHidden/>
    <w:unhideWhenUsed/>
    <w:rsid w:val="00A651D6"/>
    <w:rPr>
      <w:sz w:val="16"/>
      <w:szCs w:val="16"/>
    </w:rPr>
  </w:style>
  <w:style w:type="paragraph" w:styleId="CommentText">
    <w:name w:val="annotation text"/>
    <w:basedOn w:val="Normal"/>
    <w:link w:val="CommentTextChar"/>
    <w:uiPriority w:val="99"/>
    <w:unhideWhenUsed/>
    <w:rsid w:val="00A651D6"/>
    <w:pPr>
      <w:spacing w:after="160"/>
    </w:pPr>
    <w:rPr>
      <w:rFonts w:eastAsiaTheme="minorHAnsi"/>
      <w:sz w:val="20"/>
      <w:szCs w:val="20"/>
    </w:rPr>
  </w:style>
  <w:style w:type="character" w:customStyle="1" w:styleId="CommentTextChar">
    <w:name w:val="Comment Text Char"/>
    <w:basedOn w:val="DefaultParagraphFont"/>
    <w:link w:val="CommentText"/>
    <w:uiPriority w:val="99"/>
    <w:rsid w:val="00A651D6"/>
    <w:rPr>
      <w:rFonts w:eastAsiaTheme="minorHAnsi"/>
      <w:sz w:val="20"/>
      <w:szCs w:val="20"/>
    </w:rPr>
  </w:style>
  <w:style w:type="paragraph" w:styleId="BalloonText">
    <w:name w:val="Balloon Text"/>
    <w:basedOn w:val="Normal"/>
    <w:link w:val="BalloonTextChar"/>
    <w:uiPriority w:val="99"/>
    <w:semiHidden/>
    <w:unhideWhenUsed/>
    <w:rsid w:val="00A651D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51D6"/>
    <w:rPr>
      <w:rFonts w:ascii="Lucida Grande" w:hAnsi="Lucida Grande" w:cs="Lucida Grande"/>
      <w:sz w:val="18"/>
      <w:szCs w:val="18"/>
    </w:rPr>
  </w:style>
  <w:style w:type="table" w:styleId="TableGrid">
    <w:name w:val="Table Grid"/>
    <w:basedOn w:val="TableNormal"/>
    <w:uiPriority w:val="39"/>
    <w:rsid w:val="00A97B9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7B99"/>
    <w:pPr>
      <w:spacing w:after="200"/>
    </w:pPr>
    <w:rPr>
      <w:rFonts w:eastAsiaTheme="minorHAnsi"/>
      <w:i/>
      <w:iCs/>
      <w:color w:val="1F497D" w:themeColor="text2"/>
      <w:sz w:val="18"/>
      <w:szCs w:val="18"/>
    </w:rPr>
  </w:style>
  <w:style w:type="paragraph" w:styleId="NormalWeb">
    <w:name w:val="Normal (Web)"/>
    <w:basedOn w:val="Normal"/>
    <w:uiPriority w:val="99"/>
    <w:unhideWhenUsed/>
    <w:rsid w:val="00755C3D"/>
    <w:pPr>
      <w:spacing w:before="100" w:beforeAutospacing="1" w:after="100" w:afterAutospacing="1"/>
    </w:pPr>
    <w:rPr>
      <w:rFonts w:ascii="Times" w:hAnsi="Times"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A9136E"/>
    <w:pPr>
      <w:spacing w:after="0"/>
    </w:pPr>
    <w:rPr>
      <w:rFonts w:eastAsiaTheme="minorEastAsia"/>
      <w:b/>
      <w:bCs/>
      <w:sz w:val="24"/>
      <w:szCs w:val="24"/>
    </w:rPr>
  </w:style>
  <w:style w:type="character" w:customStyle="1" w:styleId="CommentSubjectChar">
    <w:name w:val="Comment Subject Char"/>
    <w:basedOn w:val="CommentTextChar"/>
    <w:link w:val="CommentSubject"/>
    <w:uiPriority w:val="99"/>
    <w:semiHidden/>
    <w:rsid w:val="00A9136E"/>
    <w:rPr>
      <w:rFonts w:eastAsiaTheme="minorHAnsi"/>
      <w:b/>
      <w:bCs/>
      <w:sz w:val="20"/>
      <w:szCs w:val="20"/>
    </w:rPr>
  </w:style>
  <w:style w:type="character" w:customStyle="1" w:styleId="authorname">
    <w:name w:val="authorname"/>
    <w:basedOn w:val="DefaultParagraphFont"/>
    <w:rsid w:val="00FB4D49"/>
  </w:style>
  <w:style w:type="paragraph" w:styleId="Revision">
    <w:name w:val="Revision"/>
    <w:hidden/>
    <w:uiPriority w:val="99"/>
    <w:semiHidden/>
    <w:rsid w:val="0052445B"/>
  </w:style>
  <w:style w:type="paragraph" w:styleId="Footer">
    <w:name w:val="footer"/>
    <w:basedOn w:val="Normal"/>
    <w:link w:val="FooterChar"/>
    <w:uiPriority w:val="99"/>
    <w:unhideWhenUsed/>
    <w:rsid w:val="00EA08FD"/>
    <w:pPr>
      <w:tabs>
        <w:tab w:val="center" w:pos="4513"/>
        <w:tab w:val="right" w:pos="9026"/>
      </w:tabs>
    </w:pPr>
  </w:style>
  <w:style w:type="character" w:customStyle="1" w:styleId="FooterChar">
    <w:name w:val="Footer Char"/>
    <w:basedOn w:val="DefaultParagraphFont"/>
    <w:link w:val="Footer"/>
    <w:uiPriority w:val="99"/>
    <w:rsid w:val="00EA08FD"/>
  </w:style>
  <w:style w:type="character" w:styleId="PageNumber">
    <w:name w:val="page number"/>
    <w:basedOn w:val="DefaultParagraphFont"/>
    <w:uiPriority w:val="99"/>
    <w:semiHidden/>
    <w:unhideWhenUsed/>
    <w:rsid w:val="00EA08FD"/>
  </w:style>
  <w:style w:type="paragraph" w:customStyle="1" w:styleId="NormalCentered">
    <w:name w:val="NormalCentered"/>
    <w:basedOn w:val="Normal"/>
    <w:qFormat/>
    <w:rsid w:val="00D26A9D"/>
    <w:pPr>
      <w:spacing w:before="240"/>
      <w:jc w:val="center"/>
    </w:pPr>
    <w:rPr>
      <w:rFonts w:ascii="Arial" w:eastAsia="Times New Roman" w:hAnsi="Arial" w:cs="Angsana New"/>
      <w:sz w:val="20"/>
      <w:szCs w:val="20"/>
      <w:lang w:val="en-US"/>
    </w:rPr>
  </w:style>
  <w:style w:type="paragraph" w:customStyle="1" w:styleId="NormalCenteredItalic">
    <w:name w:val="NormalCenteredItalic"/>
    <w:basedOn w:val="NormalCentered"/>
    <w:qFormat/>
    <w:rsid w:val="00D26A9D"/>
  </w:style>
  <w:style w:type="character" w:customStyle="1" w:styleId="Superscript">
    <w:name w:val="Superscript"/>
    <w:basedOn w:val="DefaultParagraphFont"/>
    <w:uiPriority w:val="1"/>
    <w:qFormat/>
    <w:rsid w:val="00D26A9D"/>
    <w:rPr>
      <w:vertAlign w:val="superscript"/>
      <w:lang w:val="fr-BE"/>
    </w:rPr>
  </w:style>
  <w:style w:type="paragraph" w:styleId="Header">
    <w:name w:val="header"/>
    <w:basedOn w:val="Normal"/>
    <w:link w:val="HeaderChar"/>
    <w:uiPriority w:val="99"/>
    <w:unhideWhenUsed/>
    <w:rsid w:val="00D26A9D"/>
    <w:pPr>
      <w:pBdr>
        <w:bottom w:val="single" w:sz="6" w:space="1" w:color="auto"/>
      </w:pBdr>
      <w:tabs>
        <w:tab w:val="center" w:pos="4320"/>
        <w:tab w:val="right" w:pos="8640"/>
      </w:tabs>
      <w:snapToGrid w:val="0"/>
      <w:jc w:val="center"/>
    </w:pPr>
    <w:rPr>
      <w:sz w:val="18"/>
      <w:szCs w:val="18"/>
    </w:rPr>
  </w:style>
  <w:style w:type="character" w:customStyle="1" w:styleId="HeaderChar">
    <w:name w:val="Header Char"/>
    <w:basedOn w:val="DefaultParagraphFont"/>
    <w:link w:val="Header"/>
    <w:uiPriority w:val="99"/>
    <w:rsid w:val="00D26A9D"/>
    <w:rPr>
      <w:sz w:val="18"/>
      <w:szCs w:val="18"/>
    </w:rPr>
  </w:style>
  <w:style w:type="character" w:customStyle="1" w:styleId="Heading5Char">
    <w:name w:val="Heading 5 Char"/>
    <w:basedOn w:val="DefaultParagraphFont"/>
    <w:link w:val="Heading5"/>
    <w:uiPriority w:val="9"/>
    <w:rsid w:val="0070786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4677">
      <w:bodyDiv w:val="1"/>
      <w:marLeft w:val="0"/>
      <w:marRight w:val="0"/>
      <w:marTop w:val="0"/>
      <w:marBottom w:val="0"/>
      <w:divBdr>
        <w:top w:val="none" w:sz="0" w:space="0" w:color="auto"/>
        <w:left w:val="none" w:sz="0" w:space="0" w:color="auto"/>
        <w:bottom w:val="none" w:sz="0" w:space="0" w:color="auto"/>
        <w:right w:val="none" w:sz="0" w:space="0" w:color="auto"/>
      </w:divBdr>
    </w:div>
    <w:div w:id="33191540">
      <w:bodyDiv w:val="1"/>
      <w:marLeft w:val="0"/>
      <w:marRight w:val="0"/>
      <w:marTop w:val="0"/>
      <w:marBottom w:val="0"/>
      <w:divBdr>
        <w:top w:val="none" w:sz="0" w:space="0" w:color="auto"/>
        <w:left w:val="none" w:sz="0" w:space="0" w:color="auto"/>
        <w:bottom w:val="none" w:sz="0" w:space="0" w:color="auto"/>
        <w:right w:val="none" w:sz="0" w:space="0" w:color="auto"/>
      </w:divBdr>
    </w:div>
    <w:div w:id="38407937">
      <w:bodyDiv w:val="1"/>
      <w:marLeft w:val="0"/>
      <w:marRight w:val="0"/>
      <w:marTop w:val="0"/>
      <w:marBottom w:val="0"/>
      <w:divBdr>
        <w:top w:val="none" w:sz="0" w:space="0" w:color="auto"/>
        <w:left w:val="none" w:sz="0" w:space="0" w:color="auto"/>
        <w:bottom w:val="none" w:sz="0" w:space="0" w:color="auto"/>
        <w:right w:val="none" w:sz="0" w:space="0" w:color="auto"/>
      </w:divBdr>
    </w:div>
    <w:div w:id="39132075">
      <w:bodyDiv w:val="1"/>
      <w:marLeft w:val="0"/>
      <w:marRight w:val="0"/>
      <w:marTop w:val="0"/>
      <w:marBottom w:val="0"/>
      <w:divBdr>
        <w:top w:val="none" w:sz="0" w:space="0" w:color="auto"/>
        <w:left w:val="none" w:sz="0" w:space="0" w:color="auto"/>
        <w:bottom w:val="none" w:sz="0" w:space="0" w:color="auto"/>
        <w:right w:val="none" w:sz="0" w:space="0" w:color="auto"/>
      </w:divBdr>
    </w:div>
    <w:div w:id="52701092">
      <w:bodyDiv w:val="1"/>
      <w:marLeft w:val="0"/>
      <w:marRight w:val="0"/>
      <w:marTop w:val="0"/>
      <w:marBottom w:val="0"/>
      <w:divBdr>
        <w:top w:val="none" w:sz="0" w:space="0" w:color="auto"/>
        <w:left w:val="none" w:sz="0" w:space="0" w:color="auto"/>
        <w:bottom w:val="none" w:sz="0" w:space="0" w:color="auto"/>
        <w:right w:val="none" w:sz="0" w:space="0" w:color="auto"/>
      </w:divBdr>
    </w:div>
    <w:div w:id="70546962">
      <w:bodyDiv w:val="1"/>
      <w:marLeft w:val="0"/>
      <w:marRight w:val="0"/>
      <w:marTop w:val="0"/>
      <w:marBottom w:val="0"/>
      <w:divBdr>
        <w:top w:val="none" w:sz="0" w:space="0" w:color="auto"/>
        <w:left w:val="none" w:sz="0" w:space="0" w:color="auto"/>
        <w:bottom w:val="none" w:sz="0" w:space="0" w:color="auto"/>
        <w:right w:val="none" w:sz="0" w:space="0" w:color="auto"/>
      </w:divBdr>
    </w:div>
    <w:div w:id="77755599">
      <w:bodyDiv w:val="1"/>
      <w:marLeft w:val="0"/>
      <w:marRight w:val="0"/>
      <w:marTop w:val="0"/>
      <w:marBottom w:val="0"/>
      <w:divBdr>
        <w:top w:val="none" w:sz="0" w:space="0" w:color="auto"/>
        <w:left w:val="none" w:sz="0" w:space="0" w:color="auto"/>
        <w:bottom w:val="none" w:sz="0" w:space="0" w:color="auto"/>
        <w:right w:val="none" w:sz="0" w:space="0" w:color="auto"/>
      </w:divBdr>
    </w:div>
    <w:div w:id="95254192">
      <w:bodyDiv w:val="1"/>
      <w:marLeft w:val="0"/>
      <w:marRight w:val="0"/>
      <w:marTop w:val="0"/>
      <w:marBottom w:val="0"/>
      <w:divBdr>
        <w:top w:val="none" w:sz="0" w:space="0" w:color="auto"/>
        <w:left w:val="none" w:sz="0" w:space="0" w:color="auto"/>
        <w:bottom w:val="none" w:sz="0" w:space="0" w:color="auto"/>
        <w:right w:val="none" w:sz="0" w:space="0" w:color="auto"/>
      </w:divBdr>
    </w:div>
    <w:div w:id="113981197">
      <w:bodyDiv w:val="1"/>
      <w:marLeft w:val="0"/>
      <w:marRight w:val="0"/>
      <w:marTop w:val="0"/>
      <w:marBottom w:val="0"/>
      <w:divBdr>
        <w:top w:val="none" w:sz="0" w:space="0" w:color="auto"/>
        <w:left w:val="none" w:sz="0" w:space="0" w:color="auto"/>
        <w:bottom w:val="none" w:sz="0" w:space="0" w:color="auto"/>
        <w:right w:val="none" w:sz="0" w:space="0" w:color="auto"/>
      </w:divBdr>
    </w:div>
    <w:div w:id="128399427">
      <w:bodyDiv w:val="1"/>
      <w:marLeft w:val="0"/>
      <w:marRight w:val="0"/>
      <w:marTop w:val="0"/>
      <w:marBottom w:val="0"/>
      <w:divBdr>
        <w:top w:val="none" w:sz="0" w:space="0" w:color="auto"/>
        <w:left w:val="none" w:sz="0" w:space="0" w:color="auto"/>
        <w:bottom w:val="none" w:sz="0" w:space="0" w:color="auto"/>
        <w:right w:val="none" w:sz="0" w:space="0" w:color="auto"/>
      </w:divBdr>
    </w:div>
    <w:div w:id="137454969">
      <w:bodyDiv w:val="1"/>
      <w:marLeft w:val="0"/>
      <w:marRight w:val="0"/>
      <w:marTop w:val="0"/>
      <w:marBottom w:val="0"/>
      <w:divBdr>
        <w:top w:val="none" w:sz="0" w:space="0" w:color="auto"/>
        <w:left w:val="none" w:sz="0" w:space="0" w:color="auto"/>
        <w:bottom w:val="none" w:sz="0" w:space="0" w:color="auto"/>
        <w:right w:val="none" w:sz="0" w:space="0" w:color="auto"/>
      </w:divBdr>
    </w:div>
    <w:div w:id="139152882">
      <w:bodyDiv w:val="1"/>
      <w:marLeft w:val="0"/>
      <w:marRight w:val="0"/>
      <w:marTop w:val="0"/>
      <w:marBottom w:val="0"/>
      <w:divBdr>
        <w:top w:val="none" w:sz="0" w:space="0" w:color="auto"/>
        <w:left w:val="none" w:sz="0" w:space="0" w:color="auto"/>
        <w:bottom w:val="none" w:sz="0" w:space="0" w:color="auto"/>
        <w:right w:val="none" w:sz="0" w:space="0" w:color="auto"/>
      </w:divBdr>
    </w:div>
    <w:div w:id="163865100">
      <w:bodyDiv w:val="1"/>
      <w:marLeft w:val="0"/>
      <w:marRight w:val="0"/>
      <w:marTop w:val="0"/>
      <w:marBottom w:val="0"/>
      <w:divBdr>
        <w:top w:val="none" w:sz="0" w:space="0" w:color="auto"/>
        <w:left w:val="none" w:sz="0" w:space="0" w:color="auto"/>
        <w:bottom w:val="none" w:sz="0" w:space="0" w:color="auto"/>
        <w:right w:val="none" w:sz="0" w:space="0" w:color="auto"/>
      </w:divBdr>
    </w:div>
    <w:div w:id="165949493">
      <w:bodyDiv w:val="1"/>
      <w:marLeft w:val="0"/>
      <w:marRight w:val="0"/>
      <w:marTop w:val="0"/>
      <w:marBottom w:val="0"/>
      <w:divBdr>
        <w:top w:val="none" w:sz="0" w:space="0" w:color="auto"/>
        <w:left w:val="none" w:sz="0" w:space="0" w:color="auto"/>
        <w:bottom w:val="none" w:sz="0" w:space="0" w:color="auto"/>
        <w:right w:val="none" w:sz="0" w:space="0" w:color="auto"/>
      </w:divBdr>
    </w:div>
    <w:div w:id="169682088">
      <w:bodyDiv w:val="1"/>
      <w:marLeft w:val="0"/>
      <w:marRight w:val="0"/>
      <w:marTop w:val="0"/>
      <w:marBottom w:val="0"/>
      <w:divBdr>
        <w:top w:val="none" w:sz="0" w:space="0" w:color="auto"/>
        <w:left w:val="none" w:sz="0" w:space="0" w:color="auto"/>
        <w:bottom w:val="none" w:sz="0" w:space="0" w:color="auto"/>
        <w:right w:val="none" w:sz="0" w:space="0" w:color="auto"/>
      </w:divBdr>
    </w:div>
    <w:div w:id="193735614">
      <w:bodyDiv w:val="1"/>
      <w:marLeft w:val="0"/>
      <w:marRight w:val="0"/>
      <w:marTop w:val="0"/>
      <w:marBottom w:val="0"/>
      <w:divBdr>
        <w:top w:val="none" w:sz="0" w:space="0" w:color="auto"/>
        <w:left w:val="none" w:sz="0" w:space="0" w:color="auto"/>
        <w:bottom w:val="none" w:sz="0" w:space="0" w:color="auto"/>
        <w:right w:val="none" w:sz="0" w:space="0" w:color="auto"/>
      </w:divBdr>
    </w:div>
    <w:div w:id="202836616">
      <w:bodyDiv w:val="1"/>
      <w:marLeft w:val="0"/>
      <w:marRight w:val="0"/>
      <w:marTop w:val="0"/>
      <w:marBottom w:val="0"/>
      <w:divBdr>
        <w:top w:val="none" w:sz="0" w:space="0" w:color="auto"/>
        <w:left w:val="none" w:sz="0" w:space="0" w:color="auto"/>
        <w:bottom w:val="none" w:sz="0" w:space="0" w:color="auto"/>
        <w:right w:val="none" w:sz="0" w:space="0" w:color="auto"/>
      </w:divBdr>
    </w:div>
    <w:div w:id="221796230">
      <w:bodyDiv w:val="1"/>
      <w:marLeft w:val="0"/>
      <w:marRight w:val="0"/>
      <w:marTop w:val="0"/>
      <w:marBottom w:val="0"/>
      <w:divBdr>
        <w:top w:val="none" w:sz="0" w:space="0" w:color="auto"/>
        <w:left w:val="none" w:sz="0" w:space="0" w:color="auto"/>
        <w:bottom w:val="none" w:sz="0" w:space="0" w:color="auto"/>
        <w:right w:val="none" w:sz="0" w:space="0" w:color="auto"/>
      </w:divBdr>
    </w:div>
    <w:div w:id="239415134">
      <w:bodyDiv w:val="1"/>
      <w:marLeft w:val="0"/>
      <w:marRight w:val="0"/>
      <w:marTop w:val="0"/>
      <w:marBottom w:val="0"/>
      <w:divBdr>
        <w:top w:val="none" w:sz="0" w:space="0" w:color="auto"/>
        <w:left w:val="none" w:sz="0" w:space="0" w:color="auto"/>
        <w:bottom w:val="none" w:sz="0" w:space="0" w:color="auto"/>
        <w:right w:val="none" w:sz="0" w:space="0" w:color="auto"/>
      </w:divBdr>
      <w:divsChild>
        <w:div w:id="851341721">
          <w:marLeft w:val="0"/>
          <w:marRight w:val="0"/>
          <w:marTop w:val="0"/>
          <w:marBottom w:val="0"/>
          <w:divBdr>
            <w:top w:val="none" w:sz="0" w:space="0" w:color="auto"/>
            <w:left w:val="none" w:sz="0" w:space="0" w:color="auto"/>
            <w:bottom w:val="none" w:sz="0" w:space="0" w:color="auto"/>
            <w:right w:val="none" w:sz="0" w:space="0" w:color="auto"/>
          </w:divBdr>
        </w:div>
        <w:div w:id="301346806">
          <w:marLeft w:val="0"/>
          <w:marRight w:val="0"/>
          <w:marTop w:val="0"/>
          <w:marBottom w:val="0"/>
          <w:divBdr>
            <w:top w:val="none" w:sz="0" w:space="0" w:color="auto"/>
            <w:left w:val="none" w:sz="0" w:space="0" w:color="auto"/>
            <w:bottom w:val="none" w:sz="0" w:space="0" w:color="auto"/>
            <w:right w:val="none" w:sz="0" w:space="0" w:color="auto"/>
          </w:divBdr>
        </w:div>
      </w:divsChild>
    </w:div>
    <w:div w:id="240331559">
      <w:bodyDiv w:val="1"/>
      <w:marLeft w:val="0"/>
      <w:marRight w:val="0"/>
      <w:marTop w:val="0"/>
      <w:marBottom w:val="0"/>
      <w:divBdr>
        <w:top w:val="none" w:sz="0" w:space="0" w:color="auto"/>
        <w:left w:val="none" w:sz="0" w:space="0" w:color="auto"/>
        <w:bottom w:val="none" w:sz="0" w:space="0" w:color="auto"/>
        <w:right w:val="none" w:sz="0" w:space="0" w:color="auto"/>
      </w:divBdr>
    </w:div>
    <w:div w:id="245042560">
      <w:bodyDiv w:val="1"/>
      <w:marLeft w:val="0"/>
      <w:marRight w:val="0"/>
      <w:marTop w:val="0"/>
      <w:marBottom w:val="0"/>
      <w:divBdr>
        <w:top w:val="none" w:sz="0" w:space="0" w:color="auto"/>
        <w:left w:val="none" w:sz="0" w:space="0" w:color="auto"/>
        <w:bottom w:val="none" w:sz="0" w:space="0" w:color="auto"/>
        <w:right w:val="none" w:sz="0" w:space="0" w:color="auto"/>
      </w:divBdr>
    </w:div>
    <w:div w:id="246308352">
      <w:bodyDiv w:val="1"/>
      <w:marLeft w:val="0"/>
      <w:marRight w:val="0"/>
      <w:marTop w:val="0"/>
      <w:marBottom w:val="0"/>
      <w:divBdr>
        <w:top w:val="none" w:sz="0" w:space="0" w:color="auto"/>
        <w:left w:val="none" w:sz="0" w:space="0" w:color="auto"/>
        <w:bottom w:val="none" w:sz="0" w:space="0" w:color="auto"/>
        <w:right w:val="none" w:sz="0" w:space="0" w:color="auto"/>
      </w:divBdr>
    </w:div>
    <w:div w:id="274751571">
      <w:bodyDiv w:val="1"/>
      <w:marLeft w:val="0"/>
      <w:marRight w:val="0"/>
      <w:marTop w:val="0"/>
      <w:marBottom w:val="0"/>
      <w:divBdr>
        <w:top w:val="none" w:sz="0" w:space="0" w:color="auto"/>
        <w:left w:val="none" w:sz="0" w:space="0" w:color="auto"/>
        <w:bottom w:val="none" w:sz="0" w:space="0" w:color="auto"/>
        <w:right w:val="none" w:sz="0" w:space="0" w:color="auto"/>
      </w:divBdr>
    </w:div>
    <w:div w:id="289435482">
      <w:bodyDiv w:val="1"/>
      <w:marLeft w:val="0"/>
      <w:marRight w:val="0"/>
      <w:marTop w:val="0"/>
      <w:marBottom w:val="0"/>
      <w:divBdr>
        <w:top w:val="none" w:sz="0" w:space="0" w:color="auto"/>
        <w:left w:val="none" w:sz="0" w:space="0" w:color="auto"/>
        <w:bottom w:val="none" w:sz="0" w:space="0" w:color="auto"/>
        <w:right w:val="none" w:sz="0" w:space="0" w:color="auto"/>
      </w:divBdr>
    </w:div>
    <w:div w:id="313531724">
      <w:bodyDiv w:val="1"/>
      <w:marLeft w:val="0"/>
      <w:marRight w:val="0"/>
      <w:marTop w:val="0"/>
      <w:marBottom w:val="0"/>
      <w:divBdr>
        <w:top w:val="none" w:sz="0" w:space="0" w:color="auto"/>
        <w:left w:val="none" w:sz="0" w:space="0" w:color="auto"/>
        <w:bottom w:val="none" w:sz="0" w:space="0" w:color="auto"/>
        <w:right w:val="none" w:sz="0" w:space="0" w:color="auto"/>
      </w:divBdr>
    </w:div>
    <w:div w:id="333387257">
      <w:bodyDiv w:val="1"/>
      <w:marLeft w:val="0"/>
      <w:marRight w:val="0"/>
      <w:marTop w:val="0"/>
      <w:marBottom w:val="0"/>
      <w:divBdr>
        <w:top w:val="none" w:sz="0" w:space="0" w:color="auto"/>
        <w:left w:val="none" w:sz="0" w:space="0" w:color="auto"/>
        <w:bottom w:val="none" w:sz="0" w:space="0" w:color="auto"/>
        <w:right w:val="none" w:sz="0" w:space="0" w:color="auto"/>
      </w:divBdr>
    </w:div>
    <w:div w:id="334457398">
      <w:bodyDiv w:val="1"/>
      <w:marLeft w:val="0"/>
      <w:marRight w:val="0"/>
      <w:marTop w:val="0"/>
      <w:marBottom w:val="0"/>
      <w:divBdr>
        <w:top w:val="none" w:sz="0" w:space="0" w:color="auto"/>
        <w:left w:val="none" w:sz="0" w:space="0" w:color="auto"/>
        <w:bottom w:val="none" w:sz="0" w:space="0" w:color="auto"/>
        <w:right w:val="none" w:sz="0" w:space="0" w:color="auto"/>
      </w:divBdr>
    </w:div>
    <w:div w:id="341779794">
      <w:bodyDiv w:val="1"/>
      <w:marLeft w:val="0"/>
      <w:marRight w:val="0"/>
      <w:marTop w:val="0"/>
      <w:marBottom w:val="0"/>
      <w:divBdr>
        <w:top w:val="none" w:sz="0" w:space="0" w:color="auto"/>
        <w:left w:val="none" w:sz="0" w:space="0" w:color="auto"/>
        <w:bottom w:val="none" w:sz="0" w:space="0" w:color="auto"/>
        <w:right w:val="none" w:sz="0" w:space="0" w:color="auto"/>
      </w:divBdr>
    </w:div>
    <w:div w:id="343048177">
      <w:bodyDiv w:val="1"/>
      <w:marLeft w:val="0"/>
      <w:marRight w:val="0"/>
      <w:marTop w:val="0"/>
      <w:marBottom w:val="0"/>
      <w:divBdr>
        <w:top w:val="none" w:sz="0" w:space="0" w:color="auto"/>
        <w:left w:val="none" w:sz="0" w:space="0" w:color="auto"/>
        <w:bottom w:val="none" w:sz="0" w:space="0" w:color="auto"/>
        <w:right w:val="none" w:sz="0" w:space="0" w:color="auto"/>
      </w:divBdr>
    </w:div>
    <w:div w:id="345637618">
      <w:bodyDiv w:val="1"/>
      <w:marLeft w:val="0"/>
      <w:marRight w:val="0"/>
      <w:marTop w:val="0"/>
      <w:marBottom w:val="0"/>
      <w:divBdr>
        <w:top w:val="none" w:sz="0" w:space="0" w:color="auto"/>
        <w:left w:val="none" w:sz="0" w:space="0" w:color="auto"/>
        <w:bottom w:val="none" w:sz="0" w:space="0" w:color="auto"/>
        <w:right w:val="none" w:sz="0" w:space="0" w:color="auto"/>
      </w:divBdr>
    </w:div>
    <w:div w:id="375589631">
      <w:bodyDiv w:val="1"/>
      <w:marLeft w:val="0"/>
      <w:marRight w:val="0"/>
      <w:marTop w:val="0"/>
      <w:marBottom w:val="0"/>
      <w:divBdr>
        <w:top w:val="none" w:sz="0" w:space="0" w:color="auto"/>
        <w:left w:val="none" w:sz="0" w:space="0" w:color="auto"/>
        <w:bottom w:val="none" w:sz="0" w:space="0" w:color="auto"/>
        <w:right w:val="none" w:sz="0" w:space="0" w:color="auto"/>
      </w:divBdr>
    </w:div>
    <w:div w:id="378210148">
      <w:bodyDiv w:val="1"/>
      <w:marLeft w:val="0"/>
      <w:marRight w:val="0"/>
      <w:marTop w:val="0"/>
      <w:marBottom w:val="0"/>
      <w:divBdr>
        <w:top w:val="none" w:sz="0" w:space="0" w:color="auto"/>
        <w:left w:val="none" w:sz="0" w:space="0" w:color="auto"/>
        <w:bottom w:val="none" w:sz="0" w:space="0" w:color="auto"/>
        <w:right w:val="none" w:sz="0" w:space="0" w:color="auto"/>
      </w:divBdr>
    </w:div>
    <w:div w:id="381170457">
      <w:bodyDiv w:val="1"/>
      <w:marLeft w:val="0"/>
      <w:marRight w:val="0"/>
      <w:marTop w:val="0"/>
      <w:marBottom w:val="0"/>
      <w:divBdr>
        <w:top w:val="none" w:sz="0" w:space="0" w:color="auto"/>
        <w:left w:val="none" w:sz="0" w:space="0" w:color="auto"/>
        <w:bottom w:val="none" w:sz="0" w:space="0" w:color="auto"/>
        <w:right w:val="none" w:sz="0" w:space="0" w:color="auto"/>
      </w:divBdr>
    </w:div>
    <w:div w:id="399718051">
      <w:bodyDiv w:val="1"/>
      <w:marLeft w:val="0"/>
      <w:marRight w:val="0"/>
      <w:marTop w:val="0"/>
      <w:marBottom w:val="0"/>
      <w:divBdr>
        <w:top w:val="none" w:sz="0" w:space="0" w:color="auto"/>
        <w:left w:val="none" w:sz="0" w:space="0" w:color="auto"/>
        <w:bottom w:val="none" w:sz="0" w:space="0" w:color="auto"/>
        <w:right w:val="none" w:sz="0" w:space="0" w:color="auto"/>
      </w:divBdr>
    </w:div>
    <w:div w:id="417363452">
      <w:bodyDiv w:val="1"/>
      <w:marLeft w:val="0"/>
      <w:marRight w:val="0"/>
      <w:marTop w:val="0"/>
      <w:marBottom w:val="0"/>
      <w:divBdr>
        <w:top w:val="none" w:sz="0" w:space="0" w:color="auto"/>
        <w:left w:val="none" w:sz="0" w:space="0" w:color="auto"/>
        <w:bottom w:val="none" w:sz="0" w:space="0" w:color="auto"/>
        <w:right w:val="none" w:sz="0" w:space="0" w:color="auto"/>
      </w:divBdr>
    </w:div>
    <w:div w:id="428896204">
      <w:bodyDiv w:val="1"/>
      <w:marLeft w:val="0"/>
      <w:marRight w:val="0"/>
      <w:marTop w:val="0"/>
      <w:marBottom w:val="0"/>
      <w:divBdr>
        <w:top w:val="none" w:sz="0" w:space="0" w:color="auto"/>
        <w:left w:val="none" w:sz="0" w:space="0" w:color="auto"/>
        <w:bottom w:val="none" w:sz="0" w:space="0" w:color="auto"/>
        <w:right w:val="none" w:sz="0" w:space="0" w:color="auto"/>
      </w:divBdr>
    </w:div>
    <w:div w:id="455028355">
      <w:bodyDiv w:val="1"/>
      <w:marLeft w:val="0"/>
      <w:marRight w:val="0"/>
      <w:marTop w:val="0"/>
      <w:marBottom w:val="0"/>
      <w:divBdr>
        <w:top w:val="none" w:sz="0" w:space="0" w:color="auto"/>
        <w:left w:val="none" w:sz="0" w:space="0" w:color="auto"/>
        <w:bottom w:val="none" w:sz="0" w:space="0" w:color="auto"/>
        <w:right w:val="none" w:sz="0" w:space="0" w:color="auto"/>
      </w:divBdr>
    </w:div>
    <w:div w:id="457724721">
      <w:bodyDiv w:val="1"/>
      <w:marLeft w:val="0"/>
      <w:marRight w:val="0"/>
      <w:marTop w:val="0"/>
      <w:marBottom w:val="0"/>
      <w:divBdr>
        <w:top w:val="none" w:sz="0" w:space="0" w:color="auto"/>
        <w:left w:val="none" w:sz="0" w:space="0" w:color="auto"/>
        <w:bottom w:val="none" w:sz="0" w:space="0" w:color="auto"/>
        <w:right w:val="none" w:sz="0" w:space="0" w:color="auto"/>
      </w:divBdr>
    </w:div>
    <w:div w:id="460147046">
      <w:bodyDiv w:val="1"/>
      <w:marLeft w:val="0"/>
      <w:marRight w:val="0"/>
      <w:marTop w:val="0"/>
      <w:marBottom w:val="0"/>
      <w:divBdr>
        <w:top w:val="none" w:sz="0" w:space="0" w:color="auto"/>
        <w:left w:val="none" w:sz="0" w:space="0" w:color="auto"/>
        <w:bottom w:val="none" w:sz="0" w:space="0" w:color="auto"/>
        <w:right w:val="none" w:sz="0" w:space="0" w:color="auto"/>
      </w:divBdr>
    </w:div>
    <w:div w:id="533080626">
      <w:bodyDiv w:val="1"/>
      <w:marLeft w:val="0"/>
      <w:marRight w:val="0"/>
      <w:marTop w:val="0"/>
      <w:marBottom w:val="0"/>
      <w:divBdr>
        <w:top w:val="none" w:sz="0" w:space="0" w:color="auto"/>
        <w:left w:val="none" w:sz="0" w:space="0" w:color="auto"/>
        <w:bottom w:val="none" w:sz="0" w:space="0" w:color="auto"/>
        <w:right w:val="none" w:sz="0" w:space="0" w:color="auto"/>
      </w:divBdr>
    </w:div>
    <w:div w:id="538712785">
      <w:bodyDiv w:val="1"/>
      <w:marLeft w:val="0"/>
      <w:marRight w:val="0"/>
      <w:marTop w:val="0"/>
      <w:marBottom w:val="0"/>
      <w:divBdr>
        <w:top w:val="none" w:sz="0" w:space="0" w:color="auto"/>
        <w:left w:val="none" w:sz="0" w:space="0" w:color="auto"/>
        <w:bottom w:val="none" w:sz="0" w:space="0" w:color="auto"/>
        <w:right w:val="none" w:sz="0" w:space="0" w:color="auto"/>
      </w:divBdr>
    </w:div>
    <w:div w:id="551699039">
      <w:bodyDiv w:val="1"/>
      <w:marLeft w:val="0"/>
      <w:marRight w:val="0"/>
      <w:marTop w:val="0"/>
      <w:marBottom w:val="0"/>
      <w:divBdr>
        <w:top w:val="none" w:sz="0" w:space="0" w:color="auto"/>
        <w:left w:val="none" w:sz="0" w:space="0" w:color="auto"/>
        <w:bottom w:val="none" w:sz="0" w:space="0" w:color="auto"/>
        <w:right w:val="none" w:sz="0" w:space="0" w:color="auto"/>
      </w:divBdr>
    </w:div>
    <w:div w:id="554199081">
      <w:bodyDiv w:val="1"/>
      <w:marLeft w:val="0"/>
      <w:marRight w:val="0"/>
      <w:marTop w:val="0"/>
      <w:marBottom w:val="0"/>
      <w:divBdr>
        <w:top w:val="none" w:sz="0" w:space="0" w:color="auto"/>
        <w:left w:val="none" w:sz="0" w:space="0" w:color="auto"/>
        <w:bottom w:val="none" w:sz="0" w:space="0" w:color="auto"/>
        <w:right w:val="none" w:sz="0" w:space="0" w:color="auto"/>
      </w:divBdr>
    </w:div>
    <w:div w:id="568611154">
      <w:bodyDiv w:val="1"/>
      <w:marLeft w:val="0"/>
      <w:marRight w:val="0"/>
      <w:marTop w:val="0"/>
      <w:marBottom w:val="0"/>
      <w:divBdr>
        <w:top w:val="none" w:sz="0" w:space="0" w:color="auto"/>
        <w:left w:val="none" w:sz="0" w:space="0" w:color="auto"/>
        <w:bottom w:val="none" w:sz="0" w:space="0" w:color="auto"/>
        <w:right w:val="none" w:sz="0" w:space="0" w:color="auto"/>
      </w:divBdr>
    </w:div>
    <w:div w:id="578710228">
      <w:bodyDiv w:val="1"/>
      <w:marLeft w:val="0"/>
      <w:marRight w:val="0"/>
      <w:marTop w:val="0"/>
      <w:marBottom w:val="0"/>
      <w:divBdr>
        <w:top w:val="none" w:sz="0" w:space="0" w:color="auto"/>
        <w:left w:val="none" w:sz="0" w:space="0" w:color="auto"/>
        <w:bottom w:val="none" w:sz="0" w:space="0" w:color="auto"/>
        <w:right w:val="none" w:sz="0" w:space="0" w:color="auto"/>
      </w:divBdr>
    </w:div>
    <w:div w:id="584459279">
      <w:bodyDiv w:val="1"/>
      <w:marLeft w:val="0"/>
      <w:marRight w:val="0"/>
      <w:marTop w:val="0"/>
      <w:marBottom w:val="0"/>
      <w:divBdr>
        <w:top w:val="none" w:sz="0" w:space="0" w:color="auto"/>
        <w:left w:val="none" w:sz="0" w:space="0" w:color="auto"/>
        <w:bottom w:val="none" w:sz="0" w:space="0" w:color="auto"/>
        <w:right w:val="none" w:sz="0" w:space="0" w:color="auto"/>
      </w:divBdr>
    </w:div>
    <w:div w:id="606887880">
      <w:bodyDiv w:val="1"/>
      <w:marLeft w:val="0"/>
      <w:marRight w:val="0"/>
      <w:marTop w:val="0"/>
      <w:marBottom w:val="0"/>
      <w:divBdr>
        <w:top w:val="none" w:sz="0" w:space="0" w:color="auto"/>
        <w:left w:val="none" w:sz="0" w:space="0" w:color="auto"/>
        <w:bottom w:val="none" w:sz="0" w:space="0" w:color="auto"/>
        <w:right w:val="none" w:sz="0" w:space="0" w:color="auto"/>
      </w:divBdr>
    </w:div>
    <w:div w:id="615255437">
      <w:bodyDiv w:val="1"/>
      <w:marLeft w:val="0"/>
      <w:marRight w:val="0"/>
      <w:marTop w:val="0"/>
      <w:marBottom w:val="0"/>
      <w:divBdr>
        <w:top w:val="none" w:sz="0" w:space="0" w:color="auto"/>
        <w:left w:val="none" w:sz="0" w:space="0" w:color="auto"/>
        <w:bottom w:val="none" w:sz="0" w:space="0" w:color="auto"/>
        <w:right w:val="none" w:sz="0" w:space="0" w:color="auto"/>
      </w:divBdr>
    </w:div>
    <w:div w:id="620576126">
      <w:bodyDiv w:val="1"/>
      <w:marLeft w:val="0"/>
      <w:marRight w:val="0"/>
      <w:marTop w:val="0"/>
      <w:marBottom w:val="0"/>
      <w:divBdr>
        <w:top w:val="none" w:sz="0" w:space="0" w:color="auto"/>
        <w:left w:val="none" w:sz="0" w:space="0" w:color="auto"/>
        <w:bottom w:val="none" w:sz="0" w:space="0" w:color="auto"/>
        <w:right w:val="none" w:sz="0" w:space="0" w:color="auto"/>
      </w:divBdr>
    </w:div>
    <w:div w:id="633830820">
      <w:bodyDiv w:val="1"/>
      <w:marLeft w:val="0"/>
      <w:marRight w:val="0"/>
      <w:marTop w:val="0"/>
      <w:marBottom w:val="0"/>
      <w:divBdr>
        <w:top w:val="none" w:sz="0" w:space="0" w:color="auto"/>
        <w:left w:val="none" w:sz="0" w:space="0" w:color="auto"/>
        <w:bottom w:val="none" w:sz="0" w:space="0" w:color="auto"/>
        <w:right w:val="none" w:sz="0" w:space="0" w:color="auto"/>
      </w:divBdr>
    </w:div>
    <w:div w:id="636840926">
      <w:bodyDiv w:val="1"/>
      <w:marLeft w:val="0"/>
      <w:marRight w:val="0"/>
      <w:marTop w:val="0"/>
      <w:marBottom w:val="0"/>
      <w:divBdr>
        <w:top w:val="none" w:sz="0" w:space="0" w:color="auto"/>
        <w:left w:val="none" w:sz="0" w:space="0" w:color="auto"/>
        <w:bottom w:val="none" w:sz="0" w:space="0" w:color="auto"/>
        <w:right w:val="none" w:sz="0" w:space="0" w:color="auto"/>
      </w:divBdr>
    </w:div>
    <w:div w:id="653530255">
      <w:bodyDiv w:val="1"/>
      <w:marLeft w:val="0"/>
      <w:marRight w:val="0"/>
      <w:marTop w:val="0"/>
      <w:marBottom w:val="0"/>
      <w:divBdr>
        <w:top w:val="none" w:sz="0" w:space="0" w:color="auto"/>
        <w:left w:val="none" w:sz="0" w:space="0" w:color="auto"/>
        <w:bottom w:val="none" w:sz="0" w:space="0" w:color="auto"/>
        <w:right w:val="none" w:sz="0" w:space="0" w:color="auto"/>
      </w:divBdr>
    </w:div>
    <w:div w:id="656418858">
      <w:bodyDiv w:val="1"/>
      <w:marLeft w:val="0"/>
      <w:marRight w:val="0"/>
      <w:marTop w:val="0"/>
      <w:marBottom w:val="0"/>
      <w:divBdr>
        <w:top w:val="none" w:sz="0" w:space="0" w:color="auto"/>
        <w:left w:val="none" w:sz="0" w:space="0" w:color="auto"/>
        <w:bottom w:val="none" w:sz="0" w:space="0" w:color="auto"/>
        <w:right w:val="none" w:sz="0" w:space="0" w:color="auto"/>
      </w:divBdr>
    </w:div>
    <w:div w:id="670329461">
      <w:bodyDiv w:val="1"/>
      <w:marLeft w:val="0"/>
      <w:marRight w:val="0"/>
      <w:marTop w:val="0"/>
      <w:marBottom w:val="0"/>
      <w:divBdr>
        <w:top w:val="none" w:sz="0" w:space="0" w:color="auto"/>
        <w:left w:val="none" w:sz="0" w:space="0" w:color="auto"/>
        <w:bottom w:val="none" w:sz="0" w:space="0" w:color="auto"/>
        <w:right w:val="none" w:sz="0" w:space="0" w:color="auto"/>
      </w:divBdr>
    </w:div>
    <w:div w:id="691227122">
      <w:bodyDiv w:val="1"/>
      <w:marLeft w:val="0"/>
      <w:marRight w:val="0"/>
      <w:marTop w:val="0"/>
      <w:marBottom w:val="0"/>
      <w:divBdr>
        <w:top w:val="none" w:sz="0" w:space="0" w:color="auto"/>
        <w:left w:val="none" w:sz="0" w:space="0" w:color="auto"/>
        <w:bottom w:val="none" w:sz="0" w:space="0" w:color="auto"/>
        <w:right w:val="none" w:sz="0" w:space="0" w:color="auto"/>
      </w:divBdr>
    </w:div>
    <w:div w:id="702899667">
      <w:bodyDiv w:val="1"/>
      <w:marLeft w:val="0"/>
      <w:marRight w:val="0"/>
      <w:marTop w:val="0"/>
      <w:marBottom w:val="0"/>
      <w:divBdr>
        <w:top w:val="none" w:sz="0" w:space="0" w:color="auto"/>
        <w:left w:val="none" w:sz="0" w:space="0" w:color="auto"/>
        <w:bottom w:val="none" w:sz="0" w:space="0" w:color="auto"/>
        <w:right w:val="none" w:sz="0" w:space="0" w:color="auto"/>
      </w:divBdr>
    </w:div>
    <w:div w:id="706174019">
      <w:bodyDiv w:val="1"/>
      <w:marLeft w:val="0"/>
      <w:marRight w:val="0"/>
      <w:marTop w:val="0"/>
      <w:marBottom w:val="0"/>
      <w:divBdr>
        <w:top w:val="none" w:sz="0" w:space="0" w:color="auto"/>
        <w:left w:val="none" w:sz="0" w:space="0" w:color="auto"/>
        <w:bottom w:val="none" w:sz="0" w:space="0" w:color="auto"/>
        <w:right w:val="none" w:sz="0" w:space="0" w:color="auto"/>
      </w:divBdr>
    </w:div>
    <w:div w:id="716852562">
      <w:bodyDiv w:val="1"/>
      <w:marLeft w:val="0"/>
      <w:marRight w:val="0"/>
      <w:marTop w:val="0"/>
      <w:marBottom w:val="0"/>
      <w:divBdr>
        <w:top w:val="none" w:sz="0" w:space="0" w:color="auto"/>
        <w:left w:val="none" w:sz="0" w:space="0" w:color="auto"/>
        <w:bottom w:val="none" w:sz="0" w:space="0" w:color="auto"/>
        <w:right w:val="none" w:sz="0" w:space="0" w:color="auto"/>
      </w:divBdr>
      <w:divsChild>
        <w:div w:id="1678074425">
          <w:marLeft w:val="0"/>
          <w:marRight w:val="0"/>
          <w:marTop w:val="0"/>
          <w:marBottom w:val="0"/>
          <w:divBdr>
            <w:top w:val="none" w:sz="0" w:space="0" w:color="auto"/>
            <w:left w:val="none" w:sz="0" w:space="0" w:color="auto"/>
            <w:bottom w:val="none" w:sz="0" w:space="0" w:color="auto"/>
            <w:right w:val="none" w:sz="0" w:space="0" w:color="auto"/>
          </w:divBdr>
        </w:div>
        <w:div w:id="1118185492">
          <w:marLeft w:val="0"/>
          <w:marRight w:val="0"/>
          <w:marTop w:val="0"/>
          <w:marBottom w:val="0"/>
          <w:divBdr>
            <w:top w:val="none" w:sz="0" w:space="0" w:color="auto"/>
            <w:left w:val="none" w:sz="0" w:space="0" w:color="auto"/>
            <w:bottom w:val="none" w:sz="0" w:space="0" w:color="auto"/>
            <w:right w:val="none" w:sz="0" w:space="0" w:color="auto"/>
          </w:divBdr>
        </w:div>
      </w:divsChild>
    </w:div>
    <w:div w:id="750539186">
      <w:bodyDiv w:val="1"/>
      <w:marLeft w:val="0"/>
      <w:marRight w:val="0"/>
      <w:marTop w:val="0"/>
      <w:marBottom w:val="0"/>
      <w:divBdr>
        <w:top w:val="none" w:sz="0" w:space="0" w:color="auto"/>
        <w:left w:val="none" w:sz="0" w:space="0" w:color="auto"/>
        <w:bottom w:val="none" w:sz="0" w:space="0" w:color="auto"/>
        <w:right w:val="none" w:sz="0" w:space="0" w:color="auto"/>
      </w:divBdr>
    </w:div>
    <w:div w:id="757403922">
      <w:bodyDiv w:val="1"/>
      <w:marLeft w:val="0"/>
      <w:marRight w:val="0"/>
      <w:marTop w:val="0"/>
      <w:marBottom w:val="0"/>
      <w:divBdr>
        <w:top w:val="none" w:sz="0" w:space="0" w:color="auto"/>
        <w:left w:val="none" w:sz="0" w:space="0" w:color="auto"/>
        <w:bottom w:val="none" w:sz="0" w:space="0" w:color="auto"/>
        <w:right w:val="none" w:sz="0" w:space="0" w:color="auto"/>
      </w:divBdr>
    </w:div>
    <w:div w:id="762451900">
      <w:bodyDiv w:val="1"/>
      <w:marLeft w:val="0"/>
      <w:marRight w:val="0"/>
      <w:marTop w:val="0"/>
      <w:marBottom w:val="0"/>
      <w:divBdr>
        <w:top w:val="none" w:sz="0" w:space="0" w:color="auto"/>
        <w:left w:val="none" w:sz="0" w:space="0" w:color="auto"/>
        <w:bottom w:val="none" w:sz="0" w:space="0" w:color="auto"/>
        <w:right w:val="none" w:sz="0" w:space="0" w:color="auto"/>
      </w:divBdr>
    </w:div>
    <w:div w:id="763306668">
      <w:bodyDiv w:val="1"/>
      <w:marLeft w:val="0"/>
      <w:marRight w:val="0"/>
      <w:marTop w:val="0"/>
      <w:marBottom w:val="0"/>
      <w:divBdr>
        <w:top w:val="none" w:sz="0" w:space="0" w:color="auto"/>
        <w:left w:val="none" w:sz="0" w:space="0" w:color="auto"/>
        <w:bottom w:val="none" w:sz="0" w:space="0" w:color="auto"/>
        <w:right w:val="none" w:sz="0" w:space="0" w:color="auto"/>
      </w:divBdr>
    </w:div>
    <w:div w:id="771897328">
      <w:bodyDiv w:val="1"/>
      <w:marLeft w:val="0"/>
      <w:marRight w:val="0"/>
      <w:marTop w:val="0"/>
      <w:marBottom w:val="0"/>
      <w:divBdr>
        <w:top w:val="none" w:sz="0" w:space="0" w:color="auto"/>
        <w:left w:val="none" w:sz="0" w:space="0" w:color="auto"/>
        <w:bottom w:val="none" w:sz="0" w:space="0" w:color="auto"/>
        <w:right w:val="none" w:sz="0" w:space="0" w:color="auto"/>
      </w:divBdr>
    </w:div>
    <w:div w:id="789396618">
      <w:bodyDiv w:val="1"/>
      <w:marLeft w:val="0"/>
      <w:marRight w:val="0"/>
      <w:marTop w:val="0"/>
      <w:marBottom w:val="0"/>
      <w:divBdr>
        <w:top w:val="none" w:sz="0" w:space="0" w:color="auto"/>
        <w:left w:val="none" w:sz="0" w:space="0" w:color="auto"/>
        <w:bottom w:val="none" w:sz="0" w:space="0" w:color="auto"/>
        <w:right w:val="none" w:sz="0" w:space="0" w:color="auto"/>
      </w:divBdr>
      <w:divsChild>
        <w:div w:id="2101640121">
          <w:marLeft w:val="0"/>
          <w:marRight w:val="0"/>
          <w:marTop w:val="0"/>
          <w:marBottom w:val="0"/>
          <w:divBdr>
            <w:top w:val="none" w:sz="0" w:space="0" w:color="auto"/>
            <w:left w:val="none" w:sz="0" w:space="0" w:color="auto"/>
            <w:bottom w:val="none" w:sz="0" w:space="0" w:color="auto"/>
            <w:right w:val="none" w:sz="0" w:space="0" w:color="auto"/>
          </w:divBdr>
        </w:div>
        <w:div w:id="572203308">
          <w:marLeft w:val="0"/>
          <w:marRight w:val="0"/>
          <w:marTop w:val="0"/>
          <w:marBottom w:val="0"/>
          <w:divBdr>
            <w:top w:val="none" w:sz="0" w:space="0" w:color="auto"/>
            <w:left w:val="none" w:sz="0" w:space="0" w:color="auto"/>
            <w:bottom w:val="none" w:sz="0" w:space="0" w:color="auto"/>
            <w:right w:val="none" w:sz="0" w:space="0" w:color="auto"/>
          </w:divBdr>
        </w:div>
      </w:divsChild>
    </w:div>
    <w:div w:id="799610685">
      <w:bodyDiv w:val="1"/>
      <w:marLeft w:val="0"/>
      <w:marRight w:val="0"/>
      <w:marTop w:val="0"/>
      <w:marBottom w:val="0"/>
      <w:divBdr>
        <w:top w:val="none" w:sz="0" w:space="0" w:color="auto"/>
        <w:left w:val="none" w:sz="0" w:space="0" w:color="auto"/>
        <w:bottom w:val="none" w:sz="0" w:space="0" w:color="auto"/>
        <w:right w:val="none" w:sz="0" w:space="0" w:color="auto"/>
      </w:divBdr>
    </w:div>
    <w:div w:id="806892786">
      <w:bodyDiv w:val="1"/>
      <w:marLeft w:val="0"/>
      <w:marRight w:val="0"/>
      <w:marTop w:val="0"/>
      <w:marBottom w:val="0"/>
      <w:divBdr>
        <w:top w:val="none" w:sz="0" w:space="0" w:color="auto"/>
        <w:left w:val="none" w:sz="0" w:space="0" w:color="auto"/>
        <w:bottom w:val="none" w:sz="0" w:space="0" w:color="auto"/>
        <w:right w:val="none" w:sz="0" w:space="0" w:color="auto"/>
      </w:divBdr>
    </w:div>
    <w:div w:id="816804154">
      <w:bodyDiv w:val="1"/>
      <w:marLeft w:val="0"/>
      <w:marRight w:val="0"/>
      <w:marTop w:val="0"/>
      <w:marBottom w:val="0"/>
      <w:divBdr>
        <w:top w:val="none" w:sz="0" w:space="0" w:color="auto"/>
        <w:left w:val="none" w:sz="0" w:space="0" w:color="auto"/>
        <w:bottom w:val="none" w:sz="0" w:space="0" w:color="auto"/>
        <w:right w:val="none" w:sz="0" w:space="0" w:color="auto"/>
      </w:divBdr>
    </w:div>
    <w:div w:id="845249984">
      <w:bodyDiv w:val="1"/>
      <w:marLeft w:val="0"/>
      <w:marRight w:val="0"/>
      <w:marTop w:val="0"/>
      <w:marBottom w:val="0"/>
      <w:divBdr>
        <w:top w:val="none" w:sz="0" w:space="0" w:color="auto"/>
        <w:left w:val="none" w:sz="0" w:space="0" w:color="auto"/>
        <w:bottom w:val="none" w:sz="0" w:space="0" w:color="auto"/>
        <w:right w:val="none" w:sz="0" w:space="0" w:color="auto"/>
      </w:divBdr>
    </w:div>
    <w:div w:id="845631842">
      <w:bodyDiv w:val="1"/>
      <w:marLeft w:val="0"/>
      <w:marRight w:val="0"/>
      <w:marTop w:val="0"/>
      <w:marBottom w:val="0"/>
      <w:divBdr>
        <w:top w:val="none" w:sz="0" w:space="0" w:color="auto"/>
        <w:left w:val="none" w:sz="0" w:space="0" w:color="auto"/>
        <w:bottom w:val="none" w:sz="0" w:space="0" w:color="auto"/>
        <w:right w:val="none" w:sz="0" w:space="0" w:color="auto"/>
      </w:divBdr>
    </w:div>
    <w:div w:id="846483258">
      <w:bodyDiv w:val="1"/>
      <w:marLeft w:val="0"/>
      <w:marRight w:val="0"/>
      <w:marTop w:val="0"/>
      <w:marBottom w:val="0"/>
      <w:divBdr>
        <w:top w:val="none" w:sz="0" w:space="0" w:color="auto"/>
        <w:left w:val="none" w:sz="0" w:space="0" w:color="auto"/>
        <w:bottom w:val="none" w:sz="0" w:space="0" w:color="auto"/>
        <w:right w:val="none" w:sz="0" w:space="0" w:color="auto"/>
      </w:divBdr>
    </w:div>
    <w:div w:id="851841336">
      <w:bodyDiv w:val="1"/>
      <w:marLeft w:val="0"/>
      <w:marRight w:val="0"/>
      <w:marTop w:val="0"/>
      <w:marBottom w:val="0"/>
      <w:divBdr>
        <w:top w:val="none" w:sz="0" w:space="0" w:color="auto"/>
        <w:left w:val="none" w:sz="0" w:space="0" w:color="auto"/>
        <w:bottom w:val="none" w:sz="0" w:space="0" w:color="auto"/>
        <w:right w:val="none" w:sz="0" w:space="0" w:color="auto"/>
      </w:divBdr>
    </w:div>
    <w:div w:id="856383884">
      <w:bodyDiv w:val="1"/>
      <w:marLeft w:val="0"/>
      <w:marRight w:val="0"/>
      <w:marTop w:val="0"/>
      <w:marBottom w:val="0"/>
      <w:divBdr>
        <w:top w:val="none" w:sz="0" w:space="0" w:color="auto"/>
        <w:left w:val="none" w:sz="0" w:space="0" w:color="auto"/>
        <w:bottom w:val="none" w:sz="0" w:space="0" w:color="auto"/>
        <w:right w:val="none" w:sz="0" w:space="0" w:color="auto"/>
      </w:divBdr>
    </w:div>
    <w:div w:id="856889915">
      <w:bodyDiv w:val="1"/>
      <w:marLeft w:val="0"/>
      <w:marRight w:val="0"/>
      <w:marTop w:val="0"/>
      <w:marBottom w:val="0"/>
      <w:divBdr>
        <w:top w:val="none" w:sz="0" w:space="0" w:color="auto"/>
        <w:left w:val="none" w:sz="0" w:space="0" w:color="auto"/>
        <w:bottom w:val="none" w:sz="0" w:space="0" w:color="auto"/>
        <w:right w:val="none" w:sz="0" w:space="0" w:color="auto"/>
      </w:divBdr>
    </w:div>
    <w:div w:id="861548075">
      <w:bodyDiv w:val="1"/>
      <w:marLeft w:val="0"/>
      <w:marRight w:val="0"/>
      <w:marTop w:val="0"/>
      <w:marBottom w:val="0"/>
      <w:divBdr>
        <w:top w:val="none" w:sz="0" w:space="0" w:color="auto"/>
        <w:left w:val="none" w:sz="0" w:space="0" w:color="auto"/>
        <w:bottom w:val="none" w:sz="0" w:space="0" w:color="auto"/>
        <w:right w:val="none" w:sz="0" w:space="0" w:color="auto"/>
      </w:divBdr>
    </w:div>
    <w:div w:id="870536939">
      <w:bodyDiv w:val="1"/>
      <w:marLeft w:val="0"/>
      <w:marRight w:val="0"/>
      <w:marTop w:val="0"/>
      <w:marBottom w:val="0"/>
      <w:divBdr>
        <w:top w:val="none" w:sz="0" w:space="0" w:color="auto"/>
        <w:left w:val="none" w:sz="0" w:space="0" w:color="auto"/>
        <w:bottom w:val="none" w:sz="0" w:space="0" w:color="auto"/>
        <w:right w:val="none" w:sz="0" w:space="0" w:color="auto"/>
      </w:divBdr>
    </w:div>
    <w:div w:id="881478148">
      <w:bodyDiv w:val="1"/>
      <w:marLeft w:val="0"/>
      <w:marRight w:val="0"/>
      <w:marTop w:val="0"/>
      <w:marBottom w:val="0"/>
      <w:divBdr>
        <w:top w:val="none" w:sz="0" w:space="0" w:color="auto"/>
        <w:left w:val="none" w:sz="0" w:space="0" w:color="auto"/>
        <w:bottom w:val="none" w:sz="0" w:space="0" w:color="auto"/>
        <w:right w:val="none" w:sz="0" w:space="0" w:color="auto"/>
      </w:divBdr>
    </w:div>
    <w:div w:id="883832218">
      <w:bodyDiv w:val="1"/>
      <w:marLeft w:val="0"/>
      <w:marRight w:val="0"/>
      <w:marTop w:val="0"/>
      <w:marBottom w:val="0"/>
      <w:divBdr>
        <w:top w:val="none" w:sz="0" w:space="0" w:color="auto"/>
        <w:left w:val="none" w:sz="0" w:space="0" w:color="auto"/>
        <w:bottom w:val="none" w:sz="0" w:space="0" w:color="auto"/>
        <w:right w:val="none" w:sz="0" w:space="0" w:color="auto"/>
      </w:divBdr>
    </w:div>
    <w:div w:id="891886907">
      <w:bodyDiv w:val="1"/>
      <w:marLeft w:val="0"/>
      <w:marRight w:val="0"/>
      <w:marTop w:val="0"/>
      <w:marBottom w:val="0"/>
      <w:divBdr>
        <w:top w:val="none" w:sz="0" w:space="0" w:color="auto"/>
        <w:left w:val="none" w:sz="0" w:space="0" w:color="auto"/>
        <w:bottom w:val="none" w:sz="0" w:space="0" w:color="auto"/>
        <w:right w:val="none" w:sz="0" w:space="0" w:color="auto"/>
      </w:divBdr>
    </w:div>
    <w:div w:id="895244067">
      <w:bodyDiv w:val="1"/>
      <w:marLeft w:val="0"/>
      <w:marRight w:val="0"/>
      <w:marTop w:val="0"/>
      <w:marBottom w:val="0"/>
      <w:divBdr>
        <w:top w:val="none" w:sz="0" w:space="0" w:color="auto"/>
        <w:left w:val="none" w:sz="0" w:space="0" w:color="auto"/>
        <w:bottom w:val="none" w:sz="0" w:space="0" w:color="auto"/>
        <w:right w:val="none" w:sz="0" w:space="0" w:color="auto"/>
      </w:divBdr>
    </w:div>
    <w:div w:id="897593142">
      <w:bodyDiv w:val="1"/>
      <w:marLeft w:val="0"/>
      <w:marRight w:val="0"/>
      <w:marTop w:val="0"/>
      <w:marBottom w:val="0"/>
      <w:divBdr>
        <w:top w:val="none" w:sz="0" w:space="0" w:color="auto"/>
        <w:left w:val="none" w:sz="0" w:space="0" w:color="auto"/>
        <w:bottom w:val="none" w:sz="0" w:space="0" w:color="auto"/>
        <w:right w:val="none" w:sz="0" w:space="0" w:color="auto"/>
      </w:divBdr>
    </w:div>
    <w:div w:id="947811255">
      <w:bodyDiv w:val="1"/>
      <w:marLeft w:val="0"/>
      <w:marRight w:val="0"/>
      <w:marTop w:val="0"/>
      <w:marBottom w:val="0"/>
      <w:divBdr>
        <w:top w:val="none" w:sz="0" w:space="0" w:color="auto"/>
        <w:left w:val="none" w:sz="0" w:space="0" w:color="auto"/>
        <w:bottom w:val="none" w:sz="0" w:space="0" w:color="auto"/>
        <w:right w:val="none" w:sz="0" w:space="0" w:color="auto"/>
      </w:divBdr>
    </w:div>
    <w:div w:id="954599776">
      <w:bodyDiv w:val="1"/>
      <w:marLeft w:val="0"/>
      <w:marRight w:val="0"/>
      <w:marTop w:val="0"/>
      <w:marBottom w:val="0"/>
      <w:divBdr>
        <w:top w:val="none" w:sz="0" w:space="0" w:color="auto"/>
        <w:left w:val="none" w:sz="0" w:space="0" w:color="auto"/>
        <w:bottom w:val="none" w:sz="0" w:space="0" w:color="auto"/>
        <w:right w:val="none" w:sz="0" w:space="0" w:color="auto"/>
      </w:divBdr>
    </w:div>
    <w:div w:id="967471874">
      <w:bodyDiv w:val="1"/>
      <w:marLeft w:val="0"/>
      <w:marRight w:val="0"/>
      <w:marTop w:val="0"/>
      <w:marBottom w:val="0"/>
      <w:divBdr>
        <w:top w:val="none" w:sz="0" w:space="0" w:color="auto"/>
        <w:left w:val="none" w:sz="0" w:space="0" w:color="auto"/>
        <w:bottom w:val="none" w:sz="0" w:space="0" w:color="auto"/>
        <w:right w:val="none" w:sz="0" w:space="0" w:color="auto"/>
      </w:divBdr>
    </w:div>
    <w:div w:id="967859902">
      <w:bodyDiv w:val="1"/>
      <w:marLeft w:val="0"/>
      <w:marRight w:val="0"/>
      <w:marTop w:val="0"/>
      <w:marBottom w:val="0"/>
      <w:divBdr>
        <w:top w:val="none" w:sz="0" w:space="0" w:color="auto"/>
        <w:left w:val="none" w:sz="0" w:space="0" w:color="auto"/>
        <w:bottom w:val="none" w:sz="0" w:space="0" w:color="auto"/>
        <w:right w:val="none" w:sz="0" w:space="0" w:color="auto"/>
      </w:divBdr>
    </w:div>
    <w:div w:id="988483008">
      <w:bodyDiv w:val="1"/>
      <w:marLeft w:val="0"/>
      <w:marRight w:val="0"/>
      <w:marTop w:val="0"/>
      <w:marBottom w:val="0"/>
      <w:divBdr>
        <w:top w:val="none" w:sz="0" w:space="0" w:color="auto"/>
        <w:left w:val="none" w:sz="0" w:space="0" w:color="auto"/>
        <w:bottom w:val="none" w:sz="0" w:space="0" w:color="auto"/>
        <w:right w:val="none" w:sz="0" w:space="0" w:color="auto"/>
      </w:divBdr>
    </w:div>
    <w:div w:id="1002003366">
      <w:bodyDiv w:val="1"/>
      <w:marLeft w:val="0"/>
      <w:marRight w:val="0"/>
      <w:marTop w:val="0"/>
      <w:marBottom w:val="0"/>
      <w:divBdr>
        <w:top w:val="none" w:sz="0" w:space="0" w:color="auto"/>
        <w:left w:val="none" w:sz="0" w:space="0" w:color="auto"/>
        <w:bottom w:val="none" w:sz="0" w:space="0" w:color="auto"/>
        <w:right w:val="none" w:sz="0" w:space="0" w:color="auto"/>
      </w:divBdr>
    </w:div>
    <w:div w:id="1021778559">
      <w:bodyDiv w:val="1"/>
      <w:marLeft w:val="0"/>
      <w:marRight w:val="0"/>
      <w:marTop w:val="0"/>
      <w:marBottom w:val="0"/>
      <w:divBdr>
        <w:top w:val="none" w:sz="0" w:space="0" w:color="auto"/>
        <w:left w:val="none" w:sz="0" w:space="0" w:color="auto"/>
        <w:bottom w:val="none" w:sz="0" w:space="0" w:color="auto"/>
        <w:right w:val="none" w:sz="0" w:space="0" w:color="auto"/>
      </w:divBdr>
    </w:div>
    <w:div w:id="1035735216">
      <w:bodyDiv w:val="1"/>
      <w:marLeft w:val="0"/>
      <w:marRight w:val="0"/>
      <w:marTop w:val="0"/>
      <w:marBottom w:val="0"/>
      <w:divBdr>
        <w:top w:val="none" w:sz="0" w:space="0" w:color="auto"/>
        <w:left w:val="none" w:sz="0" w:space="0" w:color="auto"/>
        <w:bottom w:val="none" w:sz="0" w:space="0" w:color="auto"/>
        <w:right w:val="none" w:sz="0" w:space="0" w:color="auto"/>
      </w:divBdr>
    </w:div>
    <w:div w:id="1037048598">
      <w:bodyDiv w:val="1"/>
      <w:marLeft w:val="0"/>
      <w:marRight w:val="0"/>
      <w:marTop w:val="0"/>
      <w:marBottom w:val="0"/>
      <w:divBdr>
        <w:top w:val="none" w:sz="0" w:space="0" w:color="auto"/>
        <w:left w:val="none" w:sz="0" w:space="0" w:color="auto"/>
        <w:bottom w:val="none" w:sz="0" w:space="0" w:color="auto"/>
        <w:right w:val="none" w:sz="0" w:space="0" w:color="auto"/>
      </w:divBdr>
    </w:div>
    <w:div w:id="1042511298">
      <w:bodyDiv w:val="1"/>
      <w:marLeft w:val="0"/>
      <w:marRight w:val="0"/>
      <w:marTop w:val="0"/>
      <w:marBottom w:val="0"/>
      <w:divBdr>
        <w:top w:val="none" w:sz="0" w:space="0" w:color="auto"/>
        <w:left w:val="none" w:sz="0" w:space="0" w:color="auto"/>
        <w:bottom w:val="none" w:sz="0" w:space="0" w:color="auto"/>
        <w:right w:val="none" w:sz="0" w:space="0" w:color="auto"/>
      </w:divBdr>
    </w:div>
    <w:div w:id="1043140823">
      <w:bodyDiv w:val="1"/>
      <w:marLeft w:val="0"/>
      <w:marRight w:val="0"/>
      <w:marTop w:val="0"/>
      <w:marBottom w:val="0"/>
      <w:divBdr>
        <w:top w:val="none" w:sz="0" w:space="0" w:color="auto"/>
        <w:left w:val="none" w:sz="0" w:space="0" w:color="auto"/>
        <w:bottom w:val="none" w:sz="0" w:space="0" w:color="auto"/>
        <w:right w:val="none" w:sz="0" w:space="0" w:color="auto"/>
      </w:divBdr>
    </w:div>
    <w:div w:id="1093403431">
      <w:bodyDiv w:val="1"/>
      <w:marLeft w:val="0"/>
      <w:marRight w:val="0"/>
      <w:marTop w:val="0"/>
      <w:marBottom w:val="0"/>
      <w:divBdr>
        <w:top w:val="none" w:sz="0" w:space="0" w:color="auto"/>
        <w:left w:val="none" w:sz="0" w:space="0" w:color="auto"/>
        <w:bottom w:val="none" w:sz="0" w:space="0" w:color="auto"/>
        <w:right w:val="none" w:sz="0" w:space="0" w:color="auto"/>
      </w:divBdr>
    </w:div>
    <w:div w:id="1095125857">
      <w:bodyDiv w:val="1"/>
      <w:marLeft w:val="0"/>
      <w:marRight w:val="0"/>
      <w:marTop w:val="0"/>
      <w:marBottom w:val="0"/>
      <w:divBdr>
        <w:top w:val="none" w:sz="0" w:space="0" w:color="auto"/>
        <w:left w:val="none" w:sz="0" w:space="0" w:color="auto"/>
        <w:bottom w:val="none" w:sz="0" w:space="0" w:color="auto"/>
        <w:right w:val="none" w:sz="0" w:space="0" w:color="auto"/>
      </w:divBdr>
    </w:div>
    <w:div w:id="1104376992">
      <w:bodyDiv w:val="1"/>
      <w:marLeft w:val="0"/>
      <w:marRight w:val="0"/>
      <w:marTop w:val="0"/>
      <w:marBottom w:val="0"/>
      <w:divBdr>
        <w:top w:val="none" w:sz="0" w:space="0" w:color="auto"/>
        <w:left w:val="none" w:sz="0" w:space="0" w:color="auto"/>
        <w:bottom w:val="none" w:sz="0" w:space="0" w:color="auto"/>
        <w:right w:val="none" w:sz="0" w:space="0" w:color="auto"/>
      </w:divBdr>
    </w:div>
    <w:div w:id="1106929268">
      <w:bodyDiv w:val="1"/>
      <w:marLeft w:val="0"/>
      <w:marRight w:val="0"/>
      <w:marTop w:val="0"/>
      <w:marBottom w:val="0"/>
      <w:divBdr>
        <w:top w:val="none" w:sz="0" w:space="0" w:color="auto"/>
        <w:left w:val="none" w:sz="0" w:space="0" w:color="auto"/>
        <w:bottom w:val="none" w:sz="0" w:space="0" w:color="auto"/>
        <w:right w:val="none" w:sz="0" w:space="0" w:color="auto"/>
      </w:divBdr>
    </w:div>
    <w:div w:id="1131360780">
      <w:bodyDiv w:val="1"/>
      <w:marLeft w:val="0"/>
      <w:marRight w:val="0"/>
      <w:marTop w:val="0"/>
      <w:marBottom w:val="0"/>
      <w:divBdr>
        <w:top w:val="none" w:sz="0" w:space="0" w:color="auto"/>
        <w:left w:val="none" w:sz="0" w:space="0" w:color="auto"/>
        <w:bottom w:val="none" w:sz="0" w:space="0" w:color="auto"/>
        <w:right w:val="none" w:sz="0" w:space="0" w:color="auto"/>
      </w:divBdr>
    </w:div>
    <w:div w:id="1138189522">
      <w:bodyDiv w:val="1"/>
      <w:marLeft w:val="0"/>
      <w:marRight w:val="0"/>
      <w:marTop w:val="0"/>
      <w:marBottom w:val="0"/>
      <w:divBdr>
        <w:top w:val="none" w:sz="0" w:space="0" w:color="auto"/>
        <w:left w:val="none" w:sz="0" w:space="0" w:color="auto"/>
        <w:bottom w:val="none" w:sz="0" w:space="0" w:color="auto"/>
        <w:right w:val="none" w:sz="0" w:space="0" w:color="auto"/>
      </w:divBdr>
    </w:div>
    <w:div w:id="1146360462">
      <w:bodyDiv w:val="1"/>
      <w:marLeft w:val="0"/>
      <w:marRight w:val="0"/>
      <w:marTop w:val="0"/>
      <w:marBottom w:val="0"/>
      <w:divBdr>
        <w:top w:val="none" w:sz="0" w:space="0" w:color="auto"/>
        <w:left w:val="none" w:sz="0" w:space="0" w:color="auto"/>
        <w:bottom w:val="none" w:sz="0" w:space="0" w:color="auto"/>
        <w:right w:val="none" w:sz="0" w:space="0" w:color="auto"/>
      </w:divBdr>
    </w:div>
    <w:div w:id="1150440634">
      <w:bodyDiv w:val="1"/>
      <w:marLeft w:val="0"/>
      <w:marRight w:val="0"/>
      <w:marTop w:val="0"/>
      <w:marBottom w:val="0"/>
      <w:divBdr>
        <w:top w:val="none" w:sz="0" w:space="0" w:color="auto"/>
        <w:left w:val="none" w:sz="0" w:space="0" w:color="auto"/>
        <w:bottom w:val="none" w:sz="0" w:space="0" w:color="auto"/>
        <w:right w:val="none" w:sz="0" w:space="0" w:color="auto"/>
      </w:divBdr>
    </w:div>
    <w:div w:id="1155146131">
      <w:bodyDiv w:val="1"/>
      <w:marLeft w:val="0"/>
      <w:marRight w:val="0"/>
      <w:marTop w:val="0"/>
      <w:marBottom w:val="0"/>
      <w:divBdr>
        <w:top w:val="none" w:sz="0" w:space="0" w:color="auto"/>
        <w:left w:val="none" w:sz="0" w:space="0" w:color="auto"/>
        <w:bottom w:val="none" w:sz="0" w:space="0" w:color="auto"/>
        <w:right w:val="none" w:sz="0" w:space="0" w:color="auto"/>
      </w:divBdr>
    </w:div>
    <w:div w:id="1163161887">
      <w:bodyDiv w:val="1"/>
      <w:marLeft w:val="0"/>
      <w:marRight w:val="0"/>
      <w:marTop w:val="0"/>
      <w:marBottom w:val="0"/>
      <w:divBdr>
        <w:top w:val="none" w:sz="0" w:space="0" w:color="auto"/>
        <w:left w:val="none" w:sz="0" w:space="0" w:color="auto"/>
        <w:bottom w:val="none" w:sz="0" w:space="0" w:color="auto"/>
        <w:right w:val="none" w:sz="0" w:space="0" w:color="auto"/>
      </w:divBdr>
    </w:div>
    <w:div w:id="1164247277">
      <w:bodyDiv w:val="1"/>
      <w:marLeft w:val="0"/>
      <w:marRight w:val="0"/>
      <w:marTop w:val="0"/>
      <w:marBottom w:val="0"/>
      <w:divBdr>
        <w:top w:val="none" w:sz="0" w:space="0" w:color="auto"/>
        <w:left w:val="none" w:sz="0" w:space="0" w:color="auto"/>
        <w:bottom w:val="none" w:sz="0" w:space="0" w:color="auto"/>
        <w:right w:val="none" w:sz="0" w:space="0" w:color="auto"/>
      </w:divBdr>
    </w:div>
    <w:div w:id="1164736614">
      <w:bodyDiv w:val="1"/>
      <w:marLeft w:val="0"/>
      <w:marRight w:val="0"/>
      <w:marTop w:val="0"/>
      <w:marBottom w:val="0"/>
      <w:divBdr>
        <w:top w:val="none" w:sz="0" w:space="0" w:color="auto"/>
        <w:left w:val="none" w:sz="0" w:space="0" w:color="auto"/>
        <w:bottom w:val="none" w:sz="0" w:space="0" w:color="auto"/>
        <w:right w:val="none" w:sz="0" w:space="0" w:color="auto"/>
      </w:divBdr>
    </w:div>
    <w:div w:id="1177618310">
      <w:bodyDiv w:val="1"/>
      <w:marLeft w:val="0"/>
      <w:marRight w:val="0"/>
      <w:marTop w:val="0"/>
      <w:marBottom w:val="0"/>
      <w:divBdr>
        <w:top w:val="none" w:sz="0" w:space="0" w:color="auto"/>
        <w:left w:val="none" w:sz="0" w:space="0" w:color="auto"/>
        <w:bottom w:val="none" w:sz="0" w:space="0" w:color="auto"/>
        <w:right w:val="none" w:sz="0" w:space="0" w:color="auto"/>
      </w:divBdr>
    </w:div>
    <w:div w:id="1191797817">
      <w:bodyDiv w:val="1"/>
      <w:marLeft w:val="0"/>
      <w:marRight w:val="0"/>
      <w:marTop w:val="0"/>
      <w:marBottom w:val="0"/>
      <w:divBdr>
        <w:top w:val="none" w:sz="0" w:space="0" w:color="auto"/>
        <w:left w:val="none" w:sz="0" w:space="0" w:color="auto"/>
        <w:bottom w:val="none" w:sz="0" w:space="0" w:color="auto"/>
        <w:right w:val="none" w:sz="0" w:space="0" w:color="auto"/>
      </w:divBdr>
    </w:div>
    <w:div w:id="1191842359">
      <w:bodyDiv w:val="1"/>
      <w:marLeft w:val="0"/>
      <w:marRight w:val="0"/>
      <w:marTop w:val="0"/>
      <w:marBottom w:val="0"/>
      <w:divBdr>
        <w:top w:val="none" w:sz="0" w:space="0" w:color="auto"/>
        <w:left w:val="none" w:sz="0" w:space="0" w:color="auto"/>
        <w:bottom w:val="none" w:sz="0" w:space="0" w:color="auto"/>
        <w:right w:val="none" w:sz="0" w:space="0" w:color="auto"/>
      </w:divBdr>
    </w:div>
    <w:div w:id="1196388693">
      <w:bodyDiv w:val="1"/>
      <w:marLeft w:val="0"/>
      <w:marRight w:val="0"/>
      <w:marTop w:val="0"/>
      <w:marBottom w:val="0"/>
      <w:divBdr>
        <w:top w:val="none" w:sz="0" w:space="0" w:color="auto"/>
        <w:left w:val="none" w:sz="0" w:space="0" w:color="auto"/>
        <w:bottom w:val="none" w:sz="0" w:space="0" w:color="auto"/>
        <w:right w:val="none" w:sz="0" w:space="0" w:color="auto"/>
      </w:divBdr>
    </w:div>
    <w:div w:id="1226912376">
      <w:bodyDiv w:val="1"/>
      <w:marLeft w:val="0"/>
      <w:marRight w:val="0"/>
      <w:marTop w:val="0"/>
      <w:marBottom w:val="0"/>
      <w:divBdr>
        <w:top w:val="none" w:sz="0" w:space="0" w:color="auto"/>
        <w:left w:val="none" w:sz="0" w:space="0" w:color="auto"/>
        <w:bottom w:val="none" w:sz="0" w:space="0" w:color="auto"/>
        <w:right w:val="none" w:sz="0" w:space="0" w:color="auto"/>
      </w:divBdr>
    </w:div>
    <w:div w:id="1233004159">
      <w:bodyDiv w:val="1"/>
      <w:marLeft w:val="0"/>
      <w:marRight w:val="0"/>
      <w:marTop w:val="0"/>
      <w:marBottom w:val="0"/>
      <w:divBdr>
        <w:top w:val="none" w:sz="0" w:space="0" w:color="auto"/>
        <w:left w:val="none" w:sz="0" w:space="0" w:color="auto"/>
        <w:bottom w:val="none" w:sz="0" w:space="0" w:color="auto"/>
        <w:right w:val="none" w:sz="0" w:space="0" w:color="auto"/>
      </w:divBdr>
    </w:div>
    <w:div w:id="1268806049">
      <w:bodyDiv w:val="1"/>
      <w:marLeft w:val="0"/>
      <w:marRight w:val="0"/>
      <w:marTop w:val="0"/>
      <w:marBottom w:val="0"/>
      <w:divBdr>
        <w:top w:val="none" w:sz="0" w:space="0" w:color="auto"/>
        <w:left w:val="none" w:sz="0" w:space="0" w:color="auto"/>
        <w:bottom w:val="none" w:sz="0" w:space="0" w:color="auto"/>
        <w:right w:val="none" w:sz="0" w:space="0" w:color="auto"/>
      </w:divBdr>
    </w:div>
    <w:div w:id="1269851613">
      <w:bodyDiv w:val="1"/>
      <w:marLeft w:val="0"/>
      <w:marRight w:val="0"/>
      <w:marTop w:val="0"/>
      <w:marBottom w:val="0"/>
      <w:divBdr>
        <w:top w:val="none" w:sz="0" w:space="0" w:color="auto"/>
        <w:left w:val="none" w:sz="0" w:space="0" w:color="auto"/>
        <w:bottom w:val="none" w:sz="0" w:space="0" w:color="auto"/>
        <w:right w:val="none" w:sz="0" w:space="0" w:color="auto"/>
      </w:divBdr>
    </w:div>
    <w:div w:id="1274553714">
      <w:bodyDiv w:val="1"/>
      <w:marLeft w:val="0"/>
      <w:marRight w:val="0"/>
      <w:marTop w:val="0"/>
      <w:marBottom w:val="0"/>
      <w:divBdr>
        <w:top w:val="none" w:sz="0" w:space="0" w:color="auto"/>
        <w:left w:val="none" w:sz="0" w:space="0" w:color="auto"/>
        <w:bottom w:val="none" w:sz="0" w:space="0" w:color="auto"/>
        <w:right w:val="none" w:sz="0" w:space="0" w:color="auto"/>
      </w:divBdr>
    </w:div>
    <w:div w:id="1283729631">
      <w:bodyDiv w:val="1"/>
      <w:marLeft w:val="0"/>
      <w:marRight w:val="0"/>
      <w:marTop w:val="0"/>
      <w:marBottom w:val="0"/>
      <w:divBdr>
        <w:top w:val="none" w:sz="0" w:space="0" w:color="auto"/>
        <w:left w:val="none" w:sz="0" w:space="0" w:color="auto"/>
        <w:bottom w:val="none" w:sz="0" w:space="0" w:color="auto"/>
        <w:right w:val="none" w:sz="0" w:space="0" w:color="auto"/>
      </w:divBdr>
    </w:div>
    <w:div w:id="1289896413">
      <w:bodyDiv w:val="1"/>
      <w:marLeft w:val="0"/>
      <w:marRight w:val="0"/>
      <w:marTop w:val="0"/>
      <w:marBottom w:val="0"/>
      <w:divBdr>
        <w:top w:val="none" w:sz="0" w:space="0" w:color="auto"/>
        <w:left w:val="none" w:sz="0" w:space="0" w:color="auto"/>
        <w:bottom w:val="none" w:sz="0" w:space="0" w:color="auto"/>
        <w:right w:val="none" w:sz="0" w:space="0" w:color="auto"/>
      </w:divBdr>
    </w:div>
    <w:div w:id="1297640969">
      <w:bodyDiv w:val="1"/>
      <w:marLeft w:val="0"/>
      <w:marRight w:val="0"/>
      <w:marTop w:val="0"/>
      <w:marBottom w:val="0"/>
      <w:divBdr>
        <w:top w:val="none" w:sz="0" w:space="0" w:color="auto"/>
        <w:left w:val="none" w:sz="0" w:space="0" w:color="auto"/>
        <w:bottom w:val="none" w:sz="0" w:space="0" w:color="auto"/>
        <w:right w:val="none" w:sz="0" w:space="0" w:color="auto"/>
      </w:divBdr>
    </w:div>
    <w:div w:id="1317488904">
      <w:bodyDiv w:val="1"/>
      <w:marLeft w:val="0"/>
      <w:marRight w:val="0"/>
      <w:marTop w:val="0"/>
      <w:marBottom w:val="0"/>
      <w:divBdr>
        <w:top w:val="none" w:sz="0" w:space="0" w:color="auto"/>
        <w:left w:val="none" w:sz="0" w:space="0" w:color="auto"/>
        <w:bottom w:val="none" w:sz="0" w:space="0" w:color="auto"/>
        <w:right w:val="none" w:sz="0" w:space="0" w:color="auto"/>
      </w:divBdr>
    </w:div>
    <w:div w:id="1321694915">
      <w:bodyDiv w:val="1"/>
      <w:marLeft w:val="0"/>
      <w:marRight w:val="0"/>
      <w:marTop w:val="0"/>
      <w:marBottom w:val="0"/>
      <w:divBdr>
        <w:top w:val="none" w:sz="0" w:space="0" w:color="auto"/>
        <w:left w:val="none" w:sz="0" w:space="0" w:color="auto"/>
        <w:bottom w:val="none" w:sz="0" w:space="0" w:color="auto"/>
        <w:right w:val="none" w:sz="0" w:space="0" w:color="auto"/>
      </w:divBdr>
    </w:div>
    <w:div w:id="1327855338">
      <w:bodyDiv w:val="1"/>
      <w:marLeft w:val="0"/>
      <w:marRight w:val="0"/>
      <w:marTop w:val="0"/>
      <w:marBottom w:val="0"/>
      <w:divBdr>
        <w:top w:val="none" w:sz="0" w:space="0" w:color="auto"/>
        <w:left w:val="none" w:sz="0" w:space="0" w:color="auto"/>
        <w:bottom w:val="none" w:sz="0" w:space="0" w:color="auto"/>
        <w:right w:val="none" w:sz="0" w:space="0" w:color="auto"/>
      </w:divBdr>
    </w:div>
    <w:div w:id="1394158015">
      <w:bodyDiv w:val="1"/>
      <w:marLeft w:val="0"/>
      <w:marRight w:val="0"/>
      <w:marTop w:val="0"/>
      <w:marBottom w:val="0"/>
      <w:divBdr>
        <w:top w:val="none" w:sz="0" w:space="0" w:color="auto"/>
        <w:left w:val="none" w:sz="0" w:space="0" w:color="auto"/>
        <w:bottom w:val="none" w:sz="0" w:space="0" w:color="auto"/>
        <w:right w:val="none" w:sz="0" w:space="0" w:color="auto"/>
      </w:divBdr>
    </w:div>
    <w:div w:id="1399327106">
      <w:bodyDiv w:val="1"/>
      <w:marLeft w:val="0"/>
      <w:marRight w:val="0"/>
      <w:marTop w:val="0"/>
      <w:marBottom w:val="0"/>
      <w:divBdr>
        <w:top w:val="none" w:sz="0" w:space="0" w:color="auto"/>
        <w:left w:val="none" w:sz="0" w:space="0" w:color="auto"/>
        <w:bottom w:val="none" w:sz="0" w:space="0" w:color="auto"/>
        <w:right w:val="none" w:sz="0" w:space="0" w:color="auto"/>
      </w:divBdr>
    </w:div>
    <w:div w:id="1408915907">
      <w:bodyDiv w:val="1"/>
      <w:marLeft w:val="0"/>
      <w:marRight w:val="0"/>
      <w:marTop w:val="0"/>
      <w:marBottom w:val="0"/>
      <w:divBdr>
        <w:top w:val="none" w:sz="0" w:space="0" w:color="auto"/>
        <w:left w:val="none" w:sz="0" w:space="0" w:color="auto"/>
        <w:bottom w:val="none" w:sz="0" w:space="0" w:color="auto"/>
        <w:right w:val="none" w:sz="0" w:space="0" w:color="auto"/>
      </w:divBdr>
    </w:div>
    <w:div w:id="1410887630">
      <w:bodyDiv w:val="1"/>
      <w:marLeft w:val="0"/>
      <w:marRight w:val="0"/>
      <w:marTop w:val="0"/>
      <w:marBottom w:val="0"/>
      <w:divBdr>
        <w:top w:val="none" w:sz="0" w:space="0" w:color="auto"/>
        <w:left w:val="none" w:sz="0" w:space="0" w:color="auto"/>
        <w:bottom w:val="none" w:sz="0" w:space="0" w:color="auto"/>
        <w:right w:val="none" w:sz="0" w:space="0" w:color="auto"/>
      </w:divBdr>
    </w:div>
    <w:div w:id="1412851979">
      <w:bodyDiv w:val="1"/>
      <w:marLeft w:val="0"/>
      <w:marRight w:val="0"/>
      <w:marTop w:val="0"/>
      <w:marBottom w:val="0"/>
      <w:divBdr>
        <w:top w:val="none" w:sz="0" w:space="0" w:color="auto"/>
        <w:left w:val="none" w:sz="0" w:space="0" w:color="auto"/>
        <w:bottom w:val="none" w:sz="0" w:space="0" w:color="auto"/>
        <w:right w:val="none" w:sz="0" w:space="0" w:color="auto"/>
      </w:divBdr>
    </w:div>
    <w:div w:id="1443916839">
      <w:bodyDiv w:val="1"/>
      <w:marLeft w:val="0"/>
      <w:marRight w:val="0"/>
      <w:marTop w:val="0"/>
      <w:marBottom w:val="0"/>
      <w:divBdr>
        <w:top w:val="none" w:sz="0" w:space="0" w:color="auto"/>
        <w:left w:val="none" w:sz="0" w:space="0" w:color="auto"/>
        <w:bottom w:val="none" w:sz="0" w:space="0" w:color="auto"/>
        <w:right w:val="none" w:sz="0" w:space="0" w:color="auto"/>
      </w:divBdr>
    </w:div>
    <w:div w:id="1461805737">
      <w:bodyDiv w:val="1"/>
      <w:marLeft w:val="0"/>
      <w:marRight w:val="0"/>
      <w:marTop w:val="0"/>
      <w:marBottom w:val="0"/>
      <w:divBdr>
        <w:top w:val="none" w:sz="0" w:space="0" w:color="auto"/>
        <w:left w:val="none" w:sz="0" w:space="0" w:color="auto"/>
        <w:bottom w:val="none" w:sz="0" w:space="0" w:color="auto"/>
        <w:right w:val="none" w:sz="0" w:space="0" w:color="auto"/>
      </w:divBdr>
    </w:div>
    <w:div w:id="1468401040">
      <w:bodyDiv w:val="1"/>
      <w:marLeft w:val="0"/>
      <w:marRight w:val="0"/>
      <w:marTop w:val="0"/>
      <w:marBottom w:val="0"/>
      <w:divBdr>
        <w:top w:val="none" w:sz="0" w:space="0" w:color="auto"/>
        <w:left w:val="none" w:sz="0" w:space="0" w:color="auto"/>
        <w:bottom w:val="none" w:sz="0" w:space="0" w:color="auto"/>
        <w:right w:val="none" w:sz="0" w:space="0" w:color="auto"/>
      </w:divBdr>
    </w:div>
    <w:div w:id="1469788082">
      <w:bodyDiv w:val="1"/>
      <w:marLeft w:val="0"/>
      <w:marRight w:val="0"/>
      <w:marTop w:val="0"/>
      <w:marBottom w:val="0"/>
      <w:divBdr>
        <w:top w:val="none" w:sz="0" w:space="0" w:color="auto"/>
        <w:left w:val="none" w:sz="0" w:space="0" w:color="auto"/>
        <w:bottom w:val="none" w:sz="0" w:space="0" w:color="auto"/>
        <w:right w:val="none" w:sz="0" w:space="0" w:color="auto"/>
      </w:divBdr>
    </w:div>
    <w:div w:id="1477603906">
      <w:bodyDiv w:val="1"/>
      <w:marLeft w:val="0"/>
      <w:marRight w:val="0"/>
      <w:marTop w:val="0"/>
      <w:marBottom w:val="0"/>
      <w:divBdr>
        <w:top w:val="none" w:sz="0" w:space="0" w:color="auto"/>
        <w:left w:val="none" w:sz="0" w:space="0" w:color="auto"/>
        <w:bottom w:val="none" w:sz="0" w:space="0" w:color="auto"/>
        <w:right w:val="none" w:sz="0" w:space="0" w:color="auto"/>
      </w:divBdr>
    </w:div>
    <w:div w:id="1482774108">
      <w:bodyDiv w:val="1"/>
      <w:marLeft w:val="0"/>
      <w:marRight w:val="0"/>
      <w:marTop w:val="0"/>
      <w:marBottom w:val="0"/>
      <w:divBdr>
        <w:top w:val="none" w:sz="0" w:space="0" w:color="auto"/>
        <w:left w:val="none" w:sz="0" w:space="0" w:color="auto"/>
        <w:bottom w:val="none" w:sz="0" w:space="0" w:color="auto"/>
        <w:right w:val="none" w:sz="0" w:space="0" w:color="auto"/>
      </w:divBdr>
    </w:div>
    <w:div w:id="1483348118">
      <w:bodyDiv w:val="1"/>
      <w:marLeft w:val="0"/>
      <w:marRight w:val="0"/>
      <w:marTop w:val="0"/>
      <w:marBottom w:val="0"/>
      <w:divBdr>
        <w:top w:val="none" w:sz="0" w:space="0" w:color="auto"/>
        <w:left w:val="none" w:sz="0" w:space="0" w:color="auto"/>
        <w:bottom w:val="none" w:sz="0" w:space="0" w:color="auto"/>
        <w:right w:val="none" w:sz="0" w:space="0" w:color="auto"/>
      </w:divBdr>
    </w:div>
    <w:div w:id="1509367962">
      <w:bodyDiv w:val="1"/>
      <w:marLeft w:val="0"/>
      <w:marRight w:val="0"/>
      <w:marTop w:val="0"/>
      <w:marBottom w:val="0"/>
      <w:divBdr>
        <w:top w:val="none" w:sz="0" w:space="0" w:color="auto"/>
        <w:left w:val="none" w:sz="0" w:space="0" w:color="auto"/>
        <w:bottom w:val="none" w:sz="0" w:space="0" w:color="auto"/>
        <w:right w:val="none" w:sz="0" w:space="0" w:color="auto"/>
      </w:divBdr>
    </w:div>
    <w:div w:id="1532646883">
      <w:bodyDiv w:val="1"/>
      <w:marLeft w:val="0"/>
      <w:marRight w:val="0"/>
      <w:marTop w:val="0"/>
      <w:marBottom w:val="0"/>
      <w:divBdr>
        <w:top w:val="none" w:sz="0" w:space="0" w:color="auto"/>
        <w:left w:val="none" w:sz="0" w:space="0" w:color="auto"/>
        <w:bottom w:val="none" w:sz="0" w:space="0" w:color="auto"/>
        <w:right w:val="none" w:sz="0" w:space="0" w:color="auto"/>
      </w:divBdr>
    </w:div>
    <w:div w:id="1561207081">
      <w:bodyDiv w:val="1"/>
      <w:marLeft w:val="0"/>
      <w:marRight w:val="0"/>
      <w:marTop w:val="0"/>
      <w:marBottom w:val="0"/>
      <w:divBdr>
        <w:top w:val="none" w:sz="0" w:space="0" w:color="auto"/>
        <w:left w:val="none" w:sz="0" w:space="0" w:color="auto"/>
        <w:bottom w:val="none" w:sz="0" w:space="0" w:color="auto"/>
        <w:right w:val="none" w:sz="0" w:space="0" w:color="auto"/>
      </w:divBdr>
    </w:div>
    <w:div w:id="1570380928">
      <w:bodyDiv w:val="1"/>
      <w:marLeft w:val="0"/>
      <w:marRight w:val="0"/>
      <w:marTop w:val="0"/>
      <w:marBottom w:val="0"/>
      <w:divBdr>
        <w:top w:val="none" w:sz="0" w:space="0" w:color="auto"/>
        <w:left w:val="none" w:sz="0" w:space="0" w:color="auto"/>
        <w:bottom w:val="none" w:sz="0" w:space="0" w:color="auto"/>
        <w:right w:val="none" w:sz="0" w:space="0" w:color="auto"/>
      </w:divBdr>
    </w:div>
    <w:div w:id="1592929467">
      <w:bodyDiv w:val="1"/>
      <w:marLeft w:val="0"/>
      <w:marRight w:val="0"/>
      <w:marTop w:val="0"/>
      <w:marBottom w:val="0"/>
      <w:divBdr>
        <w:top w:val="none" w:sz="0" w:space="0" w:color="auto"/>
        <w:left w:val="none" w:sz="0" w:space="0" w:color="auto"/>
        <w:bottom w:val="none" w:sz="0" w:space="0" w:color="auto"/>
        <w:right w:val="none" w:sz="0" w:space="0" w:color="auto"/>
      </w:divBdr>
    </w:div>
    <w:div w:id="1601909848">
      <w:bodyDiv w:val="1"/>
      <w:marLeft w:val="0"/>
      <w:marRight w:val="0"/>
      <w:marTop w:val="0"/>
      <w:marBottom w:val="0"/>
      <w:divBdr>
        <w:top w:val="none" w:sz="0" w:space="0" w:color="auto"/>
        <w:left w:val="none" w:sz="0" w:space="0" w:color="auto"/>
        <w:bottom w:val="none" w:sz="0" w:space="0" w:color="auto"/>
        <w:right w:val="none" w:sz="0" w:space="0" w:color="auto"/>
      </w:divBdr>
    </w:div>
    <w:div w:id="1606231194">
      <w:bodyDiv w:val="1"/>
      <w:marLeft w:val="0"/>
      <w:marRight w:val="0"/>
      <w:marTop w:val="0"/>
      <w:marBottom w:val="0"/>
      <w:divBdr>
        <w:top w:val="none" w:sz="0" w:space="0" w:color="auto"/>
        <w:left w:val="none" w:sz="0" w:space="0" w:color="auto"/>
        <w:bottom w:val="none" w:sz="0" w:space="0" w:color="auto"/>
        <w:right w:val="none" w:sz="0" w:space="0" w:color="auto"/>
      </w:divBdr>
    </w:div>
    <w:div w:id="1617910654">
      <w:bodyDiv w:val="1"/>
      <w:marLeft w:val="0"/>
      <w:marRight w:val="0"/>
      <w:marTop w:val="0"/>
      <w:marBottom w:val="0"/>
      <w:divBdr>
        <w:top w:val="none" w:sz="0" w:space="0" w:color="auto"/>
        <w:left w:val="none" w:sz="0" w:space="0" w:color="auto"/>
        <w:bottom w:val="none" w:sz="0" w:space="0" w:color="auto"/>
        <w:right w:val="none" w:sz="0" w:space="0" w:color="auto"/>
      </w:divBdr>
    </w:div>
    <w:div w:id="1622762149">
      <w:bodyDiv w:val="1"/>
      <w:marLeft w:val="0"/>
      <w:marRight w:val="0"/>
      <w:marTop w:val="0"/>
      <w:marBottom w:val="0"/>
      <w:divBdr>
        <w:top w:val="none" w:sz="0" w:space="0" w:color="auto"/>
        <w:left w:val="none" w:sz="0" w:space="0" w:color="auto"/>
        <w:bottom w:val="none" w:sz="0" w:space="0" w:color="auto"/>
        <w:right w:val="none" w:sz="0" w:space="0" w:color="auto"/>
      </w:divBdr>
    </w:div>
    <w:div w:id="1641350105">
      <w:bodyDiv w:val="1"/>
      <w:marLeft w:val="0"/>
      <w:marRight w:val="0"/>
      <w:marTop w:val="0"/>
      <w:marBottom w:val="0"/>
      <w:divBdr>
        <w:top w:val="none" w:sz="0" w:space="0" w:color="auto"/>
        <w:left w:val="none" w:sz="0" w:space="0" w:color="auto"/>
        <w:bottom w:val="none" w:sz="0" w:space="0" w:color="auto"/>
        <w:right w:val="none" w:sz="0" w:space="0" w:color="auto"/>
      </w:divBdr>
    </w:div>
    <w:div w:id="1677460958">
      <w:bodyDiv w:val="1"/>
      <w:marLeft w:val="0"/>
      <w:marRight w:val="0"/>
      <w:marTop w:val="0"/>
      <w:marBottom w:val="0"/>
      <w:divBdr>
        <w:top w:val="none" w:sz="0" w:space="0" w:color="auto"/>
        <w:left w:val="none" w:sz="0" w:space="0" w:color="auto"/>
        <w:bottom w:val="none" w:sz="0" w:space="0" w:color="auto"/>
        <w:right w:val="none" w:sz="0" w:space="0" w:color="auto"/>
      </w:divBdr>
    </w:div>
    <w:div w:id="1677657569">
      <w:bodyDiv w:val="1"/>
      <w:marLeft w:val="0"/>
      <w:marRight w:val="0"/>
      <w:marTop w:val="0"/>
      <w:marBottom w:val="0"/>
      <w:divBdr>
        <w:top w:val="none" w:sz="0" w:space="0" w:color="auto"/>
        <w:left w:val="none" w:sz="0" w:space="0" w:color="auto"/>
        <w:bottom w:val="none" w:sz="0" w:space="0" w:color="auto"/>
        <w:right w:val="none" w:sz="0" w:space="0" w:color="auto"/>
      </w:divBdr>
      <w:divsChild>
        <w:div w:id="1041710799">
          <w:marLeft w:val="0"/>
          <w:marRight w:val="0"/>
          <w:marTop w:val="0"/>
          <w:marBottom w:val="0"/>
          <w:divBdr>
            <w:top w:val="none" w:sz="0" w:space="0" w:color="auto"/>
            <w:left w:val="none" w:sz="0" w:space="0" w:color="auto"/>
            <w:bottom w:val="none" w:sz="0" w:space="0" w:color="auto"/>
            <w:right w:val="none" w:sz="0" w:space="0" w:color="auto"/>
          </w:divBdr>
        </w:div>
        <w:div w:id="924653475">
          <w:marLeft w:val="0"/>
          <w:marRight w:val="0"/>
          <w:marTop w:val="0"/>
          <w:marBottom w:val="0"/>
          <w:divBdr>
            <w:top w:val="none" w:sz="0" w:space="0" w:color="auto"/>
            <w:left w:val="none" w:sz="0" w:space="0" w:color="auto"/>
            <w:bottom w:val="none" w:sz="0" w:space="0" w:color="auto"/>
            <w:right w:val="none" w:sz="0" w:space="0" w:color="auto"/>
          </w:divBdr>
        </w:div>
      </w:divsChild>
    </w:div>
    <w:div w:id="1694375533">
      <w:bodyDiv w:val="1"/>
      <w:marLeft w:val="0"/>
      <w:marRight w:val="0"/>
      <w:marTop w:val="0"/>
      <w:marBottom w:val="0"/>
      <w:divBdr>
        <w:top w:val="none" w:sz="0" w:space="0" w:color="auto"/>
        <w:left w:val="none" w:sz="0" w:space="0" w:color="auto"/>
        <w:bottom w:val="none" w:sz="0" w:space="0" w:color="auto"/>
        <w:right w:val="none" w:sz="0" w:space="0" w:color="auto"/>
      </w:divBdr>
    </w:div>
    <w:div w:id="1728723855">
      <w:bodyDiv w:val="1"/>
      <w:marLeft w:val="0"/>
      <w:marRight w:val="0"/>
      <w:marTop w:val="0"/>
      <w:marBottom w:val="0"/>
      <w:divBdr>
        <w:top w:val="none" w:sz="0" w:space="0" w:color="auto"/>
        <w:left w:val="none" w:sz="0" w:space="0" w:color="auto"/>
        <w:bottom w:val="none" w:sz="0" w:space="0" w:color="auto"/>
        <w:right w:val="none" w:sz="0" w:space="0" w:color="auto"/>
      </w:divBdr>
    </w:div>
    <w:div w:id="1744907981">
      <w:bodyDiv w:val="1"/>
      <w:marLeft w:val="0"/>
      <w:marRight w:val="0"/>
      <w:marTop w:val="0"/>
      <w:marBottom w:val="0"/>
      <w:divBdr>
        <w:top w:val="none" w:sz="0" w:space="0" w:color="auto"/>
        <w:left w:val="none" w:sz="0" w:space="0" w:color="auto"/>
        <w:bottom w:val="none" w:sz="0" w:space="0" w:color="auto"/>
        <w:right w:val="none" w:sz="0" w:space="0" w:color="auto"/>
      </w:divBdr>
    </w:div>
    <w:div w:id="1759793334">
      <w:bodyDiv w:val="1"/>
      <w:marLeft w:val="0"/>
      <w:marRight w:val="0"/>
      <w:marTop w:val="0"/>
      <w:marBottom w:val="0"/>
      <w:divBdr>
        <w:top w:val="none" w:sz="0" w:space="0" w:color="auto"/>
        <w:left w:val="none" w:sz="0" w:space="0" w:color="auto"/>
        <w:bottom w:val="none" w:sz="0" w:space="0" w:color="auto"/>
        <w:right w:val="none" w:sz="0" w:space="0" w:color="auto"/>
      </w:divBdr>
    </w:div>
    <w:div w:id="1784033607">
      <w:bodyDiv w:val="1"/>
      <w:marLeft w:val="0"/>
      <w:marRight w:val="0"/>
      <w:marTop w:val="0"/>
      <w:marBottom w:val="0"/>
      <w:divBdr>
        <w:top w:val="none" w:sz="0" w:space="0" w:color="auto"/>
        <w:left w:val="none" w:sz="0" w:space="0" w:color="auto"/>
        <w:bottom w:val="none" w:sz="0" w:space="0" w:color="auto"/>
        <w:right w:val="none" w:sz="0" w:space="0" w:color="auto"/>
      </w:divBdr>
    </w:div>
    <w:div w:id="1801996805">
      <w:bodyDiv w:val="1"/>
      <w:marLeft w:val="0"/>
      <w:marRight w:val="0"/>
      <w:marTop w:val="0"/>
      <w:marBottom w:val="0"/>
      <w:divBdr>
        <w:top w:val="none" w:sz="0" w:space="0" w:color="auto"/>
        <w:left w:val="none" w:sz="0" w:space="0" w:color="auto"/>
        <w:bottom w:val="none" w:sz="0" w:space="0" w:color="auto"/>
        <w:right w:val="none" w:sz="0" w:space="0" w:color="auto"/>
      </w:divBdr>
    </w:div>
    <w:div w:id="1818296569">
      <w:bodyDiv w:val="1"/>
      <w:marLeft w:val="0"/>
      <w:marRight w:val="0"/>
      <w:marTop w:val="0"/>
      <w:marBottom w:val="0"/>
      <w:divBdr>
        <w:top w:val="none" w:sz="0" w:space="0" w:color="auto"/>
        <w:left w:val="none" w:sz="0" w:space="0" w:color="auto"/>
        <w:bottom w:val="none" w:sz="0" w:space="0" w:color="auto"/>
        <w:right w:val="none" w:sz="0" w:space="0" w:color="auto"/>
      </w:divBdr>
    </w:div>
    <w:div w:id="1831480177">
      <w:bodyDiv w:val="1"/>
      <w:marLeft w:val="0"/>
      <w:marRight w:val="0"/>
      <w:marTop w:val="0"/>
      <w:marBottom w:val="0"/>
      <w:divBdr>
        <w:top w:val="none" w:sz="0" w:space="0" w:color="auto"/>
        <w:left w:val="none" w:sz="0" w:space="0" w:color="auto"/>
        <w:bottom w:val="none" w:sz="0" w:space="0" w:color="auto"/>
        <w:right w:val="none" w:sz="0" w:space="0" w:color="auto"/>
      </w:divBdr>
    </w:div>
    <w:div w:id="1840005314">
      <w:bodyDiv w:val="1"/>
      <w:marLeft w:val="0"/>
      <w:marRight w:val="0"/>
      <w:marTop w:val="0"/>
      <w:marBottom w:val="0"/>
      <w:divBdr>
        <w:top w:val="none" w:sz="0" w:space="0" w:color="auto"/>
        <w:left w:val="none" w:sz="0" w:space="0" w:color="auto"/>
        <w:bottom w:val="none" w:sz="0" w:space="0" w:color="auto"/>
        <w:right w:val="none" w:sz="0" w:space="0" w:color="auto"/>
      </w:divBdr>
    </w:div>
    <w:div w:id="1845582948">
      <w:bodyDiv w:val="1"/>
      <w:marLeft w:val="0"/>
      <w:marRight w:val="0"/>
      <w:marTop w:val="0"/>
      <w:marBottom w:val="0"/>
      <w:divBdr>
        <w:top w:val="none" w:sz="0" w:space="0" w:color="auto"/>
        <w:left w:val="none" w:sz="0" w:space="0" w:color="auto"/>
        <w:bottom w:val="none" w:sz="0" w:space="0" w:color="auto"/>
        <w:right w:val="none" w:sz="0" w:space="0" w:color="auto"/>
      </w:divBdr>
    </w:div>
    <w:div w:id="1848324911">
      <w:bodyDiv w:val="1"/>
      <w:marLeft w:val="0"/>
      <w:marRight w:val="0"/>
      <w:marTop w:val="0"/>
      <w:marBottom w:val="0"/>
      <w:divBdr>
        <w:top w:val="none" w:sz="0" w:space="0" w:color="auto"/>
        <w:left w:val="none" w:sz="0" w:space="0" w:color="auto"/>
        <w:bottom w:val="none" w:sz="0" w:space="0" w:color="auto"/>
        <w:right w:val="none" w:sz="0" w:space="0" w:color="auto"/>
      </w:divBdr>
    </w:div>
    <w:div w:id="1879925593">
      <w:bodyDiv w:val="1"/>
      <w:marLeft w:val="0"/>
      <w:marRight w:val="0"/>
      <w:marTop w:val="0"/>
      <w:marBottom w:val="0"/>
      <w:divBdr>
        <w:top w:val="none" w:sz="0" w:space="0" w:color="auto"/>
        <w:left w:val="none" w:sz="0" w:space="0" w:color="auto"/>
        <w:bottom w:val="none" w:sz="0" w:space="0" w:color="auto"/>
        <w:right w:val="none" w:sz="0" w:space="0" w:color="auto"/>
      </w:divBdr>
    </w:div>
    <w:div w:id="1902863719">
      <w:bodyDiv w:val="1"/>
      <w:marLeft w:val="0"/>
      <w:marRight w:val="0"/>
      <w:marTop w:val="0"/>
      <w:marBottom w:val="0"/>
      <w:divBdr>
        <w:top w:val="none" w:sz="0" w:space="0" w:color="auto"/>
        <w:left w:val="none" w:sz="0" w:space="0" w:color="auto"/>
        <w:bottom w:val="none" w:sz="0" w:space="0" w:color="auto"/>
        <w:right w:val="none" w:sz="0" w:space="0" w:color="auto"/>
      </w:divBdr>
    </w:div>
    <w:div w:id="1905872109">
      <w:bodyDiv w:val="1"/>
      <w:marLeft w:val="0"/>
      <w:marRight w:val="0"/>
      <w:marTop w:val="0"/>
      <w:marBottom w:val="0"/>
      <w:divBdr>
        <w:top w:val="none" w:sz="0" w:space="0" w:color="auto"/>
        <w:left w:val="none" w:sz="0" w:space="0" w:color="auto"/>
        <w:bottom w:val="none" w:sz="0" w:space="0" w:color="auto"/>
        <w:right w:val="none" w:sz="0" w:space="0" w:color="auto"/>
      </w:divBdr>
    </w:div>
    <w:div w:id="1927374361">
      <w:bodyDiv w:val="1"/>
      <w:marLeft w:val="0"/>
      <w:marRight w:val="0"/>
      <w:marTop w:val="0"/>
      <w:marBottom w:val="0"/>
      <w:divBdr>
        <w:top w:val="none" w:sz="0" w:space="0" w:color="auto"/>
        <w:left w:val="none" w:sz="0" w:space="0" w:color="auto"/>
        <w:bottom w:val="none" w:sz="0" w:space="0" w:color="auto"/>
        <w:right w:val="none" w:sz="0" w:space="0" w:color="auto"/>
      </w:divBdr>
    </w:div>
    <w:div w:id="1938978772">
      <w:bodyDiv w:val="1"/>
      <w:marLeft w:val="0"/>
      <w:marRight w:val="0"/>
      <w:marTop w:val="0"/>
      <w:marBottom w:val="0"/>
      <w:divBdr>
        <w:top w:val="none" w:sz="0" w:space="0" w:color="auto"/>
        <w:left w:val="none" w:sz="0" w:space="0" w:color="auto"/>
        <w:bottom w:val="none" w:sz="0" w:space="0" w:color="auto"/>
        <w:right w:val="none" w:sz="0" w:space="0" w:color="auto"/>
      </w:divBdr>
    </w:div>
    <w:div w:id="1960334012">
      <w:bodyDiv w:val="1"/>
      <w:marLeft w:val="0"/>
      <w:marRight w:val="0"/>
      <w:marTop w:val="0"/>
      <w:marBottom w:val="0"/>
      <w:divBdr>
        <w:top w:val="none" w:sz="0" w:space="0" w:color="auto"/>
        <w:left w:val="none" w:sz="0" w:space="0" w:color="auto"/>
        <w:bottom w:val="none" w:sz="0" w:space="0" w:color="auto"/>
        <w:right w:val="none" w:sz="0" w:space="0" w:color="auto"/>
      </w:divBdr>
    </w:div>
    <w:div w:id="1984650690">
      <w:bodyDiv w:val="1"/>
      <w:marLeft w:val="0"/>
      <w:marRight w:val="0"/>
      <w:marTop w:val="0"/>
      <w:marBottom w:val="0"/>
      <w:divBdr>
        <w:top w:val="none" w:sz="0" w:space="0" w:color="auto"/>
        <w:left w:val="none" w:sz="0" w:space="0" w:color="auto"/>
        <w:bottom w:val="none" w:sz="0" w:space="0" w:color="auto"/>
        <w:right w:val="none" w:sz="0" w:space="0" w:color="auto"/>
      </w:divBdr>
    </w:div>
    <w:div w:id="1989245609">
      <w:bodyDiv w:val="1"/>
      <w:marLeft w:val="0"/>
      <w:marRight w:val="0"/>
      <w:marTop w:val="0"/>
      <w:marBottom w:val="0"/>
      <w:divBdr>
        <w:top w:val="none" w:sz="0" w:space="0" w:color="auto"/>
        <w:left w:val="none" w:sz="0" w:space="0" w:color="auto"/>
        <w:bottom w:val="none" w:sz="0" w:space="0" w:color="auto"/>
        <w:right w:val="none" w:sz="0" w:space="0" w:color="auto"/>
      </w:divBdr>
    </w:div>
    <w:div w:id="1995836438">
      <w:bodyDiv w:val="1"/>
      <w:marLeft w:val="0"/>
      <w:marRight w:val="0"/>
      <w:marTop w:val="0"/>
      <w:marBottom w:val="0"/>
      <w:divBdr>
        <w:top w:val="none" w:sz="0" w:space="0" w:color="auto"/>
        <w:left w:val="none" w:sz="0" w:space="0" w:color="auto"/>
        <w:bottom w:val="none" w:sz="0" w:space="0" w:color="auto"/>
        <w:right w:val="none" w:sz="0" w:space="0" w:color="auto"/>
      </w:divBdr>
    </w:div>
    <w:div w:id="1997680133">
      <w:bodyDiv w:val="1"/>
      <w:marLeft w:val="0"/>
      <w:marRight w:val="0"/>
      <w:marTop w:val="0"/>
      <w:marBottom w:val="0"/>
      <w:divBdr>
        <w:top w:val="none" w:sz="0" w:space="0" w:color="auto"/>
        <w:left w:val="none" w:sz="0" w:space="0" w:color="auto"/>
        <w:bottom w:val="none" w:sz="0" w:space="0" w:color="auto"/>
        <w:right w:val="none" w:sz="0" w:space="0" w:color="auto"/>
      </w:divBdr>
    </w:div>
    <w:div w:id="1998074723">
      <w:bodyDiv w:val="1"/>
      <w:marLeft w:val="0"/>
      <w:marRight w:val="0"/>
      <w:marTop w:val="0"/>
      <w:marBottom w:val="0"/>
      <w:divBdr>
        <w:top w:val="none" w:sz="0" w:space="0" w:color="auto"/>
        <w:left w:val="none" w:sz="0" w:space="0" w:color="auto"/>
        <w:bottom w:val="none" w:sz="0" w:space="0" w:color="auto"/>
        <w:right w:val="none" w:sz="0" w:space="0" w:color="auto"/>
      </w:divBdr>
    </w:div>
    <w:div w:id="2027906232">
      <w:bodyDiv w:val="1"/>
      <w:marLeft w:val="0"/>
      <w:marRight w:val="0"/>
      <w:marTop w:val="0"/>
      <w:marBottom w:val="0"/>
      <w:divBdr>
        <w:top w:val="none" w:sz="0" w:space="0" w:color="auto"/>
        <w:left w:val="none" w:sz="0" w:space="0" w:color="auto"/>
        <w:bottom w:val="none" w:sz="0" w:space="0" w:color="auto"/>
        <w:right w:val="none" w:sz="0" w:space="0" w:color="auto"/>
      </w:divBdr>
    </w:div>
    <w:div w:id="2039306624">
      <w:bodyDiv w:val="1"/>
      <w:marLeft w:val="0"/>
      <w:marRight w:val="0"/>
      <w:marTop w:val="0"/>
      <w:marBottom w:val="0"/>
      <w:divBdr>
        <w:top w:val="none" w:sz="0" w:space="0" w:color="auto"/>
        <w:left w:val="none" w:sz="0" w:space="0" w:color="auto"/>
        <w:bottom w:val="none" w:sz="0" w:space="0" w:color="auto"/>
        <w:right w:val="none" w:sz="0" w:space="0" w:color="auto"/>
      </w:divBdr>
    </w:div>
    <w:div w:id="2044162347">
      <w:bodyDiv w:val="1"/>
      <w:marLeft w:val="0"/>
      <w:marRight w:val="0"/>
      <w:marTop w:val="0"/>
      <w:marBottom w:val="0"/>
      <w:divBdr>
        <w:top w:val="none" w:sz="0" w:space="0" w:color="auto"/>
        <w:left w:val="none" w:sz="0" w:space="0" w:color="auto"/>
        <w:bottom w:val="none" w:sz="0" w:space="0" w:color="auto"/>
        <w:right w:val="none" w:sz="0" w:space="0" w:color="auto"/>
      </w:divBdr>
    </w:div>
    <w:div w:id="2077698668">
      <w:bodyDiv w:val="1"/>
      <w:marLeft w:val="0"/>
      <w:marRight w:val="0"/>
      <w:marTop w:val="0"/>
      <w:marBottom w:val="0"/>
      <w:divBdr>
        <w:top w:val="none" w:sz="0" w:space="0" w:color="auto"/>
        <w:left w:val="none" w:sz="0" w:space="0" w:color="auto"/>
        <w:bottom w:val="none" w:sz="0" w:space="0" w:color="auto"/>
        <w:right w:val="none" w:sz="0" w:space="0" w:color="auto"/>
      </w:divBdr>
    </w:div>
    <w:div w:id="2110735570">
      <w:bodyDiv w:val="1"/>
      <w:marLeft w:val="0"/>
      <w:marRight w:val="0"/>
      <w:marTop w:val="0"/>
      <w:marBottom w:val="0"/>
      <w:divBdr>
        <w:top w:val="none" w:sz="0" w:space="0" w:color="auto"/>
        <w:left w:val="none" w:sz="0" w:space="0" w:color="auto"/>
        <w:bottom w:val="none" w:sz="0" w:space="0" w:color="auto"/>
        <w:right w:val="none" w:sz="0" w:space="0" w:color="auto"/>
      </w:divBdr>
    </w:div>
    <w:div w:id="2115396942">
      <w:bodyDiv w:val="1"/>
      <w:marLeft w:val="0"/>
      <w:marRight w:val="0"/>
      <w:marTop w:val="0"/>
      <w:marBottom w:val="0"/>
      <w:divBdr>
        <w:top w:val="none" w:sz="0" w:space="0" w:color="auto"/>
        <w:left w:val="none" w:sz="0" w:space="0" w:color="auto"/>
        <w:bottom w:val="none" w:sz="0" w:space="0" w:color="auto"/>
        <w:right w:val="none" w:sz="0" w:space="0" w:color="auto"/>
      </w:divBdr>
    </w:div>
    <w:div w:id="2122914440">
      <w:bodyDiv w:val="1"/>
      <w:marLeft w:val="0"/>
      <w:marRight w:val="0"/>
      <w:marTop w:val="0"/>
      <w:marBottom w:val="0"/>
      <w:divBdr>
        <w:top w:val="none" w:sz="0" w:space="0" w:color="auto"/>
        <w:left w:val="none" w:sz="0" w:space="0" w:color="auto"/>
        <w:bottom w:val="none" w:sz="0" w:space="0" w:color="auto"/>
        <w:right w:val="none" w:sz="0" w:space="0" w:color="auto"/>
      </w:divBdr>
    </w:div>
    <w:div w:id="2141067683">
      <w:bodyDiv w:val="1"/>
      <w:marLeft w:val="0"/>
      <w:marRight w:val="0"/>
      <w:marTop w:val="0"/>
      <w:marBottom w:val="0"/>
      <w:divBdr>
        <w:top w:val="none" w:sz="0" w:space="0" w:color="auto"/>
        <w:left w:val="none" w:sz="0" w:space="0" w:color="auto"/>
        <w:bottom w:val="none" w:sz="0" w:space="0" w:color="auto"/>
        <w:right w:val="none" w:sz="0" w:space="0" w:color="auto"/>
      </w:divBdr>
    </w:div>
    <w:div w:id="214377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4E3F17E-0AD3-9646-9E08-6C9AA686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39316</Words>
  <Characters>224107</Characters>
  <Application>Microsoft Office Word</Application>
  <DocSecurity>0</DocSecurity>
  <Lines>1867</Lines>
  <Paragraphs>525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Lijing Lin</dc:creator>
  <cp:lastModifiedBy>Lijing Lin</cp:lastModifiedBy>
  <cp:revision>35</cp:revision>
  <cp:lastPrinted>2020-07-19T23:36:00Z</cp:lastPrinted>
  <dcterms:created xsi:type="dcterms:W3CDTF">2020-11-03T12:23:00Z</dcterms:created>
  <dcterms:modified xsi:type="dcterms:W3CDTF">2020-12-24T08:00:00Z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df66ee5c-2dd6-342b-bbe7-2cb2d2bb59c2</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http://www.zotero.org/styles/vancouver</vt:lpwstr>
  </property>
  <property fmtid="{D5CDD505-2E9C-101B-9397-08002B2CF9AE}" pid="18" name="Mendeley Recent Style Name 6_1">
    <vt:lpwstr>Vancouver</vt:lpwstr>
  </property>
  <property fmtid="{D5CDD505-2E9C-101B-9397-08002B2CF9AE}" pid="19" name="Mendeley Recent Style Id 7_1">
    <vt:lpwstr>http://csl.mendeley.com/styles/531246461/vancouver-NoCitedDate</vt:lpwstr>
  </property>
  <property fmtid="{D5CDD505-2E9C-101B-9397-08002B2CF9AE}" pid="20" name="Mendeley Recent Style Name 7_1">
    <vt:lpwstr>Vancouver - Lijing Lin</vt:lpwstr>
  </property>
  <property fmtid="{D5CDD505-2E9C-101B-9397-08002B2CF9AE}" pid="21" name="Mendeley Recent Style Id 8_1">
    <vt:lpwstr>http://csl.mendeley.com/styles/531246461/vancouver</vt:lpwstr>
  </property>
  <property fmtid="{D5CDD505-2E9C-101B-9397-08002B2CF9AE}" pid="22" name="Mendeley Recent Style Name 8_1">
    <vt:lpwstr>Vancouver - NoCitedDate- LLNo</vt:lpwstr>
  </property>
  <property fmtid="{D5CDD505-2E9C-101B-9397-08002B2CF9AE}" pid="23" name="Mendeley Recent Style Id 9_1">
    <vt:lpwstr>https://csl.mendeley.com/styles/531246461/vancouver</vt:lpwstr>
  </property>
  <property fmtid="{D5CDD505-2E9C-101B-9397-08002B2CF9AE}" pid="24" name="Mendeley Recent Style Name 9_1">
    <vt:lpwstr>Vancouver - NoCitedDate- LLNo</vt:lpwstr>
  </property>
</Properties>
</file>