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36D" w:rsidRDefault="0038736D" w:rsidP="0038736D">
      <w:pPr>
        <w:spacing w:line="360" w:lineRule="auto"/>
        <w:rPr>
          <w:b/>
        </w:rPr>
      </w:pPr>
      <w:r>
        <w:rPr>
          <w:b/>
        </w:rPr>
        <w:t>Supplementary Material</w:t>
      </w:r>
    </w:p>
    <w:p w:rsidR="0038736D" w:rsidRDefault="0038736D" w:rsidP="0038736D">
      <w:pPr>
        <w:spacing w:line="360" w:lineRule="auto"/>
      </w:pPr>
      <w:r>
        <w:t>List of respiratory tract targeted antibiotics (initially obtained using the British National Formulary in conjunction with prescription lists from the observed data files, and reviewed by practising general practitioners who had access to local and national antimicrobial prescribing guidelines):</w:t>
      </w:r>
    </w:p>
    <w:p w:rsidR="0038736D" w:rsidRDefault="0038736D" w:rsidP="0038736D">
      <w:pPr>
        <w:spacing w:after="0" w:line="360" w:lineRule="auto"/>
      </w:pPr>
      <w:r>
        <w:t>Amoxicillin</w:t>
      </w:r>
    </w:p>
    <w:p w:rsidR="0038736D" w:rsidRDefault="0038736D" w:rsidP="0038736D">
      <w:pPr>
        <w:spacing w:after="0" w:line="360" w:lineRule="auto"/>
      </w:pPr>
      <w:r>
        <w:t>Amoxil</w:t>
      </w:r>
    </w:p>
    <w:p w:rsidR="0038736D" w:rsidRDefault="0038736D" w:rsidP="0038736D">
      <w:pPr>
        <w:spacing w:after="0" w:line="360" w:lineRule="auto"/>
      </w:pPr>
      <w:r>
        <w:t>Augmentin</w:t>
      </w:r>
    </w:p>
    <w:p w:rsidR="0038736D" w:rsidRDefault="0038736D" w:rsidP="0038736D">
      <w:pPr>
        <w:spacing w:after="0" w:line="360" w:lineRule="auto"/>
      </w:pPr>
      <w:r>
        <w:t>Augmentin-duo</w:t>
      </w:r>
    </w:p>
    <w:p w:rsidR="0038736D" w:rsidRDefault="0038736D" w:rsidP="0038736D">
      <w:pPr>
        <w:spacing w:after="0" w:line="360" w:lineRule="auto"/>
      </w:pPr>
      <w:r>
        <w:t>Azithromycin</w:t>
      </w:r>
    </w:p>
    <w:p w:rsidR="0038736D" w:rsidRDefault="0038736D" w:rsidP="0038736D">
      <w:pPr>
        <w:spacing w:after="0" w:line="360" w:lineRule="auto"/>
      </w:pPr>
      <w:r>
        <w:t>Cefalexin</w:t>
      </w:r>
    </w:p>
    <w:p w:rsidR="0038736D" w:rsidRDefault="0038736D" w:rsidP="0038736D">
      <w:pPr>
        <w:spacing w:after="0" w:line="360" w:lineRule="auto"/>
      </w:pPr>
      <w:r>
        <w:t>Clarithromycin</w:t>
      </w:r>
    </w:p>
    <w:p w:rsidR="0038736D" w:rsidRDefault="0038736D" w:rsidP="0038736D">
      <w:pPr>
        <w:spacing w:after="0" w:line="360" w:lineRule="auto"/>
      </w:pPr>
      <w:r>
        <w:t>Co-amoxiclav</w:t>
      </w:r>
    </w:p>
    <w:p w:rsidR="0038736D" w:rsidRDefault="0038736D" w:rsidP="0038736D">
      <w:pPr>
        <w:spacing w:after="0" w:line="360" w:lineRule="auto"/>
      </w:pPr>
      <w:r>
        <w:t>Doxycycline</w:t>
      </w:r>
    </w:p>
    <w:p w:rsidR="0038736D" w:rsidRDefault="0038736D" w:rsidP="0038736D">
      <w:pPr>
        <w:spacing w:after="0" w:line="360" w:lineRule="auto"/>
      </w:pPr>
      <w:r>
        <w:t>Erythrocin</w:t>
      </w:r>
    </w:p>
    <w:p w:rsidR="0038736D" w:rsidRDefault="0038736D" w:rsidP="0038736D">
      <w:pPr>
        <w:spacing w:after="0" w:line="360" w:lineRule="auto"/>
      </w:pPr>
      <w:r>
        <w:t>Erythrolar</w:t>
      </w:r>
    </w:p>
    <w:p w:rsidR="0038736D" w:rsidRDefault="0038736D" w:rsidP="0038736D">
      <w:pPr>
        <w:spacing w:after="0" w:line="360" w:lineRule="auto"/>
      </w:pPr>
      <w:r>
        <w:t>Erythromycin</w:t>
      </w:r>
    </w:p>
    <w:p w:rsidR="0038736D" w:rsidRDefault="0038736D" w:rsidP="0038736D">
      <w:pPr>
        <w:spacing w:after="0" w:line="360" w:lineRule="auto"/>
      </w:pPr>
      <w:r>
        <w:t>Erythroped</w:t>
      </w:r>
    </w:p>
    <w:p w:rsidR="0038736D" w:rsidRDefault="0038736D" w:rsidP="0038736D">
      <w:pPr>
        <w:spacing w:after="0" w:line="360" w:lineRule="auto"/>
      </w:pPr>
      <w:r>
        <w:t>Oxytetracycline</w:t>
      </w:r>
    </w:p>
    <w:p w:rsidR="0087079C" w:rsidRDefault="0038736D" w:rsidP="0038736D">
      <w:pPr>
        <w:spacing w:after="0" w:line="360" w:lineRule="auto"/>
      </w:pPr>
      <w:r>
        <w:t>Tetracycline</w:t>
      </w:r>
    </w:p>
    <w:p w:rsidR="0087079C" w:rsidRDefault="0087079C">
      <w:r>
        <w:br w:type="page"/>
      </w:r>
    </w:p>
    <w:p w:rsidR="004A4D96" w:rsidRDefault="004A4D96">
      <w:pPr>
        <w:rPr>
          <w:b/>
        </w:rPr>
      </w:pPr>
      <w:r>
        <w:rPr>
          <w:b/>
        </w:rPr>
        <w:lastRenderedPageBreak/>
        <w:t>Further details of ARIMA model</w:t>
      </w:r>
    </w:p>
    <w:p w:rsidR="004A4D96" w:rsidRDefault="004A4D96">
      <w:pPr>
        <w:rPr>
          <w:b/>
        </w:rPr>
      </w:pPr>
    </w:p>
    <w:p w:rsidR="00EC41EC" w:rsidRDefault="004A4D96" w:rsidP="004A4D96">
      <w:pPr>
        <w:spacing w:line="480" w:lineRule="auto"/>
      </w:pPr>
      <w:r>
        <w:t xml:space="preserve">The general ARIMA(p,d,q) </w:t>
      </w:r>
      <w:r w:rsidR="00F11E08">
        <w:t>model e</w:t>
      </w:r>
      <w:r>
        <w:t xml:space="preserve">xtends model [1] and arises from taking d degrees of differencing in order to make the resulting differenced time series stationary. For prescribing data we anticipate seasonality, with more prescriptions being made during the winter, and therefore extend this ARIMA model to allow period M (months) seasonality, written ARIMA(p,d,q)(P,D,Q)[M], i.e. also allowing the seasonal trend to follow an ARIMA model, and anticipating M=12. A model with </w:t>
      </w:r>
      <m:oMath>
        <m:r>
          <w:rPr>
            <w:rFonts w:ascii="Cambria Math" w:hAnsi="Cambria Math"/>
          </w:rPr>
          <m:t>d=D=0</m:t>
        </m:r>
      </m:oMath>
      <w:r>
        <w:rPr>
          <w:rFonts w:eastAsiaTheme="minorEastAsia"/>
        </w:rPr>
        <w:t xml:space="preserve"> </w:t>
      </w:r>
      <w:r>
        <w:t>reflects a stationary time series, in which case the model reverts to ARMA form.</w:t>
      </w:r>
    </w:p>
    <w:p w:rsidR="00F11E08" w:rsidRPr="00F11E08" w:rsidRDefault="00F11E08" w:rsidP="004A4D96">
      <w:pPr>
        <w:spacing w:line="480" w:lineRule="auto"/>
      </w:pPr>
      <w:bookmarkStart w:id="0" w:name="_GoBack"/>
      <w:bookmarkEnd w:id="0"/>
    </w:p>
    <w:p w:rsidR="00EC41EC" w:rsidRDefault="00EC41EC" w:rsidP="00EC41EC">
      <w:pPr>
        <w:spacing w:after="0" w:line="360" w:lineRule="auto"/>
        <w:rPr>
          <w:b/>
        </w:rPr>
      </w:pPr>
      <w:r>
        <w:rPr>
          <w:b/>
        </w:rPr>
        <w:t>Derivation of equations [3] and [4]</w:t>
      </w:r>
    </w:p>
    <w:p w:rsidR="0087079C" w:rsidRDefault="0087079C" w:rsidP="00834871">
      <w:pPr>
        <w:spacing w:after="0" w:line="480" w:lineRule="auto"/>
      </w:pPr>
    </w:p>
    <w:p w:rsidR="00834871" w:rsidRDefault="00834871" w:rsidP="00834871">
      <w:pPr>
        <w:spacing w:after="0" w:line="480" w:lineRule="auto"/>
        <w:rPr>
          <w:rFonts w:eastAsiaTheme="minorEastAsia"/>
        </w:rPr>
      </w:pPr>
      <w:r>
        <w:t>By distributional assumption, the test statistic from a single site (</w:t>
      </w:r>
      <m:oMath>
        <m:r>
          <w:rPr>
            <w:rFonts w:ascii="Cambria Math" w:hAnsi="Cambria Math"/>
          </w:rPr>
          <m:t>Z</m:t>
        </m:r>
      </m:oMath>
      <w:r>
        <w:rPr>
          <w:rFonts w:eastAsiaTheme="minorEastAsia"/>
        </w:rPr>
        <w:t xml:space="preserve"> in equation [2]) follows a Notmal distribution with mean 0 and variance 1. Given n intervention regions and m control regions, assumed to be independent of each other, </w:t>
      </w:r>
      <w:r>
        <w:t xml:space="preserve">if </w:t>
      </w:r>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Z</m:t>
                </m:r>
              </m:e>
            </m:acc>
          </m:e>
          <m:sub>
            <m:r>
              <w:rPr>
                <w:rFonts w:ascii="Cambria Math" w:eastAsiaTheme="minorEastAsia" w:hAnsi="Cambria Math"/>
              </w:rPr>
              <m:t>I</m:t>
            </m:r>
          </m:sub>
        </m:sSub>
      </m:oMath>
      <w:r>
        <w:rPr>
          <w:rFonts w:eastAsiaTheme="minorEastAsia"/>
        </w:rPr>
        <w:t xml:space="preserve"> and </w:t>
      </w:r>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Z</m:t>
                </m:r>
              </m:e>
            </m:acc>
          </m:e>
          <m:sub>
            <m:r>
              <w:rPr>
                <w:rFonts w:ascii="Cambria Math" w:eastAsiaTheme="minorEastAsia" w:hAnsi="Cambria Math"/>
              </w:rPr>
              <m:t>C</m:t>
            </m:r>
          </m:sub>
        </m:sSub>
      </m:oMath>
      <w:r>
        <w:rPr>
          <w:rFonts w:eastAsiaTheme="minorEastAsia"/>
        </w:rPr>
        <w:t xml:space="preserve"> are the means of the Z-statistics in the intervention regions and the control regions, respectively</w:t>
      </w:r>
      <w:r>
        <w:t>, then by usual properties of the Normal distribution,</w:t>
      </w:r>
      <w:r>
        <w:t xml:space="preserve"> </w:t>
      </w:r>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Z</m:t>
                </m:r>
              </m:e>
            </m:acc>
          </m:e>
          <m:sub>
            <m:r>
              <w:rPr>
                <w:rFonts w:ascii="Cambria Math" w:eastAsiaTheme="minorEastAsia" w:hAnsi="Cambria Math"/>
              </w:rPr>
              <m:t>I</m:t>
            </m:r>
          </m:sub>
        </m:sSub>
        <m:r>
          <w:rPr>
            <w:rFonts w:ascii="Cambria Math" w:eastAsiaTheme="minorEastAsia" w:hAnsi="Cambria Math"/>
          </w:rPr>
          <m:t xml:space="preserve"> ~ </m:t>
        </m:r>
        <m:r>
          <m:rPr>
            <m:sty m:val="p"/>
          </m:rPr>
          <w:rPr>
            <w:rFonts w:ascii="Cambria Math" w:eastAsiaTheme="minorEastAsia" w:hAnsi="Cambria Math"/>
          </w:rPr>
          <m:t>N</m:t>
        </m:r>
        <m:r>
          <w:rPr>
            <w:rFonts w:ascii="Cambria Math" w:eastAsiaTheme="minorEastAsia" w:hAnsi="Cambria Math"/>
          </w:rPr>
          <m:t>(0,</m:t>
        </m:r>
        <m:sSup>
          <m:sSupPr>
            <m:ctrlPr>
              <w:rPr>
                <w:rFonts w:ascii="Cambria Math" w:eastAsiaTheme="minorEastAsia" w:hAnsi="Cambria Math"/>
                <w:i/>
              </w:rPr>
            </m:ctrlPr>
          </m:sSupPr>
          <m:e>
            <m:r>
              <w:rPr>
                <w:rFonts w:ascii="Cambria Math" w:eastAsiaTheme="minorEastAsia" w:hAnsi="Cambria Math"/>
              </w:rPr>
              <m:t>n</m:t>
            </m:r>
          </m:e>
          <m:sup>
            <m:r>
              <w:rPr>
                <w:rFonts w:ascii="Cambria Math" w:eastAsiaTheme="minorEastAsia" w:hAnsi="Cambria Math"/>
              </w:rPr>
              <m:t>-1</m:t>
            </m:r>
          </m:sup>
        </m:sSup>
        <m:r>
          <w:rPr>
            <w:rFonts w:ascii="Cambria Math" w:eastAsiaTheme="minorEastAsia" w:hAnsi="Cambria Math"/>
          </w:rPr>
          <m:t>)</m:t>
        </m:r>
      </m:oMath>
      <w:r>
        <w:rPr>
          <w:rFonts w:eastAsiaTheme="minorEastAsia"/>
        </w:rPr>
        <w:t xml:space="preserve"> and </w:t>
      </w:r>
      <w:r>
        <w:t xml:space="preserve"> </w:t>
      </w:r>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Z</m:t>
                </m:r>
              </m:e>
            </m:acc>
          </m:e>
          <m:sub>
            <m:r>
              <w:rPr>
                <w:rFonts w:ascii="Cambria Math" w:eastAsiaTheme="minorEastAsia" w:hAnsi="Cambria Math"/>
              </w:rPr>
              <m:t>C</m:t>
            </m:r>
          </m:sub>
        </m:sSub>
        <m:r>
          <w:rPr>
            <w:rFonts w:ascii="Cambria Math" w:eastAsiaTheme="minorEastAsia" w:hAnsi="Cambria Math"/>
          </w:rPr>
          <m:t xml:space="preserve"> ~ </m:t>
        </m:r>
        <m:r>
          <m:rPr>
            <m:sty m:val="p"/>
          </m:rPr>
          <w:rPr>
            <w:rFonts w:ascii="Cambria Math" w:eastAsiaTheme="minorEastAsia" w:hAnsi="Cambria Math"/>
          </w:rPr>
          <m:t>N</m:t>
        </m:r>
        <m:r>
          <w:rPr>
            <w:rFonts w:ascii="Cambria Math" w:eastAsiaTheme="minorEastAsia" w:hAnsi="Cambria Math"/>
          </w:rPr>
          <m:t>(0,</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-1</m:t>
            </m:r>
          </m:sup>
        </m:sSup>
        <m:r>
          <w:rPr>
            <w:rFonts w:ascii="Cambria Math" w:eastAsiaTheme="minorEastAsia" w:hAnsi="Cambria Math"/>
          </w:rPr>
          <m:t>)</m:t>
        </m:r>
      </m:oMath>
      <w:r>
        <w:rPr>
          <w:rFonts w:eastAsiaTheme="minorEastAsia"/>
        </w:rPr>
        <w:t xml:space="preserve">. Thus </w:t>
      </w:r>
      <w:r>
        <w:t xml:space="preserve"> </w:t>
      </w:r>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Z</m:t>
                </m:r>
              </m:e>
            </m:acc>
          </m:e>
          <m:sub>
            <m:r>
              <w:rPr>
                <w:rFonts w:ascii="Cambria Math" w:eastAsiaTheme="minorEastAsia" w:hAnsi="Cambria Math"/>
              </w:rPr>
              <m:t>I</m:t>
            </m:r>
          </m:sub>
        </m:sSub>
        <m:r>
          <w:rPr>
            <w:rFonts w:ascii="Cambria Math" w:eastAsiaTheme="minorEastAsia" w:hAnsi="Cambria Math"/>
          </w:rPr>
          <m:t>-</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Z</m:t>
                </m:r>
              </m:e>
            </m:acc>
          </m:e>
          <m:sub>
            <m:r>
              <w:rPr>
                <w:rFonts w:ascii="Cambria Math" w:eastAsiaTheme="minorEastAsia" w:hAnsi="Cambria Math"/>
              </w:rPr>
              <m:t>C</m:t>
            </m:r>
          </m:sub>
        </m:sSub>
        <m:r>
          <w:rPr>
            <w:rFonts w:ascii="Cambria Math" w:eastAsiaTheme="minorEastAsia" w:hAnsi="Cambria Math"/>
          </w:rPr>
          <m:t xml:space="preserve"> ~ </m:t>
        </m:r>
        <m:r>
          <m:rPr>
            <m:sty m:val="p"/>
          </m:rPr>
          <w:rPr>
            <w:rFonts w:ascii="Cambria Math" w:eastAsiaTheme="minorEastAsia" w:hAnsi="Cambria Math"/>
          </w:rPr>
          <m:t>N</m:t>
        </m:r>
        <m:r>
          <w:rPr>
            <w:rFonts w:ascii="Cambria Math" w:eastAsiaTheme="minorEastAsia" w:hAnsi="Cambria Math"/>
          </w:rPr>
          <m:t>(0,</m:t>
        </m:r>
        <m:sSup>
          <m:sSupPr>
            <m:ctrlPr>
              <w:rPr>
                <w:rFonts w:ascii="Cambria Math" w:eastAsiaTheme="minorEastAsia" w:hAnsi="Cambria Math"/>
                <w:i/>
              </w:rPr>
            </m:ctrlPr>
          </m:sSupPr>
          <m:e>
            <m:sSup>
              <m:sSupPr>
                <m:ctrlPr>
                  <w:rPr>
                    <w:rFonts w:ascii="Cambria Math" w:eastAsiaTheme="minorEastAsia" w:hAnsi="Cambria Math"/>
                    <w:i/>
                  </w:rPr>
                </m:ctrlPr>
              </m:sSupPr>
              <m:e>
                <m:r>
                  <w:rPr>
                    <w:rFonts w:ascii="Cambria Math" w:eastAsiaTheme="minorEastAsia" w:hAnsi="Cambria Math"/>
                  </w:rPr>
                  <m:t>n</m:t>
                </m:r>
              </m:e>
              <m:sup>
                <m:r>
                  <w:rPr>
                    <w:rFonts w:ascii="Cambria Math" w:eastAsiaTheme="minorEastAsia" w:hAnsi="Cambria Math"/>
                  </w:rPr>
                  <m:t>-1</m:t>
                </m:r>
              </m:sup>
            </m:sSup>
            <m:r>
              <w:rPr>
                <w:rFonts w:ascii="Cambria Math" w:eastAsiaTheme="minorEastAsia" w:hAnsi="Cambria Math"/>
              </w:rPr>
              <m:t>+</m:t>
            </m:r>
            <m:r>
              <w:rPr>
                <w:rFonts w:ascii="Cambria Math" w:eastAsiaTheme="minorEastAsia" w:hAnsi="Cambria Math"/>
              </w:rPr>
              <m:t>m</m:t>
            </m:r>
          </m:e>
          <m:sup>
            <m:r>
              <w:rPr>
                <w:rFonts w:ascii="Cambria Math" w:eastAsiaTheme="minorEastAsia" w:hAnsi="Cambria Math"/>
              </w:rPr>
              <m:t>-1</m:t>
            </m:r>
          </m:sup>
        </m:sSup>
        <m:r>
          <w:rPr>
            <w:rFonts w:ascii="Cambria Math" w:eastAsiaTheme="minorEastAsia" w:hAnsi="Cambria Math"/>
          </w:rPr>
          <m:t>)</m:t>
        </m:r>
      </m:oMath>
      <w:r>
        <w:rPr>
          <w:rFonts w:eastAsiaTheme="minorEastAsia"/>
        </w:rPr>
        <w:t xml:space="preserve"> and </w:t>
      </w:r>
    </w:p>
    <w:p w:rsidR="00834871" w:rsidRDefault="00834871" w:rsidP="00834871">
      <w:pPr>
        <w:spacing w:after="0" w:line="480" w:lineRule="auto"/>
        <w:rPr>
          <w:rFonts w:eastAsiaTheme="minorEastAsia"/>
        </w:rPr>
      </w:pPr>
      <m:oMathPara>
        <m:oMath>
          <m:f>
            <m:fPr>
              <m:ctrlPr>
                <w:rPr>
                  <w:rFonts w:ascii="Cambria Math" w:eastAsiaTheme="minorEastAsia" w:hAnsi="Cambria Math"/>
                  <w:i/>
                </w:rPr>
              </m:ctrlPr>
            </m:fPr>
            <m:num>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Z</m:t>
                      </m:r>
                    </m:e>
                  </m:acc>
                </m:e>
                <m:sub>
                  <m:r>
                    <w:rPr>
                      <w:rFonts w:ascii="Cambria Math" w:eastAsiaTheme="minorEastAsia" w:hAnsi="Cambria Math"/>
                    </w:rPr>
                    <m:t>I</m:t>
                  </m:r>
                </m:sub>
              </m:sSub>
              <m:r>
                <w:rPr>
                  <w:rFonts w:ascii="Cambria Math" w:eastAsiaTheme="minorEastAsia" w:hAnsi="Cambria Math"/>
                </w:rPr>
                <m:t>-</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Z</m:t>
                      </m:r>
                    </m:e>
                  </m:acc>
                </m:e>
                <m:sub>
                  <m:r>
                    <w:rPr>
                      <w:rFonts w:ascii="Cambria Math" w:eastAsiaTheme="minorEastAsia" w:hAnsi="Cambria Math"/>
                    </w:rPr>
                    <m:t>C</m:t>
                  </m:r>
                </m:sub>
              </m:sSub>
            </m:num>
            <m:den>
              <m:rad>
                <m:radPr>
                  <m:degHide m:val="1"/>
                  <m:ctrlPr>
                    <w:rPr>
                      <w:rFonts w:ascii="Cambria Math" w:hAnsi="Cambria Math"/>
                      <w:i/>
                    </w:rPr>
                  </m:ctrlPr>
                </m:radPr>
                <m:deg/>
                <m:e>
                  <m:sSup>
                    <m:sSupPr>
                      <m:ctrlPr>
                        <w:rPr>
                          <w:rFonts w:ascii="Cambria Math" w:hAnsi="Cambria Math"/>
                          <w:i/>
                        </w:rPr>
                      </m:ctrlPr>
                    </m:sSupPr>
                    <m:e>
                      <m:r>
                        <w:rPr>
                          <w:rFonts w:ascii="Cambria Math" w:hAnsi="Cambria Math"/>
                        </w:rPr>
                        <m:t>n</m:t>
                      </m:r>
                    </m:e>
                    <m:sup>
                      <m:r>
                        <w:rPr>
                          <w:rFonts w:ascii="Cambria Math" w:hAnsi="Cambria Math"/>
                        </w:rPr>
                        <m:t>-1</m:t>
                      </m:r>
                    </m:sup>
                  </m:sSup>
                  <m:r>
                    <w:rPr>
                      <w:rFonts w:ascii="Cambria Math" w:hAnsi="Cambria Math"/>
                    </w:rPr>
                    <m:t>+</m:t>
                  </m:r>
                  <m:sSup>
                    <m:sSupPr>
                      <m:ctrlPr>
                        <w:rPr>
                          <w:rFonts w:ascii="Cambria Math" w:hAnsi="Cambria Math"/>
                          <w:i/>
                        </w:rPr>
                      </m:ctrlPr>
                    </m:sSupPr>
                    <m:e>
                      <m:r>
                        <w:rPr>
                          <w:rFonts w:ascii="Cambria Math" w:hAnsi="Cambria Math"/>
                        </w:rPr>
                        <m:t>m</m:t>
                      </m:r>
                    </m:e>
                    <m:sup>
                      <m:r>
                        <w:rPr>
                          <w:rFonts w:ascii="Cambria Math" w:hAnsi="Cambria Math"/>
                        </w:rPr>
                        <m:t>-1</m:t>
                      </m:r>
                    </m:sup>
                  </m:sSup>
                </m:e>
              </m:rad>
            </m:den>
          </m:f>
          <m:r>
            <w:rPr>
              <w:rFonts w:ascii="Cambria Math" w:eastAsiaTheme="minorEastAsia" w:hAnsi="Cambria Math"/>
            </w:rPr>
            <m:t xml:space="preserve">~ </m:t>
          </m:r>
          <m:r>
            <m:rPr>
              <m:sty m:val="p"/>
            </m:rPr>
            <w:rPr>
              <w:rFonts w:ascii="Cambria Math" w:eastAsiaTheme="minorEastAsia" w:hAnsi="Cambria Math"/>
            </w:rPr>
            <m:t>N</m:t>
          </m:r>
          <m:r>
            <w:rPr>
              <w:rFonts w:ascii="Cambria Math" w:eastAsiaTheme="minorEastAsia" w:hAnsi="Cambria Math"/>
            </w:rPr>
            <m:t>(0,1)</m:t>
          </m:r>
        </m:oMath>
      </m:oMathPara>
    </w:p>
    <w:p w:rsidR="00F64DA5" w:rsidRDefault="00834871" w:rsidP="00834871">
      <w:pPr>
        <w:spacing w:after="0" w:line="480" w:lineRule="auto"/>
      </w:pPr>
      <w:r>
        <w:t>and can therefore be used as a test statistic based on the standard Normal distribution.</w:t>
      </w:r>
    </w:p>
    <w:p w:rsidR="000408AE" w:rsidRPr="00F64DA5" w:rsidRDefault="00F64DA5" w:rsidP="00834871">
      <w:pPr>
        <w:spacing w:after="0" w:line="480" w:lineRule="auto"/>
        <w:rPr>
          <w:rFonts w:eastAsiaTheme="minorEastAsia"/>
        </w:rPr>
      </w:pPr>
      <w:r>
        <w:t xml:space="preserve">For a single site, using the test statistic </w:t>
      </w:r>
      <m:oMath>
        <m:r>
          <w:rPr>
            <w:rFonts w:ascii="Cambria Math" w:hAnsi="Cambria Math"/>
          </w:rPr>
          <m:t>Z</m:t>
        </m:r>
      </m:oMath>
      <w:r>
        <w:rPr>
          <w:rFonts w:eastAsiaTheme="minorEastAsia"/>
        </w:rPr>
        <w:t xml:space="preserve"> in equation [2]</w:t>
      </w:r>
      <w:r>
        <w:rPr>
          <w:rFonts w:eastAsiaTheme="minorEastAsia"/>
        </w:rPr>
        <w:t xml:space="preserve">, a hypothesis test of size </w:t>
      </w:r>
      <m:oMath>
        <m:r>
          <w:rPr>
            <w:rFonts w:ascii="Cambria Math" w:eastAsiaTheme="minorEastAsia" w:hAnsi="Cambria Math"/>
          </w:rPr>
          <m:t>α</m:t>
        </m:r>
      </m:oMath>
      <w:r>
        <w:rPr>
          <w:rFonts w:eastAsiaTheme="minorEastAsia"/>
        </w:rPr>
        <w:t xml:space="preserve"> will detect a reduction from the assumed underlying trend if </w:t>
      </w:r>
      <m:oMath>
        <m:r>
          <w:rPr>
            <w:rFonts w:ascii="Cambria Math" w:eastAsiaTheme="minorEastAsia" w:hAnsi="Cambria Math"/>
          </w:rPr>
          <m:t>Z&lt;</m:t>
        </m:r>
        <m:sSup>
          <m:sSupPr>
            <m:ctrlPr>
              <w:rPr>
                <w:rFonts w:ascii="Cambria Math" w:eastAsiaTheme="minorEastAsia" w:hAnsi="Cambria Math"/>
                <w:i/>
              </w:rPr>
            </m:ctrlPr>
          </m:sSupPr>
          <m:e>
            <m:r>
              <m:rPr>
                <m:sty m:val="p"/>
              </m:rPr>
              <w:rPr>
                <w:rFonts w:ascii="Cambria Math" w:eastAsiaTheme="minorEastAsia" w:hAnsi="Cambria Math"/>
              </w:rPr>
              <m:t>Φ</m:t>
            </m:r>
            <m:ctrlPr>
              <w:rPr>
                <w:rFonts w:ascii="Cambria Math" w:eastAsiaTheme="minorEastAsia" w:hAnsi="Cambria Math"/>
              </w:rPr>
            </m:ctrlPr>
          </m:e>
          <m:sup>
            <m:r>
              <w:rPr>
                <w:rFonts w:ascii="Cambria Math" w:eastAsiaTheme="minorEastAsia" w:hAnsi="Cambria Math"/>
              </w:rPr>
              <m:t>-1</m:t>
            </m:r>
          </m:sup>
        </m:sSup>
        <m:r>
          <w:rPr>
            <w:rFonts w:ascii="Cambria Math" w:eastAsiaTheme="minorEastAsia" w:hAnsi="Cambria Math"/>
          </w:rPr>
          <m:t>(1-α/2)</m:t>
        </m:r>
      </m:oMath>
      <w:r>
        <w:rPr>
          <w:rFonts w:eastAsiaTheme="minorEastAsia"/>
        </w:rPr>
        <w:t xml:space="preserve">, i.e. if </w:t>
      </w:r>
      <m:oMath>
        <m:r>
          <w:rPr>
            <w:rFonts w:ascii="Cambria Math" w:eastAsiaTheme="minorEastAsia" w:hAnsi="Cambria Math"/>
          </w:rPr>
          <m:t>V&lt;</m:t>
        </m:r>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m</m:t>
                </m:r>
              </m:e>
            </m:acc>
          </m:e>
          <m:sub>
            <m:r>
              <w:rPr>
                <w:rFonts w:ascii="Cambria Math" w:eastAsiaTheme="minorEastAsia" w:hAnsi="Cambria Math"/>
              </w:rPr>
              <m:t>k</m:t>
            </m:r>
          </m:sub>
        </m:sSub>
        <m:r>
          <w:rPr>
            <w:rFonts w:ascii="Cambria Math" w:eastAsiaTheme="minorEastAsia" w:hAnsi="Cambria Math"/>
          </w:rPr>
          <m:t>-</m:t>
        </m:r>
        <m:sSup>
          <m:sSupPr>
            <m:ctrlPr>
              <w:rPr>
                <w:rFonts w:ascii="Cambria Math" w:eastAsiaTheme="minorEastAsia" w:hAnsi="Cambria Math"/>
                <w:i/>
              </w:rPr>
            </m:ctrlPr>
          </m:sSupPr>
          <m:e>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s</m:t>
                    </m:r>
                  </m:e>
                </m:acc>
              </m:e>
              <m:sub>
                <m:r>
                  <w:rPr>
                    <w:rFonts w:ascii="Cambria Math" w:eastAsiaTheme="minorEastAsia" w:hAnsi="Cambria Math"/>
                  </w:rPr>
                  <m:t>k</m:t>
                </m:r>
              </m:sub>
            </m:sSub>
            <m:r>
              <m:rPr>
                <m:sty m:val="p"/>
              </m:rPr>
              <w:rPr>
                <w:rFonts w:ascii="Cambria Math" w:eastAsiaTheme="minorEastAsia" w:hAnsi="Cambria Math"/>
              </w:rPr>
              <m:t xml:space="preserve"> Φ</m:t>
            </m:r>
            <m:ctrlPr>
              <w:rPr>
                <w:rFonts w:ascii="Cambria Math" w:eastAsiaTheme="minorEastAsia" w:hAnsi="Cambria Math"/>
              </w:rPr>
            </m:ctrlPr>
          </m:e>
          <m:sup>
            <m:r>
              <w:rPr>
                <w:rFonts w:ascii="Cambria Math" w:eastAsiaTheme="minorEastAsia" w:hAnsi="Cambria Math"/>
              </w:rPr>
              <m:t>-1</m:t>
            </m:r>
          </m:sup>
        </m:sSup>
        <m:r>
          <w:rPr>
            <w:rFonts w:ascii="Cambria Math" w:eastAsiaTheme="minorEastAsia" w:hAnsi="Cambria Math"/>
          </w:rPr>
          <m:t>(1-α/2)</m:t>
        </m:r>
      </m:oMath>
      <w:r>
        <w:rPr>
          <w:rFonts w:eastAsiaTheme="minorEastAsia"/>
        </w:rPr>
        <w:t xml:space="preserve">, where </w:t>
      </w:r>
      <m:oMath>
        <m:r>
          <w:rPr>
            <w:rFonts w:ascii="Cambria Math" w:eastAsiaTheme="minorEastAsia" w:hAnsi="Cambria Math"/>
          </w:rPr>
          <m:t>V=</m:t>
        </m:r>
        <m:nary>
          <m:naryPr>
            <m:chr m:val="∑"/>
            <m:limLoc m:val="subSup"/>
            <m:ctrlPr>
              <w:rPr>
                <w:rFonts w:ascii="Cambria Math" w:eastAsiaTheme="minorEastAsia" w:hAnsi="Cambria Math"/>
                <w:i/>
              </w:rPr>
            </m:ctrlPr>
          </m:naryPr>
          <m:sub>
            <m:r>
              <w:rPr>
                <w:rFonts w:ascii="Cambria Math" w:eastAsiaTheme="minorEastAsia" w:hAnsi="Cambria Math"/>
              </w:rPr>
              <m:t>t=n+1</m:t>
            </m:r>
          </m:sub>
          <m:sup>
            <m:r>
              <w:rPr>
                <w:rFonts w:ascii="Cambria Math" w:eastAsiaTheme="minorEastAsia" w:hAnsi="Cambria Math"/>
              </w:rPr>
              <m:t>n+k</m:t>
            </m:r>
          </m:sup>
          <m:e>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t</m:t>
                </m:r>
              </m:sub>
            </m:sSub>
          </m:e>
        </m:nary>
      </m:oMath>
      <w:r>
        <w:rPr>
          <w:rFonts w:eastAsiaTheme="minorEastAsia"/>
        </w:rPr>
        <w:t xml:space="preserve">. Given that </w:t>
      </w:r>
      <m:oMath>
        <m:r>
          <w:rPr>
            <w:rFonts w:ascii="Cambria Math" w:eastAsiaTheme="minorEastAsia" w:hAnsi="Cambria Math"/>
          </w:rPr>
          <m:t xml:space="preserve">V ~ </m:t>
        </m:r>
        <m:r>
          <m:rPr>
            <m:sty m:val="p"/>
          </m:rPr>
          <w:rPr>
            <w:rFonts w:ascii="Cambria Math" w:eastAsiaTheme="minorEastAsia" w:hAnsi="Cambria Math"/>
          </w:rPr>
          <m:t>N</m:t>
        </m:r>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Pr>
          <w:rFonts w:eastAsiaTheme="minorEastAsia"/>
        </w:rPr>
        <w:t>), the probability that this reduction will be detected, and therefore the power, is given by equation [4].</w:t>
      </w:r>
      <w:r w:rsidR="000408AE">
        <w:br w:type="page"/>
      </w:r>
    </w:p>
    <w:p w:rsidR="000408AE" w:rsidRDefault="000408AE" w:rsidP="000408AE">
      <w:pPr>
        <w:spacing w:line="360" w:lineRule="auto"/>
      </w:pPr>
      <w:r>
        <w:object w:dxaOrig="1728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4.5pt;height:122.25pt" o:ole="">
            <v:imagedata r:id="rId4" o:title=""/>
          </v:shape>
          <o:OLEObject Type="Embed" ProgID="AcroExch.Document.DC" ShapeID="_x0000_i1025" DrawAspect="Content" ObjectID="_1703221208" r:id="rId5"/>
        </w:object>
      </w:r>
    </w:p>
    <w:p w:rsidR="000408AE" w:rsidRPr="00B07D10" w:rsidRDefault="000408AE" w:rsidP="000408AE">
      <w:pPr>
        <w:spacing w:line="360" w:lineRule="auto"/>
        <w:rPr>
          <w:b/>
        </w:rPr>
      </w:pPr>
      <w:r>
        <w:rPr>
          <w:b/>
        </w:rPr>
        <w:t>Supplementary Figure 1</w:t>
      </w:r>
    </w:p>
    <w:p w:rsidR="000408AE" w:rsidRDefault="000408AE" w:rsidP="000408AE">
      <w:pPr>
        <w:spacing w:line="360" w:lineRule="auto"/>
      </w:pPr>
      <w:r>
        <w:t>Autocorrelation function plots for each of the eight included bases, for the original data (top line) and for the residuals from the fitted time series model (bottom line). Columns, from left to right, show data from Stoke Mandeville; Clacton; Bury St Edmunds; Nuneaton; Warwick; Kidderminster; Redditch; Worcestershire Royal.</w:t>
      </w:r>
    </w:p>
    <w:p w:rsidR="00561074" w:rsidRDefault="00561074"/>
    <w:sectPr w:rsidR="005610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36D"/>
    <w:rsid w:val="000408AE"/>
    <w:rsid w:val="0038736D"/>
    <w:rsid w:val="004A4D96"/>
    <w:rsid w:val="00561074"/>
    <w:rsid w:val="00672CED"/>
    <w:rsid w:val="00834871"/>
    <w:rsid w:val="0087079C"/>
    <w:rsid w:val="00D8786D"/>
    <w:rsid w:val="00EC41EC"/>
    <w:rsid w:val="00F11E08"/>
    <w:rsid w:val="00F64D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2E391"/>
  <w15:chartTrackingRefBased/>
  <w15:docId w15:val="{07D9E346-D069-4B23-9830-3DE615339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3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87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386</Words>
  <Characters>2202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Fanshawe</dc:creator>
  <cp:keywords/>
  <dc:description/>
  <cp:lastModifiedBy>Thomas Fanshawe</cp:lastModifiedBy>
  <cp:revision>9</cp:revision>
  <dcterms:created xsi:type="dcterms:W3CDTF">2022-01-08T12:06:00Z</dcterms:created>
  <dcterms:modified xsi:type="dcterms:W3CDTF">2022-01-09T08:14:00Z</dcterms:modified>
</cp:coreProperties>
</file>