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B9051" w14:textId="77777777" w:rsidR="009D652F" w:rsidRPr="000C1FD6" w:rsidRDefault="009D652F" w:rsidP="009D652F">
      <w:pPr>
        <w:spacing w:line="360" w:lineRule="auto"/>
        <w:rPr>
          <w:b/>
          <w:bCs/>
          <w:u w:val="single"/>
        </w:rPr>
      </w:pPr>
      <w:r w:rsidRPr="000C1FD6">
        <w:rPr>
          <w:b/>
          <w:bCs/>
          <w:u w:val="single"/>
        </w:rPr>
        <w:t>Supplementary information</w:t>
      </w:r>
    </w:p>
    <w:p w14:paraId="237C222F" w14:textId="77777777" w:rsidR="009D652F" w:rsidRPr="00DF3A56" w:rsidRDefault="009D652F" w:rsidP="009D652F">
      <w:pPr>
        <w:spacing w:line="360" w:lineRule="auto"/>
        <w:rPr>
          <w:b/>
        </w:rPr>
      </w:pPr>
      <w:r w:rsidRPr="00DF3A56">
        <w:rPr>
          <w:b/>
          <w:bCs/>
        </w:rPr>
        <w:t xml:space="preserve">Supplementary table 1 - </w:t>
      </w:r>
      <w:r w:rsidRPr="00DF3A56">
        <w:rPr>
          <w:b/>
        </w:rPr>
        <w:t>MEDLINE search strategy</w:t>
      </w:r>
    </w:p>
    <w:p w14:paraId="6C3825BC" w14:textId="77777777" w:rsidR="009D652F" w:rsidRDefault="009D652F" w:rsidP="009D652F">
      <w:r w:rsidRPr="00DF3A56">
        <w:t>Database and platform: MEDLINE (Ovid MEDLINE® Epub Ahead of Print, In-Process &amp; Other Non-Indexed Citations, Ovid MEDLINE® Daily and Ovid MEDLINE®) 1946 to present (via Ovid)</w:t>
      </w:r>
    </w:p>
    <w:p w14:paraId="410C9422" w14:textId="77777777" w:rsidR="009D652F" w:rsidRPr="00DF3A56" w:rsidRDefault="009D652F" w:rsidP="009D652F">
      <w:pPr>
        <w:spacing w:line="240" w:lineRule="auto"/>
      </w:pPr>
      <w:r>
        <w:t>Publication date limit: 2019 only</w:t>
      </w:r>
    </w:p>
    <w:p w14:paraId="1A9BB97D" w14:textId="77777777" w:rsidR="009D652F" w:rsidRDefault="009D652F" w:rsidP="009D652F">
      <w:r>
        <w:t xml:space="preserve">Search date: 5 September 2019 </w:t>
      </w:r>
    </w:p>
    <w:tbl>
      <w:tblPr>
        <w:tblW w:w="7769" w:type="dxa"/>
        <w:tblLook w:val="04A0" w:firstRow="1" w:lastRow="0" w:firstColumn="1" w:lastColumn="0" w:noHBand="0" w:noVBand="1"/>
      </w:tblPr>
      <w:tblGrid>
        <w:gridCol w:w="549"/>
        <w:gridCol w:w="7220"/>
      </w:tblGrid>
      <w:tr w:rsidR="009D652F" w:rsidRPr="006A3FBF" w14:paraId="090EDB7C" w14:textId="77777777" w:rsidTr="00005CF2">
        <w:trPr>
          <w:trHeight w:val="300"/>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7C1C8"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w:t>
            </w:r>
          </w:p>
        </w:tc>
        <w:tc>
          <w:tcPr>
            <w:tcW w:w="7220" w:type="dxa"/>
            <w:tcBorders>
              <w:top w:val="single" w:sz="4" w:space="0" w:color="auto"/>
              <w:left w:val="nil"/>
              <w:bottom w:val="single" w:sz="4" w:space="0" w:color="auto"/>
              <w:right w:val="single" w:sz="4" w:space="0" w:color="auto"/>
            </w:tcBorders>
            <w:shd w:val="clear" w:color="auto" w:fill="auto"/>
            <w:noWrap/>
            <w:vAlign w:val="bottom"/>
            <w:hideMark/>
          </w:tcPr>
          <w:p w14:paraId="0741F98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Machine Learning/</w:t>
            </w:r>
          </w:p>
        </w:tc>
      </w:tr>
      <w:tr w:rsidR="009D652F" w:rsidRPr="006A3FBF" w14:paraId="2415A9D4"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A06C7F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w:t>
            </w:r>
          </w:p>
        </w:tc>
        <w:tc>
          <w:tcPr>
            <w:tcW w:w="7220" w:type="dxa"/>
            <w:tcBorders>
              <w:top w:val="nil"/>
              <w:left w:val="nil"/>
              <w:bottom w:val="single" w:sz="4" w:space="0" w:color="auto"/>
              <w:right w:val="single" w:sz="4" w:space="0" w:color="auto"/>
            </w:tcBorders>
            <w:shd w:val="clear" w:color="auto" w:fill="auto"/>
            <w:noWrap/>
            <w:vAlign w:val="bottom"/>
            <w:hideMark/>
          </w:tcPr>
          <w:p w14:paraId="11311C41"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(machine adj1 (learn$ or model$)).ti,ab,kw.</w:t>
            </w:r>
          </w:p>
        </w:tc>
      </w:tr>
      <w:tr w:rsidR="009D652F" w:rsidRPr="006A3FBF" w14:paraId="2BF5879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E20F70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w:t>
            </w:r>
          </w:p>
        </w:tc>
        <w:tc>
          <w:tcPr>
            <w:tcW w:w="7220" w:type="dxa"/>
            <w:tcBorders>
              <w:top w:val="nil"/>
              <w:left w:val="nil"/>
              <w:bottom w:val="single" w:sz="4" w:space="0" w:color="auto"/>
              <w:right w:val="single" w:sz="4" w:space="0" w:color="auto"/>
            </w:tcBorders>
            <w:shd w:val="clear" w:color="auto" w:fill="auto"/>
            <w:noWrap/>
            <w:vAlign w:val="bottom"/>
            <w:hideMark/>
          </w:tcPr>
          <w:p w14:paraId="01B2305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Deep Learning/</w:t>
            </w:r>
          </w:p>
        </w:tc>
      </w:tr>
      <w:tr w:rsidR="009D652F" w:rsidRPr="006A3FBF" w14:paraId="750B723F"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55FB41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w:t>
            </w:r>
          </w:p>
        </w:tc>
        <w:tc>
          <w:tcPr>
            <w:tcW w:w="7220" w:type="dxa"/>
            <w:tcBorders>
              <w:top w:val="nil"/>
              <w:left w:val="nil"/>
              <w:bottom w:val="single" w:sz="4" w:space="0" w:color="auto"/>
              <w:right w:val="single" w:sz="4" w:space="0" w:color="auto"/>
            </w:tcBorders>
            <w:shd w:val="clear" w:color="auto" w:fill="auto"/>
            <w:noWrap/>
            <w:vAlign w:val="bottom"/>
            <w:hideMark/>
          </w:tcPr>
          <w:p w14:paraId="438C364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(deep adj2 learn$).ti,ab,kw.</w:t>
            </w:r>
          </w:p>
        </w:tc>
      </w:tr>
      <w:tr w:rsidR="009D652F" w:rsidRPr="006A3FBF" w14:paraId="10213FE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32AD206"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w:t>
            </w:r>
          </w:p>
        </w:tc>
        <w:tc>
          <w:tcPr>
            <w:tcW w:w="7220" w:type="dxa"/>
            <w:tcBorders>
              <w:top w:val="nil"/>
              <w:left w:val="nil"/>
              <w:bottom w:val="single" w:sz="4" w:space="0" w:color="auto"/>
              <w:right w:val="single" w:sz="4" w:space="0" w:color="auto"/>
            </w:tcBorders>
            <w:shd w:val="clear" w:color="auto" w:fill="auto"/>
            <w:noWrap/>
            <w:vAlign w:val="bottom"/>
            <w:hideMark/>
          </w:tcPr>
          <w:p w14:paraId="2CC802D4"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exp Supervised Machine Learning/</w:t>
            </w:r>
          </w:p>
        </w:tc>
      </w:tr>
      <w:tr w:rsidR="009D652F" w:rsidRPr="006A3FBF" w14:paraId="6A7BBC5B"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69D664B"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w:t>
            </w:r>
          </w:p>
        </w:tc>
        <w:tc>
          <w:tcPr>
            <w:tcW w:w="7220" w:type="dxa"/>
            <w:tcBorders>
              <w:top w:val="nil"/>
              <w:left w:val="nil"/>
              <w:bottom w:val="single" w:sz="4" w:space="0" w:color="auto"/>
              <w:right w:val="single" w:sz="4" w:space="0" w:color="auto"/>
            </w:tcBorders>
            <w:shd w:val="clear" w:color="auto" w:fill="auto"/>
            <w:noWrap/>
            <w:vAlign w:val="bottom"/>
            <w:hideMark/>
          </w:tcPr>
          <w:p w14:paraId="3F6A423C"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(supervised adj2 machine adj2 learn$).ti,ab,kw.</w:t>
            </w:r>
          </w:p>
        </w:tc>
      </w:tr>
      <w:tr w:rsidR="009D652F" w:rsidRPr="006A3FBF" w14:paraId="6B0FB23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27F5D09E"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w:t>
            </w:r>
          </w:p>
        </w:tc>
        <w:tc>
          <w:tcPr>
            <w:tcW w:w="7220" w:type="dxa"/>
            <w:tcBorders>
              <w:top w:val="nil"/>
              <w:left w:val="nil"/>
              <w:bottom w:val="single" w:sz="4" w:space="0" w:color="auto"/>
              <w:right w:val="single" w:sz="4" w:space="0" w:color="auto"/>
            </w:tcBorders>
            <w:shd w:val="clear" w:color="auto" w:fill="auto"/>
            <w:noWrap/>
            <w:vAlign w:val="bottom"/>
            <w:hideMark/>
          </w:tcPr>
          <w:p w14:paraId="1C5103E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((support or relevance) adj2 vector adj2 (machine$ or classification$)).</w:t>
            </w:r>
            <w:r>
              <w:rPr>
                <w:rFonts w:ascii="Calibri" w:eastAsia="Times New Roman" w:hAnsi="Calibri" w:cs="Calibri"/>
                <w:color w:val="000000"/>
                <w:lang w:eastAsia="en-GB"/>
              </w:rPr>
              <w:t>ti,ab,kw.</w:t>
            </w:r>
          </w:p>
        </w:tc>
      </w:tr>
      <w:tr w:rsidR="009D652F" w:rsidRPr="006A3FBF" w14:paraId="6EEBA52A"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4341CF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w:t>
            </w:r>
          </w:p>
        </w:tc>
        <w:tc>
          <w:tcPr>
            <w:tcW w:w="7220" w:type="dxa"/>
            <w:tcBorders>
              <w:top w:val="nil"/>
              <w:left w:val="nil"/>
              <w:bottom w:val="single" w:sz="4" w:space="0" w:color="auto"/>
              <w:right w:val="single" w:sz="4" w:space="0" w:color="auto"/>
            </w:tcBorders>
            <w:shd w:val="clear" w:color="auto" w:fill="auto"/>
            <w:noWrap/>
            <w:vAlign w:val="bottom"/>
            <w:hideMark/>
          </w:tcPr>
          <w:p w14:paraId="6E48838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"Neural Networks (Computer)"/</w:t>
            </w:r>
          </w:p>
        </w:tc>
      </w:tr>
      <w:tr w:rsidR="009D652F" w:rsidRPr="006A3FBF" w14:paraId="53A72D4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12C40A8"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9</w:t>
            </w:r>
          </w:p>
        </w:tc>
        <w:tc>
          <w:tcPr>
            <w:tcW w:w="7220" w:type="dxa"/>
            <w:tcBorders>
              <w:top w:val="nil"/>
              <w:left w:val="nil"/>
              <w:bottom w:val="single" w:sz="4" w:space="0" w:color="auto"/>
              <w:right w:val="single" w:sz="4" w:space="0" w:color="auto"/>
            </w:tcBorders>
            <w:shd w:val="clear" w:color="auto" w:fill="auto"/>
            <w:noWrap/>
            <w:vAlign w:val="bottom"/>
            <w:hideMark/>
          </w:tcPr>
          <w:p w14:paraId="79B9455E"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(neural adj2 network$).ti,ab,kw.</w:t>
            </w:r>
          </w:p>
        </w:tc>
      </w:tr>
      <w:tr w:rsidR="009D652F" w:rsidRPr="006A3FBF" w14:paraId="1776E42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F808F4D"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10</w:t>
            </w:r>
          </w:p>
        </w:tc>
        <w:tc>
          <w:tcPr>
            <w:tcW w:w="7220" w:type="dxa"/>
            <w:tcBorders>
              <w:top w:val="nil"/>
              <w:left w:val="nil"/>
              <w:bottom w:val="single" w:sz="4" w:space="0" w:color="auto"/>
              <w:right w:val="single" w:sz="4" w:space="0" w:color="auto"/>
            </w:tcBorders>
            <w:shd w:val="clear" w:color="auto" w:fill="auto"/>
            <w:noWrap/>
            <w:vAlign w:val="bottom"/>
            <w:hideMark/>
          </w:tcPr>
          <w:p w14:paraId="120651A5"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((statistical or "statistical-learning") adj1 (learn$ or strateg$)).ti,</w:t>
            </w:r>
            <w:r>
              <w:rPr>
                <w:rFonts w:ascii="Calibri" w:eastAsia="Times New Roman" w:hAnsi="Calibri" w:cs="Calibri"/>
                <w:color w:val="000000"/>
                <w:lang w:eastAsia="en-GB"/>
              </w:rPr>
              <w:t>ab.kw.</w:t>
            </w:r>
          </w:p>
        </w:tc>
      </w:tr>
      <w:tr w:rsidR="009D652F" w:rsidRPr="006A3FBF" w14:paraId="5D14D20C"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71BBBBB"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11</w:t>
            </w:r>
          </w:p>
        </w:tc>
        <w:tc>
          <w:tcPr>
            <w:tcW w:w="7220" w:type="dxa"/>
            <w:tcBorders>
              <w:top w:val="nil"/>
              <w:left w:val="nil"/>
              <w:bottom w:val="single" w:sz="4" w:space="0" w:color="auto"/>
              <w:right w:val="single" w:sz="4" w:space="0" w:color="auto"/>
            </w:tcBorders>
            <w:shd w:val="clear" w:color="auto" w:fill="auto"/>
            <w:noWrap/>
            <w:vAlign w:val="bottom"/>
            <w:hideMark/>
          </w:tcPr>
          <w:p w14:paraId="0DFDCFA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(multi adj2 layer adj1 perceptron$).ti,ab,kw.</w:t>
            </w:r>
          </w:p>
        </w:tc>
      </w:tr>
      <w:tr w:rsidR="009D652F" w:rsidRPr="006A3FBF" w14:paraId="4605E0C7"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2CB0B07"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12</w:t>
            </w:r>
          </w:p>
        </w:tc>
        <w:tc>
          <w:tcPr>
            <w:tcW w:w="7220" w:type="dxa"/>
            <w:tcBorders>
              <w:top w:val="nil"/>
              <w:left w:val="nil"/>
              <w:bottom w:val="single" w:sz="4" w:space="0" w:color="auto"/>
              <w:right w:val="single" w:sz="4" w:space="0" w:color="auto"/>
            </w:tcBorders>
            <w:shd w:val="clear" w:color="auto" w:fill="auto"/>
            <w:noWrap/>
            <w:vAlign w:val="bottom"/>
            <w:hideMark/>
          </w:tcPr>
          <w:p w14:paraId="4272B7E7"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(random adj2 forest$).ti,ab,kw.</w:t>
            </w:r>
          </w:p>
        </w:tc>
      </w:tr>
      <w:tr w:rsidR="009D652F" w:rsidRPr="006A3FBF" w14:paraId="2EBE552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A8D043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13</w:t>
            </w:r>
          </w:p>
        </w:tc>
        <w:tc>
          <w:tcPr>
            <w:tcW w:w="7220" w:type="dxa"/>
            <w:tcBorders>
              <w:top w:val="nil"/>
              <w:left w:val="nil"/>
              <w:bottom w:val="single" w:sz="4" w:space="0" w:color="auto"/>
              <w:right w:val="single" w:sz="4" w:space="0" w:color="auto"/>
            </w:tcBorders>
            <w:shd w:val="clear" w:color="auto" w:fill="auto"/>
            <w:noWrap/>
            <w:vAlign w:val="bottom"/>
            <w:hideMark/>
          </w:tcPr>
          <w:p w14:paraId="3EE693BB"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"RF classifi$".ti,ab,kw.</w:t>
            </w:r>
          </w:p>
        </w:tc>
      </w:tr>
      <w:tr w:rsidR="009D652F" w:rsidRPr="006A3FBF" w14:paraId="7D9D746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6D5D2C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14</w:t>
            </w:r>
          </w:p>
        </w:tc>
        <w:tc>
          <w:tcPr>
            <w:tcW w:w="7220" w:type="dxa"/>
            <w:tcBorders>
              <w:top w:val="nil"/>
              <w:left w:val="nil"/>
              <w:bottom w:val="single" w:sz="4" w:space="0" w:color="auto"/>
              <w:right w:val="single" w:sz="4" w:space="0" w:color="auto"/>
            </w:tcBorders>
            <w:shd w:val="clear" w:color="auto" w:fill="auto"/>
            <w:noWrap/>
            <w:vAlign w:val="bottom"/>
            <w:hideMark/>
          </w:tcPr>
          <w:p w14:paraId="6403B757"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(lasso or ridge or kernel or ensemble or bagging or bagged or bootstrap</w:t>
            </w:r>
            <w:r w:rsidRPr="0037710F">
              <w:rPr>
                <w:rFonts w:ascii="Calibri" w:eastAsia="Times New Roman" w:hAnsi="Calibri" w:cs="Calibri"/>
                <w:color w:val="000000"/>
                <w:lang w:eastAsia="en-GB"/>
              </w:rPr>
              <w:t>$ or boosting or boosted or fuzzy).ti,ab,kw.</w:t>
            </w:r>
          </w:p>
        </w:tc>
      </w:tr>
      <w:tr w:rsidR="009D652F" w:rsidRPr="006A3FBF" w14:paraId="3259CF1C"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C87473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15</w:t>
            </w:r>
          </w:p>
        </w:tc>
        <w:tc>
          <w:tcPr>
            <w:tcW w:w="7220" w:type="dxa"/>
            <w:tcBorders>
              <w:top w:val="nil"/>
              <w:left w:val="nil"/>
              <w:bottom w:val="single" w:sz="4" w:space="0" w:color="auto"/>
              <w:right w:val="single" w:sz="4" w:space="0" w:color="auto"/>
            </w:tcBorders>
            <w:shd w:val="clear" w:color="auto" w:fill="auto"/>
            <w:noWrap/>
            <w:vAlign w:val="bottom"/>
            <w:hideMark/>
          </w:tcPr>
          <w:p w14:paraId="0CC3106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((penali?ed or regulari?ed) adj2 ('likelihood' or 'regression' or 'logi</w:t>
            </w:r>
            <w:r w:rsidRPr="0037710F">
              <w:rPr>
                <w:rFonts w:ascii="Calibri" w:eastAsia="Times New Roman" w:hAnsi="Calibri" w:cs="Calibri"/>
                <w:color w:val="000000"/>
                <w:lang w:eastAsia="en-GB"/>
              </w:rPr>
              <w:t>stic' or 'survival' or 'estimat$' or 'function$' or 'method$' or 'least' or 'ensemble')).ti,ab,kw.</w:t>
            </w:r>
          </w:p>
        </w:tc>
      </w:tr>
      <w:tr w:rsidR="009D652F" w:rsidRPr="006A3FBF" w14:paraId="1B88A601"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A6B30C6"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16</w:t>
            </w:r>
          </w:p>
        </w:tc>
        <w:tc>
          <w:tcPr>
            <w:tcW w:w="7220" w:type="dxa"/>
            <w:tcBorders>
              <w:top w:val="nil"/>
              <w:left w:val="nil"/>
              <w:bottom w:val="single" w:sz="4" w:space="0" w:color="auto"/>
              <w:right w:val="single" w:sz="4" w:space="0" w:color="auto"/>
            </w:tcBorders>
            <w:shd w:val="clear" w:color="auto" w:fill="auto"/>
            <w:noWrap/>
            <w:vAlign w:val="bottom"/>
            <w:hideMark/>
          </w:tcPr>
          <w:p w14:paraId="3D3B005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((classification or regression or estimation or decision) adj2 tree$).t</w:t>
            </w:r>
            <w:r>
              <w:rPr>
                <w:rFonts w:ascii="Calibri" w:eastAsia="Times New Roman" w:hAnsi="Calibri" w:cs="Calibri"/>
                <w:color w:val="000000"/>
                <w:lang w:eastAsia="en-GB"/>
              </w:rPr>
              <w:t>i,ab,kw.</w:t>
            </w:r>
          </w:p>
        </w:tc>
      </w:tr>
      <w:tr w:rsidR="009D652F" w:rsidRPr="006A3FBF" w14:paraId="100FD690"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455482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17</w:t>
            </w:r>
          </w:p>
        </w:tc>
        <w:tc>
          <w:tcPr>
            <w:tcW w:w="7220" w:type="dxa"/>
            <w:tcBorders>
              <w:top w:val="nil"/>
              <w:left w:val="nil"/>
              <w:bottom w:val="single" w:sz="4" w:space="0" w:color="auto"/>
              <w:right w:val="single" w:sz="4" w:space="0" w:color="auto"/>
            </w:tcBorders>
            <w:shd w:val="clear" w:color="auto" w:fill="auto"/>
            <w:noWrap/>
            <w:vAlign w:val="bottom"/>
            <w:hideMark/>
          </w:tcPr>
          <w:p w14:paraId="36BD1D0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(bayes$ adj1 network$).ti,ab,kw.</w:t>
            </w:r>
          </w:p>
        </w:tc>
      </w:tr>
      <w:tr w:rsidR="009D652F" w:rsidRPr="006A3FBF" w14:paraId="58C05FB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AA7023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18</w:t>
            </w:r>
          </w:p>
        </w:tc>
        <w:tc>
          <w:tcPr>
            <w:tcW w:w="7220" w:type="dxa"/>
            <w:tcBorders>
              <w:top w:val="nil"/>
              <w:left w:val="nil"/>
              <w:bottom w:val="single" w:sz="4" w:space="0" w:color="auto"/>
              <w:right w:val="single" w:sz="4" w:space="0" w:color="auto"/>
            </w:tcBorders>
            <w:shd w:val="clear" w:color="auto" w:fill="auto"/>
            <w:noWrap/>
            <w:vAlign w:val="bottom"/>
            <w:hideMark/>
          </w:tcPr>
          <w:p w14:paraId="040BEE44"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(nearest adj1 neighbo?r).ti,ab,kw.</w:t>
            </w:r>
          </w:p>
        </w:tc>
      </w:tr>
      <w:tr w:rsidR="009D652F" w:rsidRPr="006A3FBF" w14:paraId="485C1D81"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7251ED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19</w:t>
            </w:r>
          </w:p>
        </w:tc>
        <w:tc>
          <w:tcPr>
            <w:tcW w:w="7220" w:type="dxa"/>
            <w:tcBorders>
              <w:top w:val="nil"/>
              <w:left w:val="nil"/>
              <w:bottom w:val="single" w:sz="4" w:space="0" w:color="auto"/>
              <w:right w:val="single" w:sz="4" w:space="0" w:color="auto"/>
            </w:tcBorders>
            <w:shd w:val="clear" w:color="auto" w:fill="auto"/>
            <w:noWrap/>
            <w:vAlign w:val="bottom"/>
            <w:hideMark/>
          </w:tcPr>
          <w:p w14:paraId="161BECE7"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(k-nearest adj1 neighbo?r).ti,ab,kw.</w:t>
            </w:r>
          </w:p>
        </w:tc>
      </w:tr>
      <w:tr w:rsidR="009D652F" w:rsidRPr="006A3FBF" w14:paraId="35C6C22B"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0E4B19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20</w:t>
            </w:r>
          </w:p>
        </w:tc>
        <w:tc>
          <w:tcPr>
            <w:tcW w:w="7220" w:type="dxa"/>
            <w:tcBorders>
              <w:top w:val="nil"/>
              <w:left w:val="nil"/>
              <w:bottom w:val="single" w:sz="4" w:space="0" w:color="auto"/>
              <w:right w:val="single" w:sz="4" w:space="0" w:color="auto"/>
            </w:tcBorders>
            <w:shd w:val="clear" w:color="auto" w:fill="auto"/>
            <w:noWrap/>
            <w:vAlign w:val="bottom"/>
            <w:hideMark/>
          </w:tcPr>
          <w:p w14:paraId="307C90AB"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(elastic adj1 net).ti,ab,kw.</w:t>
            </w:r>
          </w:p>
        </w:tc>
      </w:tr>
      <w:tr w:rsidR="009D652F" w:rsidRPr="006A3FBF" w14:paraId="5798C851"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2513C17E"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21</w:t>
            </w:r>
          </w:p>
        </w:tc>
        <w:tc>
          <w:tcPr>
            <w:tcW w:w="7220" w:type="dxa"/>
            <w:tcBorders>
              <w:top w:val="nil"/>
              <w:left w:val="nil"/>
              <w:bottom w:val="single" w:sz="4" w:space="0" w:color="auto"/>
              <w:right w:val="single" w:sz="4" w:space="0" w:color="auto"/>
            </w:tcBorders>
            <w:shd w:val="clear" w:color="auto" w:fill="auto"/>
            <w:noWrap/>
            <w:vAlign w:val="bottom"/>
            <w:hideMark/>
          </w:tcPr>
          <w:p w14:paraId="01F2B86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(naive adj1 bayes$).ti,ab,kw.</w:t>
            </w:r>
          </w:p>
        </w:tc>
      </w:tr>
      <w:tr w:rsidR="009D652F" w:rsidRPr="006A3FBF" w14:paraId="68270980"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B49AC2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22</w:t>
            </w:r>
          </w:p>
        </w:tc>
        <w:tc>
          <w:tcPr>
            <w:tcW w:w="7220" w:type="dxa"/>
            <w:tcBorders>
              <w:top w:val="nil"/>
              <w:left w:val="nil"/>
              <w:bottom w:val="single" w:sz="4" w:space="0" w:color="auto"/>
              <w:right w:val="single" w:sz="4" w:space="0" w:color="auto"/>
            </w:tcBorders>
            <w:shd w:val="clear" w:color="auto" w:fill="auto"/>
            <w:noWrap/>
            <w:vAlign w:val="bottom"/>
            <w:hideMark/>
          </w:tcPr>
          <w:p w14:paraId="745E7E7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((nonparametric or "non-parametric") adj2 (model$ or analys$)).ti,ab,kw</w:t>
            </w:r>
          </w:p>
        </w:tc>
      </w:tr>
      <w:tr w:rsidR="009D652F" w:rsidRPr="006A3FBF" w14:paraId="45C236A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CA46504"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23</w:t>
            </w:r>
          </w:p>
        </w:tc>
        <w:tc>
          <w:tcPr>
            <w:tcW w:w="7220" w:type="dxa"/>
            <w:tcBorders>
              <w:top w:val="nil"/>
              <w:left w:val="nil"/>
              <w:bottom w:val="single" w:sz="4" w:space="0" w:color="auto"/>
              <w:right w:val="single" w:sz="4" w:space="0" w:color="auto"/>
            </w:tcBorders>
            <w:shd w:val="clear" w:color="auto" w:fill="auto"/>
            <w:noWrap/>
            <w:vAlign w:val="bottom"/>
            <w:hideMark/>
          </w:tcPr>
          <w:p w14:paraId="09C42B6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(KNN or ANN or ANNs or RNN or RF or SVM or NB or CART or DT or MLP).ti,</w:t>
            </w:r>
            <w:r>
              <w:rPr>
                <w:rFonts w:ascii="Calibri" w:eastAsia="Times New Roman" w:hAnsi="Calibri" w:cs="Calibri"/>
                <w:color w:val="000000"/>
                <w:lang w:eastAsia="en-GB"/>
              </w:rPr>
              <w:t>ab,kw.</w:t>
            </w:r>
          </w:p>
        </w:tc>
      </w:tr>
      <w:tr w:rsidR="009D652F" w:rsidRPr="006A3FBF" w14:paraId="30A008FC"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6B6B66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24</w:t>
            </w:r>
          </w:p>
        </w:tc>
        <w:tc>
          <w:tcPr>
            <w:tcW w:w="7220" w:type="dxa"/>
            <w:tcBorders>
              <w:top w:val="nil"/>
              <w:left w:val="nil"/>
              <w:bottom w:val="single" w:sz="4" w:space="0" w:color="auto"/>
              <w:right w:val="single" w:sz="4" w:space="0" w:color="auto"/>
            </w:tcBorders>
            <w:shd w:val="clear" w:color="auto" w:fill="auto"/>
            <w:noWrap/>
            <w:vAlign w:val="bottom"/>
            <w:hideMark/>
          </w:tcPr>
          <w:p w14:paraId="6A7F4C53"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or/1-23</w:t>
            </w:r>
          </w:p>
        </w:tc>
      </w:tr>
      <w:tr w:rsidR="009D652F" w:rsidRPr="006A3FBF" w14:paraId="318B7841"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685768E"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25</w:t>
            </w:r>
          </w:p>
        </w:tc>
        <w:tc>
          <w:tcPr>
            <w:tcW w:w="7220" w:type="dxa"/>
            <w:tcBorders>
              <w:top w:val="nil"/>
              <w:left w:val="nil"/>
              <w:bottom w:val="single" w:sz="4" w:space="0" w:color="auto"/>
              <w:right w:val="single" w:sz="4" w:space="0" w:color="auto"/>
            </w:tcBorders>
            <w:shd w:val="clear" w:color="auto" w:fill="auto"/>
            <w:noWrap/>
            <w:vAlign w:val="bottom"/>
            <w:hideMark/>
          </w:tcPr>
          <w:p w14:paraId="4921D23E"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Logistic Models/</w:t>
            </w:r>
          </w:p>
        </w:tc>
      </w:tr>
      <w:tr w:rsidR="009D652F" w:rsidRPr="006A3FBF" w14:paraId="421F662F"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E912663"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26</w:t>
            </w:r>
          </w:p>
        </w:tc>
        <w:tc>
          <w:tcPr>
            <w:tcW w:w="7220" w:type="dxa"/>
            <w:tcBorders>
              <w:top w:val="nil"/>
              <w:left w:val="nil"/>
              <w:bottom w:val="single" w:sz="4" w:space="0" w:color="auto"/>
              <w:right w:val="single" w:sz="4" w:space="0" w:color="auto"/>
            </w:tcBorders>
            <w:shd w:val="clear" w:color="auto" w:fill="auto"/>
            <w:noWrap/>
            <w:vAlign w:val="bottom"/>
            <w:hideMark/>
          </w:tcPr>
          <w:p w14:paraId="317A767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(logistic adj2 (model$ or regression)).ti,ab,kw.</w:t>
            </w:r>
          </w:p>
        </w:tc>
      </w:tr>
      <w:tr w:rsidR="009D652F" w:rsidRPr="006A3FBF" w14:paraId="352073B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99FE05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27</w:t>
            </w:r>
          </w:p>
        </w:tc>
        <w:tc>
          <w:tcPr>
            <w:tcW w:w="7220" w:type="dxa"/>
            <w:tcBorders>
              <w:top w:val="nil"/>
              <w:left w:val="nil"/>
              <w:bottom w:val="single" w:sz="4" w:space="0" w:color="auto"/>
              <w:right w:val="single" w:sz="4" w:space="0" w:color="auto"/>
            </w:tcBorders>
            <w:shd w:val="clear" w:color="auto" w:fill="auto"/>
            <w:noWrap/>
            <w:vAlign w:val="bottom"/>
            <w:hideMark/>
          </w:tcPr>
          <w:p w14:paraId="156DECC1"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Linear Models/</w:t>
            </w:r>
          </w:p>
        </w:tc>
      </w:tr>
      <w:tr w:rsidR="009D652F" w:rsidRPr="006A3FBF" w14:paraId="5ECEDED7"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90417E3"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28</w:t>
            </w:r>
          </w:p>
        </w:tc>
        <w:tc>
          <w:tcPr>
            <w:tcW w:w="7220" w:type="dxa"/>
            <w:tcBorders>
              <w:top w:val="nil"/>
              <w:left w:val="nil"/>
              <w:bottom w:val="single" w:sz="4" w:space="0" w:color="auto"/>
              <w:right w:val="single" w:sz="4" w:space="0" w:color="auto"/>
            </w:tcBorders>
            <w:shd w:val="clear" w:color="auto" w:fill="auto"/>
            <w:noWrap/>
            <w:vAlign w:val="bottom"/>
            <w:hideMark/>
          </w:tcPr>
          <w:p w14:paraId="6D15223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(linear adj2 (model$ or regression)).ti,ab,kw.</w:t>
            </w:r>
          </w:p>
        </w:tc>
      </w:tr>
      <w:tr w:rsidR="009D652F" w:rsidRPr="006A3FBF" w14:paraId="3C802F8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147BAF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29</w:t>
            </w:r>
          </w:p>
        </w:tc>
        <w:tc>
          <w:tcPr>
            <w:tcW w:w="7220" w:type="dxa"/>
            <w:tcBorders>
              <w:top w:val="nil"/>
              <w:left w:val="nil"/>
              <w:bottom w:val="single" w:sz="4" w:space="0" w:color="auto"/>
              <w:right w:val="single" w:sz="4" w:space="0" w:color="auto"/>
            </w:tcBorders>
            <w:shd w:val="clear" w:color="auto" w:fill="auto"/>
            <w:noWrap/>
            <w:vAlign w:val="bottom"/>
            <w:hideMark/>
          </w:tcPr>
          <w:p w14:paraId="77DB8B6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(proportion$ adj2 odds adj2 regression).ti,ab,kw.</w:t>
            </w:r>
          </w:p>
        </w:tc>
      </w:tr>
      <w:tr w:rsidR="009D652F" w:rsidRPr="006A3FBF" w14:paraId="2E93D63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CAB6B84"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30</w:t>
            </w:r>
          </w:p>
        </w:tc>
        <w:tc>
          <w:tcPr>
            <w:tcW w:w="7220" w:type="dxa"/>
            <w:tcBorders>
              <w:top w:val="nil"/>
              <w:left w:val="nil"/>
              <w:bottom w:val="single" w:sz="4" w:space="0" w:color="auto"/>
              <w:right w:val="single" w:sz="4" w:space="0" w:color="auto"/>
            </w:tcBorders>
            <w:shd w:val="clear" w:color="auto" w:fill="auto"/>
            <w:noWrap/>
            <w:vAlign w:val="bottom"/>
            <w:hideMark/>
          </w:tcPr>
          <w:p w14:paraId="77485FE5"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Least-Squares Analysis/</w:t>
            </w:r>
          </w:p>
        </w:tc>
      </w:tr>
      <w:tr w:rsidR="009D652F" w:rsidRPr="006A3FBF" w14:paraId="45AC387B"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788CF55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31</w:t>
            </w:r>
          </w:p>
        </w:tc>
        <w:tc>
          <w:tcPr>
            <w:tcW w:w="7220" w:type="dxa"/>
            <w:tcBorders>
              <w:top w:val="nil"/>
              <w:left w:val="nil"/>
              <w:bottom w:val="single" w:sz="4" w:space="0" w:color="auto"/>
              <w:right w:val="single" w:sz="4" w:space="0" w:color="auto"/>
            </w:tcBorders>
            <w:shd w:val="clear" w:color="auto" w:fill="auto"/>
            <w:noWrap/>
            <w:vAlign w:val="bottom"/>
            <w:hideMark/>
          </w:tcPr>
          <w:p w14:paraId="52ACAE6C"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(least adj2 square$).ti,ab,kw.</w:t>
            </w:r>
          </w:p>
        </w:tc>
      </w:tr>
      <w:tr w:rsidR="009D652F" w:rsidRPr="006A3FBF" w14:paraId="023EBD3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7AFF98F4"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32</w:t>
            </w:r>
          </w:p>
        </w:tc>
        <w:tc>
          <w:tcPr>
            <w:tcW w:w="7220" w:type="dxa"/>
            <w:tcBorders>
              <w:top w:val="nil"/>
              <w:left w:val="nil"/>
              <w:bottom w:val="single" w:sz="4" w:space="0" w:color="auto"/>
              <w:right w:val="single" w:sz="4" w:space="0" w:color="auto"/>
            </w:tcBorders>
            <w:shd w:val="clear" w:color="auto" w:fill="auto"/>
            <w:noWrap/>
            <w:vAlign w:val="bottom"/>
            <w:hideMark/>
          </w:tcPr>
          <w:p w14:paraId="3A9BB36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Survival Analysis/</w:t>
            </w:r>
          </w:p>
        </w:tc>
      </w:tr>
      <w:tr w:rsidR="009D652F" w:rsidRPr="006A3FBF" w14:paraId="09EDFAB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BED499C"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lastRenderedPageBreak/>
              <w:t>33</w:t>
            </w:r>
          </w:p>
        </w:tc>
        <w:tc>
          <w:tcPr>
            <w:tcW w:w="7220" w:type="dxa"/>
            <w:tcBorders>
              <w:top w:val="nil"/>
              <w:left w:val="nil"/>
              <w:bottom w:val="single" w:sz="4" w:space="0" w:color="auto"/>
              <w:right w:val="single" w:sz="4" w:space="0" w:color="auto"/>
            </w:tcBorders>
            <w:shd w:val="clear" w:color="auto" w:fill="auto"/>
            <w:noWrap/>
            <w:vAlign w:val="bottom"/>
            <w:hideMark/>
          </w:tcPr>
          <w:p w14:paraId="192DB7B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(survival adj1 (analys$ or model$)).ti,ab,kw.</w:t>
            </w:r>
          </w:p>
        </w:tc>
      </w:tr>
      <w:tr w:rsidR="009D652F" w:rsidRPr="006A3FBF" w14:paraId="53C80D8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9B81567"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34</w:t>
            </w:r>
          </w:p>
        </w:tc>
        <w:tc>
          <w:tcPr>
            <w:tcW w:w="7220" w:type="dxa"/>
            <w:tcBorders>
              <w:top w:val="nil"/>
              <w:left w:val="nil"/>
              <w:bottom w:val="single" w:sz="4" w:space="0" w:color="auto"/>
              <w:right w:val="single" w:sz="4" w:space="0" w:color="auto"/>
            </w:tcBorders>
            <w:shd w:val="clear" w:color="auto" w:fill="auto"/>
            <w:noWrap/>
            <w:vAlign w:val="bottom"/>
            <w:hideMark/>
          </w:tcPr>
          <w:p w14:paraId="7619B880"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Proportional Hazards Models/</w:t>
            </w:r>
          </w:p>
        </w:tc>
      </w:tr>
      <w:tr w:rsidR="009D652F" w:rsidRPr="006A3FBF" w14:paraId="3D5B535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CBB8D7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35</w:t>
            </w:r>
          </w:p>
        </w:tc>
        <w:tc>
          <w:tcPr>
            <w:tcW w:w="7220" w:type="dxa"/>
            <w:tcBorders>
              <w:top w:val="nil"/>
              <w:left w:val="nil"/>
              <w:bottom w:val="single" w:sz="4" w:space="0" w:color="auto"/>
              <w:right w:val="single" w:sz="4" w:space="0" w:color="auto"/>
            </w:tcBorders>
            <w:shd w:val="clear" w:color="auto" w:fill="auto"/>
            <w:noWrap/>
            <w:vAlign w:val="bottom"/>
            <w:hideMark/>
          </w:tcPr>
          <w:p w14:paraId="022E17FF"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(proportional adj1 hazard$).ti,ab,kw.</w:t>
            </w:r>
          </w:p>
        </w:tc>
      </w:tr>
      <w:tr w:rsidR="009D652F" w:rsidRPr="006A3FBF" w14:paraId="1FF13C24"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739962A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36</w:t>
            </w:r>
          </w:p>
        </w:tc>
        <w:tc>
          <w:tcPr>
            <w:tcW w:w="7220" w:type="dxa"/>
            <w:tcBorders>
              <w:top w:val="nil"/>
              <w:left w:val="nil"/>
              <w:bottom w:val="single" w:sz="4" w:space="0" w:color="auto"/>
              <w:right w:val="single" w:sz="4" w:space="0" w:color="auto"/>
            </w:tcBorders>
            <w:shd w:val="clear" w:color="auto" w:fill="auto"/>
            <w:noWrap/>
            <w:vAlign w:val="bottom"/>
            <w:hideMark/>
          </w:tcPr>
          <w:p w14:paraId="5E69E7DF"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((cox or parametric) adj1 (regression or model$)).ti,ab,kw.</w:t>
            </w:r>
          </w:p>
        </w:tc>
      </w:tr>
      <w:tr w:rsidR="009D652F" w:rsidRPr="006A3FBF" w14:paraId="28D6DC1D"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49CFAA9"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37</w:t>
            </w:r>
          </w:p>
        </w:tc>
        <w:tc>
          <w:tcPr>
            <w:tcW w:w="7220" w:type="dxa"/>
            <w:tcBorders>
              <w:top w:val="nil"/>
              <w:left w:val="nil"/>
              <w:bottom w:val="single" w:sz="4" w:space="0" w:color="auto"/>
              <w:right w:val="single" w:sz="4" w:space="0" w:color="auto"/>
            </w:tcBorders>
            <w:shd w:val="clear" w:color="auto" w:fill="auto"/>
            <w:noWrap/>
            <w:vAlign w:val="bottom"/>
            <w:hideMark/>
          </w:tcPr>
          <w:p w14:paraId="1548E71C"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(semi adj2 parametric adj1 (regression or model$)).ti,ab,kw.</w:t>
            </w:r>
          </w:p>
        </w:tc>
      </w:tr>
      <w:tr w:rsidR="009D652F" w:rsidRPr="006A3FBF" w14:paraId="2ECEEDDE"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5C70E3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38</w:t>
            </w:r>
          </w:p>
        </w:tc>
        <w:tc>
          <w:tcPr>
            <w:tcW w:w="7220" w:type="dxa"/>
            <w:tcBorders>
              <w:top w:val="nil"/>
              <w:left w:val="nil"/>
              <w:bottom w:val="single" w:sz="4" w:space="0" w:color="auto"/>
              <w:right w:val="single" w:sz="4" w:space="0" w:color="auto"/>
            </w:tcBorders>
            <w:shd w:val="clear" w:color="auto" w:fill="auto"/>
            <w:noWrap/>
            <w:vAlign w:val="bottom"/>
            <w:hideMark/>
          </w:tcPr>
          <w:p w14:paraId="5078367B"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Disease-Free Survival/</w:t>
            </w:r>
          </w:p>
        </w:tc>
      </w:tr>
      <w:tr w:rsidR="009D652F" w:rsidRPr="006A3FBF" w14:paraId="6FF9201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38827AD"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39</w:t>
            </w:r>
          </w:p>
        </w:tc>
        <w:tc>
          <w:tcPr>
            <w:tcW w:w="7220" w:type="dxa"/>
            <w:tcBorders>
              <w:top w:val="nil"/>
              <w:left w:val="nil"/>
              <w:bottom w:val="single" w:sz="4" w:space="0" w:color="auto"/>
              <w:right w:val="single" w:sz="4" w:space="0" w:color="auto"/>
            </w:tcBorders>
            <w:shd w:val="clear" w:color="auto" w:fill="auto"/>
            <w:noWrap/>
            <w:vAlign w:val="bottom"/>
            <w:hideMark/>
          </w:tcPr>
          <w:p w14:paraId="2967035F"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Progression-Free Survival/</w:t>
            </w:r>
          </w:p>
        </w:tc>
      </w:tr>
      <w:tr w:rsidR="009D652F" w:rsidRPr="006A3FBF" w14:paraId="02E6DA5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350DE4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40</w:t>
            </w:r>
          </w:p>
        </w:tc>
        <w:tc>
          <w:tcPr>
            <w:tcW w:w="7220" w:type="dxa"/>
            <w:tcBorders>
              <w:top w:val="nil"/>
              <w:left w:val="nil"/>
              <w:bottom w:val="single" w:sz="4" w:space="0" w:color="auto"/>
              <w:right w:val="single" w:sz="4" w:space="0" w:color="auto"/>
            </w:tcBorders>
            <w:shd w:val="clear" w:color="auto" w:fill="auto"/>
            <w:noWrap/>
            <w:vAlign w:val="bottom"/>
            <w:hideMark/>
          </w:tcPr>
          <w:p w14:paraId="106B63F8"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((disease or progression or event) adj2 free adj1 survival).ti,ab,kw.</w:t>
            </w:r>
          </w:p>
        </w:tc>
      </w:tr>
      <w:tr w:rsidR="009D652F" w:rsidRPr="006A3FBF" w14:paraId="450BA92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D530CC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41</w:t>
            </w:r>
          </w:p>
        </w:tc>
        <w:tc>
          <w:tcPr>
            <w:tcW w:w="7220" w:type="dxa"/>
            <w:tcBorders>
              <w:top w:val="nil"/>
              <w:left w:val="nil"/>
              <w:bottom w:val="single" w:sz="4" w:space="0" w:color="auto"/>
              <w:right w:val="single" w:sz="4" w:space="0" w:color="auto"/>
            </w:tcBorders>
            <w:shd w:val="clear" w:color="auto" w:fill="auto"/>
            <w:noWrap/>
            <w:vAlign w:val="bottom"/>
            <w:hideMark/>
          </w:tcPr>
          <w:p w14:paraId="261D1718"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(overall adj1 survival).ti,ab,kw.</w:t>
            </w:r>
          </w:p>
        </w:tc>
      </w:tr>
      <w:tr w:rsidR="009D652F" w:rsidRPr="006A3FBF" w14:paraId="45FCB4EC"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B64B779"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42</w:t>
            </w:r>
          </w:p>
        </w:tc>
        <w:tc>
          <w:tcPr>
            <w:tcW w:w="7220" w:type="dxa"/>
            <w:tcBorders>
              <w:top w:val="nil"/>
              <w:left w:val="nil"/>
              <w:bottom w:val="single" w:sz="4" w:space="0" w:color="auto"/>
              <w:right w:val="single" w:sz="4" w:space="0" w:color="auto"/>
            </w:tcBorders>
            <w:shd w:val="clear" w:color="auto" w:fill="auto"/>
            <w:noWrap/>
            <w:vAlign w:val="bottom"/>
            <w:hideMark/>
          </w:tcPr>
          <w:p w14:paraId="11DF7E4B"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or/25-41</w:t>
            </w:r>
          </w:p>
        </w:tc>
      </w:tr>
      <w:tr w:rsidR="009D652F" w:rsidRPr="006A3FBF" w14:paraId="1A30D05A"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AB5ABFC"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43</w:t>
            </w:r>
          </w:p>
        </w:tc>
        <w:tc>
          <w:tcPr>
            <w:tcW w:w="7220" w:type="dxa"/>
            <w:tcBorders>
              <w:top w:val="nil"/>
              <w:left w:val="nil"/>
              <w:bottom w:val="single" w:sz="4" w:space="0" w:color="auto"/>
              <w:right w:val="single" w:sz="4" w:space="0" w:color="auto"/>
            </w:tcBorders>
            <w:shd w:val="clear" w:color="auto" w:fill="auto"/>
            <w:noWrap/>
            <w:vAlign w:val="bottom"/>
            <w:hideMark/>
          </w:tcPr>
          <w:p w14:paraId="7693ABC0"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24 and  42</w:t>
            </w:r>
          </w:p>
        </w:tc>
      </w:tr>
      <w:tr w:rsidR="009D652F" w:rsidRPr="006A3FBF" w14:paraId="26222C9B"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DB5B9E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44</w:t>
            </w:r>
          </w:p>
        </w:tc>
        <w:tc>
          <w:tcPr>
            <w:tcW w:w="7220" w:type="dxa"/>
            <w:tcBorders>
              <w:top w:val="nil"/>
              <w:left w:val="nil"/>
              <w:bottom w:val="single" w:sz="4" w:space="0" w:color="auto"/>
              <w:right w:val="single" w:sz="4" w:space="0" w:color="auto"/>
            </w:tcBorders>
            <w:shd w:val="clear" w:color="auto" w:fill="auto"/>
            <w:noWrap/>
            <w:vAlign w:val="bottom"/>
            <w:hideMark/>
          </w:tcPr>
          <w:p w14:paraId="1FA8B48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24 or 43</w:t>
            </w:r>
          </w:p>
        </w:tc>
      </w:tr>
      <w:tr w:rsidR="009D652F" w:rsidRPr="006A3FBF" w14:paraId="2019399A"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8160B6E"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45</w:t>
            </w:r>
          </w:p>
        </w:tc>
        <w:tc>
          <w:tcPr>
            <w:tcW w:w="7220" w:type="dxa"/>
            <w:tcBorders>
              <w:top w:val="nil"/>
              <w:left w:val="nil"/>
              <w:bottom w:val="single" w:sz="4" w:space="0" w:color="auto"/>
              <w:right w:val="single" w:sz="4" w:space="0" w:color="auto"/>
            </w:tcBorders>
            <w:shd w:val="clear" w:color="auto" w:fill="auto"/>
            <w:noWrap/>
            <w:vAlign w:val="bottom"/>
            <w:hideMark/>
          </w:tcPr>
          <w:p w14:paraId="50C13BA0"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exp Neoplasms/</w:t>
            </w:r>
          </w:p>
        </w:tc>
      </w:tr>
      <w:tr w:rsidR="009D652F" w:rsidRPr="006A3FBF" w14:paraId="5C4E5914"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2C37F9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46</w:t>
            </w:r>
          </w:p>
        </w:tc>
        <w:tc>
          <w:tcPr>
            <w:tcW w:w="7220" w:type="dxa"/>
            <w:tcBorders>
              <w:top w:val="nil"/>
              <w:left w:val="nil"/>
              <w:bottom w:val="single" w:sz="4" w:space="0" w:color="auto"/>
              <w:right w:val="single" w:sz="4" w:space="0" w:color="auto"/>
            </w:tcBorders>
            <w:shd w:val="clear" w:color="auto" w:fill="auto"/>
            <w:noWrap/>
            <w:vAlign w:val="bottom"/>
            <w:hideMark/>
          </w:tcPr>
          <w:p w14:paraId="2101C77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(cancer$ or tumour$ or tumor$ or carcinoma$ or malignan$ or neoplas$ or</w:t>
            </w:r>
            <w:r>
              <w:rPr>
                <w:rFonts w:ascii="Calibri" w:eastAsia="Times New Roman" w:hAnsi="Calibri" w:cs="Calibri"/>
                <w:color w:val="000000"/>
                <w:lang w:eastAsia="en-GB"/>
              </w:rPr>
              <w:t xml:space="preserve"> </w:t>
            </w:r>
            <w:r w:rsidRPr="000301A6">
              <w:rPr>
                <w:rFonts w:ascii="Calibri" w:eastAsia="Times New Roman" w:hAnsi="Calibri" w:cs="Calibri"/>
                <w:color w:val="000000"/>
                <w:lang w:eastAsia="en-GB"/>
              </w:rPr>
              <w:t>sarcoma$ or adenocarcinoma$ or carcinogen$ or metasta$ or oncolog$).ti,ab,kw.</w:t>
            </w:r>
          </w:p>
        </w:tc>
      </w:tr>
      <w:tr w:rsidR="009D652F" w:rsidRPr="006A3FBF" w14:paraId="18556B7F"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4BC493B"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47</w:t>
            </w:r>
          </w:p>
        </w:tc>
        <w:tc>
          <w:tcPr>
            <w:tcW w:w="7220" w:type="dxa"/>
            <w:tcBorders>
              <w:top w:val="nil"/>
              <w:left w:val="nil"/>
              <w:bottom w:val="single" w:sz="4" w:space="0" w:color="auto"/>
              <w:right w:val="single" w:sz="4" w:space="0" w:color="auto"/>
            </w:tcBorders>
            <w:shd w:val="clear" w:color="auto" w:fill="auto"/>
            <w:noWrap/>
            <w:vAlign w:val="bottom"/>
            <w:hideMark/>
          </w:tcPr>
          <w:p w14:paraId="065224AB"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or/45-46</w:t>
            </w:r>
          </w:p>
        </w:tc>
      </w:tr>
      <w:tr w:rsidR="009D652F" w:rsidRPr="006A3FBF" w14:paraId="4363142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2009A388"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48</w:t>
            </w:r>
          </w:p>
        </w:tc>
        <w:tc>
          <w:tcPr>
            <w:tcW w:w="7220" w:type="dxa"/>
            <w:tcBorders>
              <w:top w:val="nil"/>
              <w:left w:val="nil"/>
              <w:bottom w:val="single" w:sz="4" w:space="0" w:color="auto"/>
              <w:right w:val="single" w:sz="4" w:space="0" w:color="auto"/>
            </w:tcBorders>
            <w:shd w:val="clear" w:color="auto" w:fill="auto"/>
            <w:noWrap/>
            <w:vAlign w:val="bottom"/>
            <w:hideMark/>
          </w:tcPr>
          <w:p w14:paraId="2CD35B52"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Prognosis/</w:t>
            </w:r>
          </w:p>
        </w:tc>
      </w:tr>
      <w:tr w:rsidR="009D652F" w:rsidRPr="006A3FBF" w14:paraId="2F0A7E3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B0830CC"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49</w:t>
            </w:r>
          </w:p>
        </w:tc>
        <w:tc>
          <w:tcPr>
            <w:tcW w:w="7220" w:type="dxa"/>
            <w:tcBorders>
              <w:top w:val="nil"/>
              <w:left w:val="nil"/>
              <w:bottom w:val="single" w:sz="4" w:space="0" w:color="auto"/>
              <w:right w:val="single" w:sz="4" w:space="0" w:color="auto"/>
            </w:tcBorders>
            <w:shd w:val="clear" w:color="auto" w:fill="auto"/>
            <w:noWrap/>
            <w:vAlign w:val="bottom"/>
            <w:hideMark/>
          </w:tcPr>
          <w:p w14:paraId="1444D0C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(prognos$ adj1 (modelling or modeling or model or models or predict$ or</w:t>
            </w:r>
            <w:r>
              <w:rPr>
                <w:rFonts w:ascii="Calibri" w:eastAsia="Times New Roman" w:hAnsi="Calibri" w:cs="Calibri"/>
                <w:color w:val="000000"/>
                <w:lang w:eastAsia="en-GB"/>
              </w:rPr>
              <w:t xml:space="preserve"> </w:t>
            </w:r>
            <w:r w:rsidRPr="000301A6">
              <w:rPr>
                <w:rFonts w:ascii="Calibri" w:eastAsia="Times New Roman" w:hAnsi="Calibri" w:cs="Calibri"/>
                <w:color w:val="000000"/>
                <w:lang w:eastAsia="en-GB"/>
              </w:rPr>
              <w:t>index or performance or nomogram or tools or ability or accuracy or probability or risk or factor$ or marker$ or biomarker$)).ti,ab,kw.</w:t>
            </w:r>
          </w:p>
        </w:tc>
      </w:tr>
      <w:tr w:rsidR="009D652F" w:rsidRPr="006A3FBF" w14:paraId="454D4B1B"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09903F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50</w:t>
            </w:r>
          </w:p>
        </w:tc>
        <w:tc>
          <w:tcPr>
            <w:tcW w:w="7220" w:type="dxa"/>
            <w:tcBorders>
              <w:top w:val="nil"/>
              <w:left w:val="nil"/>
              <w:bottom w:val="single" w:sz="4" w:space="0" w:color="auto"/>
              <w:right w:val="single" w:sz="4" w:space="0" w:color="auto"/>
            </w:tcBorders>
            <w:shd w:val="clear" w:color="auto" w:fill="auto"/>
            <w:noWrap/>
            <w:vAlign w:val="bottom"/>
            <w:hideMark/>
          </w:tcPr>
          <w:p w14:paraId="4939B122"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"risk model$".ti,ab,kw.</w:t>
            </w:r>
          </w:p>
        </w:tc>
      </w:tr>
      <w:tr w:rsidR="009D652F" w:rsidRPr="006A3FBF" w14:paraId="77D68FCB"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14717E9"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51</w:t>
            </w:r>
          </w:p>
        </w:tc>
        <w:tc>
          <w:tcPr>
            <w:tcW w:w="7220" w:type="dxa"/>
            <w:tcBorders>
              <w:top w:val="nil"/>
              <w:left w:val="nil"/>
              <w:bottom w:val="single" w:sz="4" w:space="0" w:color="auto"/>
              <w:right w:val="single" w:sz="4" w:space="0" w:color="auto"/>
            </w:tcBorders>
            <w:shd w:val="clear" w:color="auto" w:fill="auto"/>
            <w:noWrap/>
            <w:vAlign w:val="bottom"/>
            <w:hideMark/>
          </w:tcPr>
          <w:p w14:paraId="5F6D1BF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"predict$ the prognosis of".ti,ab,kw.</w:t>
            </w:r>
          </w:p>
        </w:tc>
      </w:tr>
      <w:tr w:rsidR="009D652F" w:rsidRPr="006A3FBF" w14:paraId="06141C6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7D57605E"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52</w:t>
            </w:r>
          </w:p>
        </w:tc>
        <w:tc>
          <w:tcPr>
            <w:tcW w:w="7220" w:type="dxa"/>
            <w:tcBorders>
              <w:top w:val="nil"/>
              <w:left w:val="nil"/>
              <w:bottom w:val="single" w:sz="4" w:space="0" w:color="auto"/>
              <w:right w:val="single" w:sz="4" w:space="0" w:color="auto"/>
            </w:tcBorders>
            <w:shd w:val="clear" w:color="auto" w:fill="auto"/>
            <w:noWrap/>
            <w:vAlign w:val="bottom"/>
            <w:hideMark/>
          </w:tcPr>
          <w:p w14:paraId="1C18FFA5"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"predict$ the risk of".ti,ab,kw.</w:t>
            </w:r>
          </w:p>
        </w:tc>
      </w:tr>
      <w:tr w:rsidR="009D652F" w:rsidRPr="006A3FBF" w14:paraId="3D48462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C9295D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53</w:t>
            </w:r>
          </w:p>
        </w:tc>
        <w:tc>
          <w:tcPr>
            <w:tcW w:w="7220" w:type="dxa"/>
            <w:tcBorders>
              <w:top w:val="nil"/>
              <w:left w:val="nil"/>
              <w:bottom w:val="single" w:sz="4" w:space="0" w:color="auto"/>
              <w:right w:val="single" w:sz="4" w:space="0" w:color="auto"/>
            </w:tcBorders>
            <w:shd w:val="clear" w:color="auto" w:fill="auto"/>
            <w:noWrap/>
            <w:vAlign w:val="bottom"/>
            <w:hideMark/>
          </w:tcPr>
          <w:p w14:paraId="2E8B9E65"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"predict$ the probability of".ti,ab,kw.</w:t>
            </w:r>
          </w:p>
        </w:tc>
      </w:tr>
      <w:tr w:rsidR="009D652F" w:rsidRPr="006A3FBF" w14:paraId="49AEAB6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8B75E18"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54</w:t>
            </w:r>
          </w:p>
        </w:tc>
        <w:tc>
          <w:tcPr>
            <w:tcW w:w="7220" w:type="dxa"/>
            <w:tcBorders>
              <w:top w:val="nil"/>
              <w:left w:val="nil"/>
              <w:bottom w:val="single" w:sz="4" w:space="0" w:color="auto"/>
              <w:right w:val="single" w:sz="4" w:space="0" w:color="auto"/>
            </w:tcBorders>
            <w:shd w:val="clear" w:color="auto" w:fill="auto"/>
            <w:noWrap/>
            <w:vAlign w:val="bottom"/>
            <w:hideMark/>
          </w:tcPr>
          <w:p w14:paraId="4DA18D18"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Probability/</w:t>
            </w:r>
          </w:p>
        </w:tc>
      </w:tr>
      <w:tr w:rsidR="009D652F" w:rsidRPr="006A3FBF" w14:paraId="50E2ACFD"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CF29EE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55</w:t>
            </w:r>
          </w:p>
        </w:tc>
        <w:tc>
          <w:tcPr>
            <w:tcW w:w="7220" w:type="dxa"/>
            <w:tcBorders>
              <w:top w:val="nil"/>
              <w:left w:val="nil"/>
              <w:bottom w:val="single" w:sz="4" w:space="0" w:color="auto"/>
              <w:right w:val="single" w:sz="4" w:space="0" w:color="auto"/>
            </w:tcBorders>
            <w:shd w:val="clear" w:color="auto" w:fill="auto"/>
            <w:noWrap/>
            <w:vAlign w:val="bottom"/>
            <w:hideMark/>
          </w:tcPr>
          <w:p w14:paraId="12C5FF5F"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(probability adj1 (modelling or modeling or model or models)).ti,ab,kw.</w:t>
            </w:r>
          </w:p>
        </w:tc>
      </w:tr>
      <w:tr w:rsidR="009D652F" w:rsidRPr="006A3FBF" w14:paraId="686778E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231338B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56</w:t>
            </w:r>
          </w:p>
        </w:tc>
        <w:tc>
          <w:tcPr>
            <w:tcW w:w="7220" w:type="dxa"/>
            <w:tcBorders>
              <w:top w:val="nil"/>
              <w:left w:val="nil"/>
              <w:bottom w:val="single" w:sz="4" w:space="0" w:color="auto"/>
              <w:right w:val="single" w:sz="4" w:space="0" w:color="auto"/>
            </w:tcBorders>
            <w:shd w:val="clear" w:color="auto" w:fill="auto"/>
            <w:noWrap/>
            <w:vAlign w:val="bottom"/>
            <w:hideMark/>
          </w:tcPr>
          <w:p w14:paraId="33734694"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(predict$ adj1 (modelling or modeling or model or models or nomogram or</w:t>
            </w:r>
            <w:r>
              <w:rPr>
                <w:rFonts w:ascii="Calibri" w:eastAsia="Times New Roman" w:hAnsi="Calibri" w:cs="Calibri"/>
                <w:color w:val="000000"/>
                <w:lang w:eastAsia="en-GB"/>
              </w:rPr>
              <w:t xml:space="preserve"> </w:t>
            </w:r>
            <w:r w:rsidRPr="00B61B1B">
              <w:rPr>
                <w:rFonts w:ascii="Calibri" w:eastAsia="Times New Roman" w:hAnsi="Calibri" w:cs="Calibri"/>
                <w:color w:val="000000"/>
                <w:lang w:eastAsia="en-GB"/>
              </w:rPr>
              <w:t>tools or performance or ability or index or accuracy or probability or risk or factor$ or marker$ or biomarker$)).ti,ab,kw.</w:t>
            </w:r>
          </w:p>
        </w:tc>
      </w:tr>
      <w:tr w:rsidR="009D652F" w:rsidRPr="006A3FBF" w14:paraId="77F2688C"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496074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57</w:t>
            </w:r>
          </w:p>
        </w:tc>
        <w:tc>
          <w:tcPr>
            <w:tcW w:w="7220" w:type="dxa"/>
            <w:tcBorders>
              <w:top w:val="nil"/>
              <w:left w:val="nil"/>
              <w:bottom w:val="single" w:sz="4" w:space="0" w:color="auto"/>
              <w:right w:val="single" w:sz="4" w:space="0" w:color="auto"/>
            </w:tcBorders>
            <w:shd w:val="clear" w:color="auto" w:fill="auto"/>
            <w:noWrap/>
            <w:vAlign w:val="bottom"/>
            <w:hideMark/>
          </w:tcPr>
          <w:p w14:paraId="6AA285C3"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"candidate predictor$".ti,ab,kw.</w:t>
            </w:r>
          </w:p>
        </w:tc>
      </w:tr>
      <w:tr w:rsidR="009D652F" w:rsidRPr="006A3FBF" w14:paraId="32965B0D"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29A1B37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58</w:t>
            </w:r>
          </w:p>
        </w:tc>
        <w:tc>
          <w:tcPr>
            <w:tcW w:w="7220" w:type="dxa"/>
            <w:tcBorders>
              <w:top w:val="nil"/>
              <w:left w:val="nil"/>
              <w:bottom w:val="single" w:sz="4" w:space="0" w:color="auto"/>
              <w:right w:val="single" w:sz="4" w:space="0" w:color="auto"/>
            </w:tcBorders>
            <w:shd w:val="clear" w:color="auto" w:fill="auto"/>
            <w:noWrap/>
            <w:vAlign w:val="bottom"/>
            <w:hideMark/>
          </w:tcPr>
          <w:p w14:paraId="3B6F297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"predictive clinical parameter$".ti,ab,kw.</w:t>
            </w:r>
          </w:p>
        </w:tc>
      </w:tr>
      <w:tr w:rsidR="009D652F" w:rsidRPr="006A3FBF" w14:paraId="0BC7C5A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D2FCAA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59</w:t>
            </w:r>
          </w:p>
        </w:tc>
        <w:tc>
          <w:tcPr>
            <w:tcW w:w="7220" w:type="dxa"/>
            <w:tcBorders>
              <w:top w:val="nil"/>
              <w:left w:val="nil"/>
              <w:bottom w:val="single" w:sz="4" w:space="0" w:color="auto"/>
              <w:right w:val="single" w:sz="4" w:space="0" w:color="auto"/>
            </w:tcBorders>
            <w:shd w:val="clear" w:color="auto" w:fill="auto"/>
            <w:noWrap/>
            <w:vAlign w:val="bottom"/>
            <w:hideMark/>
          </w:tcPr>
          <w:p w14:paraId="3D7D5236"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((discrimination or discriminative or discriminatory) adj1 (accuracy or</w:t>
            </w:r>
            <w:r>
              <w:rPr>
                <w:rFonts w:ascii="Calibri" w:eastAsia="Times New Roman" w:hAnsi="Calibri" w:cs="Calibri"/>
                <w:color w:val="000000"/>
                <w:lang w:eastAsia="en-GB"/>
              </w:rPr>
              <w:t xml:space="preserve"> </w:t>
            </w:r>
            <w:r w:rsidRPr="00B61B1B">
              <w:rPr>
                <w:rFonts w:ascii="Calibri" w:eastAsia="Times New Roman" w:hAnsi="Calibri" w:cs="Calibri"/>
                <w:color w:val="000000"/>
                <w:lang w:eastAsia="en-GB"/>
              </w:rPr>
              <w:t>ability or performance or value or model or models or power or capacity or capabilit$ or efficiency)).ti,ab,kw.</w:t>
            </w:r>
          </w:p>
        </w:tc>
      </w:tr>
      <w:tr w:rsidR="009D652F" w:rsidRPr="006A3FBF" w14:paraId="5980E87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9F63797"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60</w:t>
            </w:r>
          </w:p>
        </w:tc>
        <w:tc>
          <w:tcPr>
            <w:tcW w:w="7220" w:type="dxa"/>
            <w:tcBorders>
              <w:top w:val="nil"/>
              <w:left w:val="nil"/>
              <w:bottom w:val="single" w:sz="4" w:space="0" w:color="auto"/>
              <w:right w:val="single" w:sz="4" w:space="0" w:color="auto"/>
            </w:tcBorders>
            <w:shd w:val="clear" w:color="auto" w:fill="auto"/>
            <w:noWrap/>
            <w:vAlign w:val="bottom"/>
            <w:hideMark/>
          </w:tcPr>
          <w:p w14:paraId="45BF5DDE"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(discriminability or c-index or c-statistic or concordance or DCA).ti,a</w:t>
            </w:r>
            <w:r>
              <w:rPr>
                <w:rFonts w:ascii="Calibri" w:eastAsia="Times New Roman" w:hAnsi="Calibri" w:cs="Calibri"/>
                <w:color w:val="000000"/>
                <w:lang w:eastAsia="en-GB"/>
              </w:rPr>
              <w:t>b,kw.</w:t>
            </w:r>
          </w:p>
        </w:tc>
      </w:tr>
      <w:tr w:rsidR="009D652F" w:rsidRPr="006A3FBF" w14:paraId="1D727BAE"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162D667"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61</w:t>
            </w:r>
          </w:p>
        </w:tc>
        <w:tc>
          <w:tcPr>
            <w:tcW w:w="7220" w:type="dxa"/>
            <w:tcBorders>
              <w:top w:val="nil"/>
              <w:left w:val="nil"/>
              <w:bottom w:val="single" w:sz="4" w:space="0" w:color="auto"/>
              <w:right w:val="single" w:sz="4" w:space="0" w:color="auto"/>
            </w:tcBorders>
            <w:shd w:val="clear" w:color="auto" w:fill="auto"/>
            <w:noWrap/>
            <w:vAlign w:val="bottom"/>
            <w:hideMark/>
          </w:tcPr>
          <w:p w14:paraId="07C7F79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"decision curve".ti,ab,kw.</w:t>
            </w:r>
          </w:p>
        </w:tc>
      </w:tr>
      <w:tr w:rsidR="009D652F" w:rsidRPr="006A3FBF" w14:paraId="457DF57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BFF868C"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62</w:t>
            </w:r>
          </w:p>
        </w:tc>
        <w:tc>
          <w:tcPr>
            <w:tcW w:w="7220" w:type="dxa"/>
            <w:tcBorders>
              <w:top w:val="nil"/>
              <w:left w:val="nil"/>
              <w:bottom w:val="single" w:sz="4" w:space="0" w:color="auto"/>
              <w:right w:val="single" w:sz="4" w:space="0" w:color="auto"/>
            </w:tcBorders>
            <w:shd w:val="clear" w:color="auto" w:fill="auto"/>
            <w:noWrap/>
            <w:vAlign w:val="bottom"/>
            <w:hideMark/>
          </w:tcPr>
          <w:p w14:paraId="24D97583"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(calibrat$ adj1 (plot$ or curve$ or slope$ or model or models)).ti,ab,k</w:t>
            </w:r>
            <w:r>
              <w:rPr>
                <w:rFonts w:ascii="Calibri" w:eastAsia="Times New Roman" w:hAnsi="Calibri" w:cs="Calibri"/>
                <w:color w:val="000000"/>
                <w:lang w:eastAsia="en-GB"/>
              </w:rPr>
              <w:t>w.</w:t>
            </w:r>
          </w:p>
        </w:tc>
      </w:tr>
      <w:tr w:rsidR="009D652F" w:rsidRPr="006A3FBF" w14:paraId="22C9F6E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C3E85A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63</w:t>
            </w:r>
          </w:p>
        </w:tc>
        <w:tc>
          <w:tcPr>
            <w:tcW w:w="7220" w:type="dxa"/>
            <w:tcBorders>
              <w:top w:val="nil"/>
              <w:left w:val="nil"/>
              <w:bottom w:val="single" w:sz="4" w:space="0" w:color="auto"/>
              <w:right w:val="single" w:sz="4" w:space="0" w:color="auto"/>
            </w:tcBorders>
            <w:shd w:val="clear" w:color="auto" w:fill="auto"/>
            <w:noWrap/>
            <w:vAlign w:val="bottom"/>
            <w:hideMark/>
          </w:tcPr>
          <w:p w14:paraId="559A7D6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(brier adj1 score$).ti,ab,kw.</w:t>
            </w:r>
          </w:p>
        </w:tc>
      </w:tr>
      <w:tr w:rsidR="009D652F" w:rsidRPr="006A3FBF" w14:paraId="68D6409F"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911693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64</w:t>
            </w:r>
          </w:p>
        </w:tc>
        <w:tc>
          <w:tcPr>
            <w:tcW w:w="7220" w:type="dxa"/>
            <w:tcBorders>
              <w:top w:val="nil"/>
              <w:left w:val="nil"/>
              <w:bottom w:val="single" w:sz="4" w:space="0" w:color="auto"/>
              <w:right w:val="single" w:sz="4" w:space="0" w:color="auto"/>
            </w:tcBorders>
            <w:shd w:val="clear" w:color="auto" w:fill="auto"/>
            <w:noWrap/>
            <w:vAlign w:val="bottom"/>
            <w:hideMark/>
          </w:tcPr>
          <w:p w14:paraId="6BFD208A"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(performance adj1 (classification or classifier or clinical or accuracy</w:t>
            </w:r>
            <w:r>
              <w:rPr>
                <w:rFonts w:ascii="Calibri" w:eastAsia="Times New Roman" w:hAnsi="Calibri" w:cs="Calibri"/>
                <w:color w:val="000000"/>
                <w:lang w:eastAsia="en-GB"/>
              </w:rPr>
              <w:t xml:space="preserve"> or </w:t>
            </w:r>
            <w:r w:rsidRPr="002D4461">
              <w:rPr>
                <w:rFonts w:ascii="Calibri" w:eastAsia="Times New Roman" w:hAnsi="Calibri" w:cs="Calibri"/>
                <w:color w:val="000000"/>
                <w:lang w:eastAsia="en-GB"/>
              </w:rPr>
              <w:t>validation or metrics or diagnostic or AUC)).ti,ab,kw.</w:t>
            </w:r>
          </w:p>
        </w:tc>
      </w:tr>
      <w:tr w:rsidR="009D652F" w:rsidRPr="006A3FBF" w14:paraId="0CE49E54"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7E7A0294"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65</w:t>
            </w:r>
          </w:p>
        </w:tc>
        <w:tc>
          <w:tcPr>
            <w:tcW w:w="7220" w:type="dxa"/>
            <w:tcBorders>
              <w:top w:val="nil"/>
              <w:left w:val="nil"/>
              <w:bottom w:val="single" w:sz="4" w:space="0" w:color="auto"/>
              <w:right w:val="single" w:sz="4" w:space="0" w:color="auto"/>
            </w:tcBorders>
            <w:shd w:val="clear" w:color="auto" w:fill="auto"/>
            <w:noWrap/>
            <w:vAlign w:val="bottom"/>
            <w:hideMark/>
          </w:tcPr>
          <w:p w14:paraId="29C1DA68"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(sensitivity or specificity or PPV or NPV).ti,ab,kw.</w:t>
            </w:r>
          </w:p>
        </w:tc>
      </w:tr>
      <w:tr w:rsidR="009D652F" w:rsidRPr="006A3FBF" w14:paraId="4DD7D2C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99AA82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66</w:t>
            </w:r>
          </w:p>
        </w:tc>
        <w:tc>
          <w:tcPr>
            <w:tcW w:w="7220" w:type="dxa"/>
            <w:tcBorders>
              <w:top w:val="nil"/>
              <w:left w:val="nil"/>
              <w:bottom w:val="single" w:sz="4" w:space="0" w:color="auto"/>
              <w:right w:val="single" w:sz="4" w:space="0" w:color="auto"/>
            </w:tcBorders>
            <w:shd w:val="clear" w:color="auto" w:fill="auto"/>
            <w:noWrap/>
            <w:vAlign w:val="bottom"/>
            <w:hideMark/>
          </w:tcPr>
          <w:p w14:paraId="7D30A285"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"correctly classified".ti,ab,kw.</w:t>
            </w:r>
          </w:p>
        </w:tc>
      </w:tr>
      <w:tr w:rsidR="009D652F" w:rsidRPr="006A3FBF" w14:paraId="3581FA21"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BBE364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67</w:t>
            </w:r>
          </w:p>
        </w:tc>
        <w:tc>
          <w:tcPr>
            <w:tcW w:w="7220" w:type="dxa"/>
            <w:tcBorders>
              <w:top w:val="nil"/>
              <w:left w:val="nil"/>
              <w:bottom w:val="single" w:sz="4" w:space="0" w:color="auto"/>
              <w:right w:val="single" w:sz="4" w:space="0" w:color="auto"/>
            </w:tcBorders>
            <w:shd w:val="clear" w:color="auto" w:fill="auto"/>
            <w:noWrap/>
            <w:vAlign w:val="bottom"/>
            <w:hideMark/>
          </w:tcPr>
          <w:p w14:paraId="7B34D951"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"clinical accuracy".ti,ab,kw.</w:t>
            </w:r>
          </w:p>
        </w:tc>
      </w:tr>
      <w:tr w:rsidR="009D652F" w:rsidRPr="006A3FBF" w14:paraId="14E48CB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66587A6"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68</w:t>
            </w:r>
          </w:p>
        </w:tc>
        <w:tc>
          <w:tcPr>
            <w:tcW w:w="7220" w:type="dxa"/>
            <w:tcBorders>
              <w:top w:val="nil"/>
              <w:left w:val="nil"/>
              <w:bottom w:val="single" w:sz="4" w:space="0" w:color="auto"/>
              <w:right w:val="single" w:sz="4" w:space="0" w:color="auto"/>
            </w:tcBorders>
            <w:shd w:val="clear" w:color="auto" w:fill="auto"/>
            <w:noWrap/>
            <w:vAlign w:val="bottom"/>
            <w:hideMark/>
          </w:tcPr>
          <w:p w14:paraId="1011C5F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"positive predictive value$".ti,ab,kw.</w:t>
            </w:r>
          </w:p>
        </w:tc>
      </w:tr>
      <w:tr w:rsidR="009D652F" w:rsidRPr="006A3FBF" w14:paraId="5D3165F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EF634B9"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69</w:t>
            </w:r>
          </w:p>
        </w:tc>
        <w:tc>
          <w:tcPr>
            <w:tcW w:w="7220" w:type="dxa"/>
            <w:tcBorders>
              <w:top w:val="nil"/>
              <w:left w:val="nil"/>
              <w:bottom w:val="single" w:sz="4" w:space="0" w:color="auto"/>
              <w:right w:val="single" w:sz="4" w:space="0" w:color="auto"/>
            </w:tcBorders>
            <w:shd w:val="clear" w:color="auto" w:fill="auto"/>
            <w:noWrap/>
            <w:vAlign w:val="bottom"/>
            <w:hideMark/>
          </w:tcPr>
          <w:p w14:paraId="66516F8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"negative predictive value$".ti,ab,kw.</w:t>
            </w:r>
          </w:p>
        </w:tc>
      </w:tr>
      <w:tr w:rsidR="009D652F" w:rsidRPr="006A3FBF" w14:paraId="6068329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B21843B"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lastRenderedPageBreak/>
              <w:t>70</w:t>
            </w:r>
          </w:p>
        </w:tc>
        <w:tc>
          <w:tcPr>
            <w:tcW w:w="7220" w:type="dxa"/>
            <w:tcBorders>
              <w:top w:val="nil"/>
              <w:left w:val="nil"/>
              <w:bottom w:val="single" w:sz="4" w:space="0" w:color="auto"/>
              <w:right w:val="single" w:sz="4" w:space="0" w:color="auto"/>
            </w:tcBorders>
            <w:shd w:val="clear" w:color="auto" w:fill="auto"/>
            <w:noWrap/>
            <w:vAlign w:val="bottom"/>
            <w:hideMark/>
          </w:tcPr>
          <w:p w14:paraId="5FDA9A8E"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(classification or classifier).ti,ab,kw.</w:t>
            </w:r>
          </w:p>
        </w:tc>
      </w:tr>
      <w:tr w:rsidR="009D652F" w:rsidRPr="006A3FBF" w14:paraId="023C1915"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869D879"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71</w:t>
            </w:r>
          </w:p>
        </w:tc>
        <w:tc>
          <w:tcPr>
            <w:tcW w:w="7220" w:type="dxa"/>
            <w:tcBorders>
              <w:top w:val="nil"/>
              <w:left w:val="nil"/>
              <w:bottom w:val="single" w:sz="4" w:space="0" w:color="auto"/>
              <w:right w:val="single" w:sz="4" w:space="0" w:color="auto"/>
            </w:tcBorders>
            <w:shd w:val="clear" w:color="auto" w:fill="auto"/>
            <w:noWrap/>
            <w:vAlign w:val="bottom"/>
            <w:hideMark/>
          </w:tcPr>
          <w:p w14:paraId="2FA258F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Area Under Curve/</w:t>
            </w:r>
          </w:p>
        </w:tc>
      </w:tr>
      <w:tr w:rsidR="009D652F" w:rsidRPr="006A3FBF" w14:paraId="1B1ED52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69AFF3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72</w:t>
            </w:r>
          </w:p>
        </w:tc>
        <w:tc>
          <w:tcPr>
            <w:tcW w:w="7220" w:type="dxa"/>
            <w:tcBorders>
              <w:top w:val="nil"/>
              <w:left w:val="nil"/>
              <w:bottom w:val="single" w:sz="4" w:space="0" w:color="auto"/>
              <w:right w:val="single" w:sz="4" w:space="0" w:color="auto"/>
            </w:tcBorders>
            <w:shd w:val="clear" w:color="auto" w:fill="auto"/>
            <w:noWrap/>
            <w:vAlign w:val="bottom"/>
            <w:hideMark/>
          </w:tcPr>
          <w:p w14:paraId="133CB600"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"Area under the curve".ti,ab,kw.</w:t>
            </w:r>
          </w:p>
        </w:tc>
      </w:tr>
      <w:tr w:rsidR="009D652F" w:rsidRPr="006A3FBF" w14:paraId="7297FCEA"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8E3E0A9"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73</w:t>
            </w:r>
          </w:p>
        </w:tc>
        <w:tc>
          <w:tcPr>
            <w:tcW w:w="7220" w:type="dxa"/>
            <w:tcBorders>
              <w:top w:val="nil"/>
              <w:left w:val="nil"/>
              <w:bottom w:val="single" w:sz="4" w:space="0" w:color="auto"/>
              <w:right w:val="single" w:sz="4" w:space="0" w:color="auto"/>
            </w:tcBorders>
            <w:shd w:val="clear" w:color="auto" w:fill="auto"/>
            <w:noWrap/>
            <w:vAlign w:val="bottom"/>
            <w:hideMark/>
          </w:tcPr>
          <w:p w14:paraId="292E5C4F"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"Area under the ROC curve".ti,ab,kw.</w:t>
            </w:r>
          </w:p>
        </w:tc>
      </w:tr>
      <w:tr w:rsidR="009D652F" w:rsidRPr="006A3FBF" w14:paraId="776364BA"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BCEA26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74</w:t>
            </w:r>
          </w:p>
        </w:tc>
        <w:tc>
          <w:tcPr>
            <w:tcW w:w="7220" w:type="dxa"/>
            <w:tcBorders>
              <w:top w:val="nil"/>
              <w:left w:val="nil"/>
              <w:bottom w:val="single" w:sz="4" w:space="0" w:color="auto"/>
              <w:right w:val="single" w:sz="4" w:space="0" w:color="auto"/>
            </w:tcBorders>
            <w:shd w:val="clear" w:color="auto" w:fill="auto"/>
            <w:noWrap/>
            <w:vAlign w:val="bottom"/>
            <w:hideMark/>
          </w:tcPr>
          <w:p w14:paraId="5138495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"Area under the ROC".ti,ab,kw.</w:t>
            </w:r>
          </w:p>
        </w:tc>
      </w:tr>
      <w:tr w:rsidR="009D652F" w:rsidRPr="006A3FBF" w14:paraId="5B5E1069"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3B1C1BA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75</w:t>
            </w:r>
          </w:p>
        </w:tc>
        <w:tc>
          <w:tcPr>
            <w:tcW w:w="7220" w:type="dxa"/>
            <w:tcBorders>
              <w:top w:val="nil"/>
              <w:left w:val="nil"/>
              <w:bottom w:val="single" w:sz="4" w:space="0" w:color="auto"/>
              <w:right w:val="single" w:sz="4" w:space="0" w:color="auto"/>
            </w:tcBorders>
            <w:shd w:val="clear" w:color="auto" w:fill="auto"/>
            <w:noWrap/>
            <w:vAlign w:val="bottom"/>
            <w:hideMark/>
          </w:tcPr>
          <w:p w14:paraId="405D6E52"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"Area Under the Receiver Operat$ Characteristic$".ti,ab,kw.</w:t>
            </w:r>
          </w:p>
        </w:tc>
      </w:tr>
      <w:tr w:rsidR="009D652F" w:rsidRPr="006A3FBF" w14:paraId="3911FACE"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2A87711"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76</w:t>
            </w:r>
          </w:p>
        </w:tc>
        <w:tc>
          <w:tcPr>
            <w:tcW w:w="7220" w:type="dxa"/>
            <w:tcBorders>
              <w:top w:val="nil"/>
              <w:left w:val="nil"/>
              <w:bottom w:val="single" w:sz="4" w:space="0" w:color="auto"/>
              <w:right w:val="single" w:sz="4" w:space="0" w:color="auto"/>
            </w:tcBorders>
            <w:shd w:val="clear" w:color="auto" w:fill="auto"/>
            <w:noWrap/>
            <w:vAlign w:val="bottom"/>
            <w:hideMark/>
          </w:tcPr>
          <w:p w14:paraId="53ECA8BB"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ROC Curve/</w:t>
            </w:r>
          </w:p>
        </w:tc>
      </w:tr>
      <w:tr w:rsidR="009D652F" w:rsidRPr="006A3FBF" w14:paraId="068305FA"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1CF87C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77</w:t>
            </w:r>
          </w:p>
        </w:tc>
        <w:tc>
          <w:tcPr>
            <w:tcW w:w="7220" w:type="dxa"/>
            <w:tcBorders>
              <w:top w:val="nil"/>
              <w:left w:val="nil"/>
              <w:bottom w:val="single" w:sz="4" w:space="0" w:color="auto"/>
              <w:right w:val="single" w:sz="4" w:space="0" w:color="auto"/>
            </w:tcBorders>
            <w:shd w:val="clear" w:color="auto" w:fill="auto"/>
            <w:noWrap/>
            <w:vAlign w:val="bottom"/>
            <w:hideMark/>
          </w:tcPr>
          <w:p w14:paraId="1197C591"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"receiver operating characteristic$".ti,ab,kw.</w:t>
            </w:r>
          </w:p>
        </w:tc>
      </w:tr>
      <w:tr w:rsidR="009D652F" w:rsidRPr="006A3FBF" w14:paraId="59C92E52"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6B88F812"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78</w:t>
            </w:r>
          </w:p>
        </w:tc>
        <w:tc>
          <w:tcPr>
            <w:tcW w:w="7220" w:type="dxa"/>
            <w:tcBorders>
              <w:top w:val="nil"/>
              <w:left w:val="nil"/>
              <w:bottom w:val="single" w:sz="4" w:space="0" w:color="auto"/>
              <w:right w:val="single" w:sz="4" w:space="0" w:color="auto"/>
            </w:tcBorders>
            <w:shd w:val="clear" w:color="auto" w:fill="auto"/>
            <w:noWrap/>
            <w:vAlign w:val="bottom"/>
            <w:hideMark/>
          </w:tcPr>
          <w:p w14:paraId="00A1C9D9"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(ROC or AUC or AUROC).ti,ab,kw.</w:t>
            </w:r>
          </w:p>
        </w:tc>
      </w:tr>
      <w:tr w:rsidR="009D652F" w:rsidRPr="00BF1275" w14:paraId="793749CD"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602EB3E"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79</w:t>
            </w:r>
          </w:p>
        </w:tc>
        <w:tc>
          <w:tcPr>
            <w:tcW w:w="7220" w:type="dxa"/>
            <w:tcBorders>
              <w:top w:val="nil"/>
              <w:left w:val="nil"/>
              <w:bottom w:val="single" w:sz="4" w:space="0" w:color="auto"/>
              <w:right w:val="single" w:sz="4" w:space="0" w:color="auto"/>
            </w:tcBorders>
            <w:shd w:val="clear" w:color="auto" w:fill="auto"/>
            <w:noWrap/>
            <w:vAlign w:val="bottom"/>
            <w:hideMark/>
          </w:tcPr>
          <w:p w14:paraId="0907543C" w14:textId="77777777" w:rsidR="009D652F" w:rsidRPr="000535A3" w:rsidRDefault="009D652F" w:rsidP="00005CF2">
            <w:pPr>
              <w:spacing w:after="0" w:line="240" w:lineRule="auto"/>
              <w:rPr>
                <w:rFonts w:ascii="Calibri" w:eastAsia="Times New Roman" w:hAnsi="Calibri" w:cs="Calibri"/>
                <w:color w:val="000000"/>
                <w:lang w:val="de-DE" w:eastAsia="en-GB"/>
              </w:rPr>
            </w:pPr>
            <w:r w:rsidRPr="000535A3">
              <w:rPr>
                <w:rFonts w:ascii="Calibri" w:eastAsia="Times New Roman" w:hAnsi="Calibri" w:cs="Calibri"/>
                <w:color w:val="000000"/>
                <w:lang w:val="de-DE" w:eastAsia="en-GB"/>
              </w:rPr>
              <w:t>"Hosmer-Lemeshow".ti,ab,kw.</w:t>
            </w:r>
          </w:p>
        </w:tc>
      </w:tr>
      <w:tr w:rsidR="009D652F" w:rsidRPr="006A3FBF" w14:paraId="0E3FCD87"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9172CAA"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80</w:t>
            </w:r>
          </w:p>
        </w:tc>
        <w:tc>
          <w:tcPr>
            <w:tcW w:w="7220" w:type="dxa"/>
            <w:tcBorders>
              <w:top w:val="nil"/>
              <w:left w:val="nil"/>
              <w:bottom w:val="single" w:sz="4" w:space="0" w:color="auto"/>
              <w:right w:val="single" w:sz="4" w:space="0" w:color="auto"/>
            </w:tcBorders>
            <w:shd w:val="clear" w:color="auto" w:fill="auto"/>
            <w:noWrap/>
            <w:vAlign w:val="bottom"/>
            <w:hideMark/>
          </w:tcPr>
          <w:p w14:paraId="691964E0"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"H-L test".ti,ab,kw.</w:t>
            </w:r>
          </w:p>
        </w:tc>
      </w:tr>
      <w:tr w:rsidR="009D652F" w:rsidRPr="006A3FBF" w14:paraId="0F13C668"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40BC79F4"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81</w:t>
            </w:r>
          </w:p>
        </w:tc>
        <w:tc>
          <w:tcPr>
            <w:tcW w:w="7220" w:type="dxa"/>
            <w:tcBorders>
              <w:top w:val="nil"/>
              <w:left w:val="nil"/>
              <w:bottom w:val="single" w:sz="4" w:space="0" w:color="auto"/>
              <w:right w:val="single" w:sz="4" w:space="0" w:color="auto"/>
            </w:tcBorders>
            <w:shd w:val="clear" w:color="auto" w:fill="auto"/>
            <w:noWrap/>
            <w:vAlign w:val="bottom"/>
            <w:hideMark/>
          </w:tcPr>
          <w:p w14:paraId="199F4B2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"expected ratio".ti,ab,kw.</w:t>
            </w:r>
          </w:p>
        </w:tc>
      </w:tr>
      <w:tr w:rsidR="009D652F" w:rsidRPr="006A3FBF" w14:paraId="5B77C21E"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4AF3B15"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82</w:t>
            </w:r>
          </w:p>
        </w:tc>
        <w:tc>
          <w:tcPr>
            <w:tcW w:w="7220" w:type="dxa"/>
            <w:tcBorders>
              <w:top w:val="nil"/>
              <w:left w:val="nil"/>
              <w:bottom w:val="single" w:sz="4" w:space="0" w:color="auto"/>
              <w:right w:val="single" w:sz="4" w:space="0" w:color="auto"/>
            </w:tcBorders>
            <w:shd w:val="clear" w:color="auto" w:fill="auto"/>
            <w:noWrap/>
            <w:vAlign w:val="bottom"/>
            <w:hideMark/>
          </w:tcPr>
          <w:p w14:paraId="517A4A0D"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"observed ratio".ti,ab,kw.</w:t>
            </w:r>
          </w:p>
        </w:tc>
      </w:tr>
      <w:tr w:rsidR="009D652F" w:rsidRPr="00BF1275" w14:paraId="1D61E956"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1C5EDA3C"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83</w:t>
            </w:r>
          </w:p>
        </w:tc>
        <w:tc>
          <w:tcPr>
            <w:tcW w:w="7220" w:type="dxa"/>
            <w:tcBorders>
              <w:top w:val="nil"/>
              <w:left w:val="nil"/>
              <w:bottom w:val="single" w:sz="4" w:space="0" w:color="auto"/>
              <w:right w:val="single" w:sz="4" w:space="0" w:color="auto"/>
            </w:tcBorders>
            <w:shd w:val="clear" w:color="auto" w:fill="auto"/>
            <w:noWrap/>
            <w:vAlign w:val="bottom"/>
            <w:hideMark/>
          </w:tcPr>
          <w:p w14:paraId="7DE6E165" w14:textId="77777777" w:rsidR="009D652F" w:rsidRPr="000535A3" w:rsidRDefault="009D652F" w:rsidP="00005CF2">
            <w:pPr>
              <w:spacing w:after="0" w:line="240" w:lineRule="auto"/>
              <w:rPr>
                <w:rFonts w:ascii="Calibri" w:eastAsia="Times New Roman" w:hAnsi="Calibri" w:cs="Calibri"/>
                <w:color w:val="000000"/>
                <w:lang w:val="de-DE" w:eastAsia="en-GB"/>
              </w:rPr>
            </w:pPr>
            <w:r w:rsidRPr="000535A3">
              <w:rPr>
                <w:rFonts w:ascii="Calibri" w:eastAsia="Times New Roman" w:hAnsi="Calibri" w:cs="Calibri"/>
                <w:color w:val="000000"/>
                <w:lang w:val="de-DE" w:eastAsia="en-GB"/>
              </w:rPr>
              <w:t>"E:O ratio".ti,ab,kw.</w:t>
            </w:r>
          </w:p>
        </w:tc>
      </w:tr>
      <w:tr w:rsidR="009D652F" w:rsidRPr="006A3FBF" w14:paraId="33966683"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504155A4"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84</w:t>
            </w:r>
          </w:p>
        </w:tc>
        <w:tc>
          <w:tcPr>
            <w:tcW w:w="7220" w:type="dxa"/>
            <w:tcBorders>
              <w:top w:val="nil"/>
              <w:left w:val="nil"/>
              <w:bottom w:val="single" w:sz="4" w:space="0" w:color="auto"/>
              <w:right w:val="single" w:sz="4" w:space="0" w:color="auto"/>
            </w:tcBorders>
            <w:shd w:val="clear" w:color="auto" w:fill="auto"/>
            <w:noWrap/>
            <w:vAlign w:val="bottom"/>
            <w:hideMark/>
          </w:tcPr>
          <w:p w14:paraId="757F66C4"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 xml:space="preserve">or/48-83     </w:t>
            </w:r>
          </w:p>
        </w:tc>
      </w:tr>
      <w:tr w:rsidR="009D652F" w:rsidRPr="006A3FBF" w14:paraId="292835DF"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2BE78C6D"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85</w:t>
            </w:r>
          </w:p>
        </w:tc>
        <w:tc>
          <w:tcPr>
            <w:tcW w:w="7220" w:type="dxa"/>
            <w:tcBorders>
              <w:top w:val="nil"/>
              <w:left w:val="nil"/>
              <w:bottom w:val="single" w:sz="4" w:space="0" w:color="auto"/>
              <w:right w:val="single" w:sz="4" w:space="0" w:color="auto"/>
            </w:tcBorders>
            <w:shd w:val="clear" w:color="auto" w:fill="auto"/>
            <w:noWrap/>
            <w:vAlign w:val="bottom"/>
            <w:hideMark/>
          </w:tcPr>
          <w:p w14:paraId="6D030D75"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44 and 47 and 84</w:t>
            </w:r>
          </w:p>
        </w:tc>
      </w:tr>
      <w:tr w:rsidR="009D652F" w:rsidRPr="006A3FBF" w14:paraId="20A7D5FE" w14:textId="77777777" w:rsidTr="00005CF2">
        <w:trPr>
          <w:trHeight w:val="300"/>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14:paraId="06A762F0" w14:textId="77777777" w:rsidR="009D652F" w:rsidRPr="006A3FBF" w:rsidRDefault="009D652F" w:rsidP="00005CF2">
            <w:pPr>
              <w:spacing w:after="0" w:line="240" w:lineRule="auto"/>
              <w:jc w:val="right"/>
              <w:rPr>
                <w:rFonts w:ascii="Calibri" w:eastAsia="Times New Roman" w:hAnsi="Calibri" w:cs="Calibri"/>
                <w:color w:val="000000"/>
                <w:lang w:eastAsia="en-GB"/>
              </w:rPr>
            </w:pPr>
            <w:r w:rsidRPr="006A3FBF">
              <w:rPr>
                <w:rFonts w:ascii="Calibri" w:eastAsia="Times New Roman" w:hAnsi="Calibri" w:cs="Calibri"/>
                <w:color w:val="000000"/>
                <w:lang w:eastAsia="en-GB"/>
              </w:rPr>
              <w:t>86</w:t>
            </w:r>
          </w:p>
        </w:tc>
        <w:tc>
          <w:tcPr>
            <w:tcW w:w="7220" w:type="dxa"/>
            <w:tcBorders>
              <w:top w:val="nil"/>
              <w:left w:val="nil"/>
              <w:bottom w:val="single" w:sz="4" w:space="0" w:color="auto"/>
              <w:right w:val="single" w:sz="4" w:space="0" w:color="auto"/>
            </w:tcBorders>
            <w:shd w:val="clear" w:color="auto" w:fill="auto"/>
            <w:noWrap/>
            <w:vAlign w:val="bottom"/>
            <w:hideMark/>
          </w:tcPr>
          <w:p w14:paraId="5E8B4A22" w14:textId="77777777" w:rsidR="009D652F" w:rsidRPr="006A3FBF" w:rsidRDefault="009D652F" w:rsidP="00005CF2">
            <w:pPr>
              <w:spacing w:after="0" w:line="240" w:lineRule="auto"/>
              <w:rPr>
                <w:rFonts w:ascii="Calibri" w:eastAsia="Times New Roman" w:hAnsi="Calibri" w:cs="Calibri"/>
                <w:color w:val="000000"/>
                <w:lang w:eastAsia="en-GB"/>
              </w:rPr>
            </w:pPr>
            <w:r w:rsidRPr="006A3FBF">
              <w:rPr>
                <w:rFonts w:ascii="Calibri" w:eastAsia="Times New Roman" w:hAnsi="Calibri" w:cs="Calibri"/>
                <w:color w:val="000000"/>
                <w:lang w:eastAsia="en-GB"/>
              </w:rPr>
              <w:t>Limit 85 to yr="2019"</w:t>
            </w:r>
          </w:p>
        </w:tc>
      </w:tr>
    </w:tbl>
    <w:p w14:paraId="61C92A5E" w14:textId="77777777" w:rsidR="009D652F" w:rsidRDefault="009D652F" w:rsidP="009D652F"/>
    <w:p w14:paraId="7D6B41B8" w14:textId="77777777" w:rsidR="009D652F" w:rsidRPr="00DF3A56" w:rsidRDefault="009D652F" w:rsidP="009D652F"/>
    <w:p w14:paraId="16C52D6D" w14:textId="77777777" w:rsidR="009D652F" w:rsidRPr="00DF3A56" w:rsidRDefault="009D652F" w:rsidP="009D652F">
      <w:pPr>
        <w:spacing w:line="360" w:lineRule="auto"/>
      </w:pPr>
    </w:p>
    <w:p w14:paraId="256C728F" w14:textId="77777777" w:rsidR="009D652F" w:rsidRPr="00DF3A56" w:rsidRDefault="009D652F" w:rsidP="009D652F">
      <w:pPr>
        <w:spacing w:line="360" w:lineRule="auto"/>
        <w:rPr>
          <w:b/>
          <w:bCs/>
        </w:rPr>
        <w:sectPr w:rsidR="009D652F" w:rsidRPr="00DF3A56">
          <w:pgSz w:w="11906" w:h="16838"/>
          <w:pgMar w:top="1440" w:right="1440" w:bottom="1440" w:left="1440" w:header="708" w:footer="708" w:gutter="0"/>
          <w:cols w:space="708"/>
          <w:docGrid w:linePitch="360"/>
        </w:sectPr>
      </w:pPr>
    </w:p>
    <w:p w14:paraId="4C73A81F" w14:textId="77777777" w:rsidR="009D652F" w:rsidRPr="00DF3A56" w:rsidRDefault="009D652F" w:rsidP="009D652F">
      <w:pPr>
        <w:spacing w:line="360" w:lineRule="auto"/>
        <w:rPr>
          <w:b/>
        </w:rPr>
      </w:pPr>
      <w:r w:rsidRPr="00DF3A56">
        <w:rPr>
          <w:b/>
          <w:bCs/>
        </w:rPr>
        <w:lastRenderedPageBreak/>
        <w:t xml:space="preserve">Supplementary table 2 - </w:t>
      </w:r>
      <w:r w:rsidRPr="00DF3A56">
        <w:rPr>
          <w:b/>
        </w:rPr>
        <w:t>EMBASE search strategy</w:t>
      </w:r>
    </w:p>
    <w:p w14:paraId="0C0594BE" w14:textId="77777777" w:rsidR="009D652F" w:rsidRPr="00DF3A56" w:rsidRDefault="009D652F" w:rsidP="009D652F">
      <w:pPr>
        <w:spacing w:line="240" w:lineRule="auto"/>
      </w:pPr>
      <w:r w:rsidRPr="00DF3A56">
        <w:t>Database and platform: Embase 1974 to present (via Ovid)</w:t>
      </w:r>
    </w:p>
    <w:p w14:paraId="4D27EA94" w14:textId="77777777" w:rsidR="009D652F" w:rsidRPr="00DF3A56" w:rsidRDefault="009D652F" w:rsidP="009D652F">
      <w:pPr>
        <w:spacing w:line="240" w:lineRule="auto"/>
      </w:pPr>
      <w:r>
        <w:t>Publication d</w:t>
      </w:r>
      <w:r w:rsidRPr="00DF3A56">
        <w:t xml:space="preserve"> limit: 2019 only</w:t>
      </w:r>
    </w:p>
    <w:p w14:paraId="0F5F1A64" w14:textId="77777777" w:rsidR="009D652F" w:rsidRPr="00DF3A56" w:rsidRDefault="009D652F" w:rsidP="009D652F">
      <w:pPr>
        <w:spacing w:line="240" w:lineRule="auto"/>
      </w:pPr>
      <w:r w:rsidRPr="00DF3A56">
        <w:t>Search date: 5 September 2019</w:t>
      </w:r>
    </w:p>
    <w:tbl>
      <w:tblPr>
        <w:tblW w:w="0" w:type="auto"/>
        <w:tblLook w:val="04A0" w:firstRow="1" w:lastRow="0" w:firstColumn="1" w:lastColumn="0" w:noHBand="0" w:noVBand="1"/>
      </w:tblPr>
      <w:tblGrid>
        <w:gridCol w:w="440"/>
        <w:gridCol w:w="8576"/>
      </w:tblGrid>
      <w:tr w:rsidR="009D652F" w:rsidRPr="00DF3A56" w14:paraId="7410B10B" w14:textId="77777777" w:rsidTr="00005CF2">
        <w:trPr>
          <w:trHeight w:val="300"/>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43403"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w:t>
            </w:r>
          </w:p>
        </w:tc>
        <w:tc>
          <w:tcPr>
            <w:tcW w:w="8595" w:type="dxa"/>
            <w:tcBorders>
              <w:top w:val="single" w:sz="4" w:space="0" w:color="auto"/>
              <w:left w:val="nil"/>
              <w:bottom w:val="single" w:sz="4" w:space="0" w:color="auto"/>
              <w:right w:val="single" w:sz="4" w:space="0" w:color="auto"/>
            </w:tcBorders>
            <w:shd w:val="clear" w:color="auto" w:fill="auto"/>
            <w:noWrap/>
            <w:vAlign w:val="center"/>
            <w:hideMark/>
          </w:tcPr>
          <w:p w14:paraId="40CC2E1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exp Machine Learning/</w:t>
            </w:r>
          </w:p>
        </w:tc>
      </w:tr>
      <w:tr w:rsidR="009D652F" w:rsidRPr="00DF3A56" w14:paraId="179AEADB"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F64F5E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w:t>
            </w:r>
          </w:p>
        </w:tc>
        <w:tc>
          <w:tcPr>
            <w:tcW w:w="8595" w:type="dxa"/>
            <w:tcBorders>
              <w:top w:val="nil"/>
              <w:left w:val="nil"/>
              <w:bottom w:val="single" w:sz="4" w:space="0" w:color="auto"/>
              <w:right w:val="single" w:sz="4" w:space="0" w:color="auto"/>
            </w:tcBorders>
            <w:shd w:val="clear" w:color="auto" w:fill="auto"/>
            <w:noWrap/>
            <w:vAlign w:val="center"/>
            <w:hideMark/>
          </w:tcPr>
          <w:p w14:paraId="1F3A389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(machine adj1 (learn$ or model$)).ti,ab,kw.</w:t>
            </w:r>
          </w:p>
        </w:tc>
      </w:tr>
      <w:tr w:rsidR="009D652F" w:rsidRPr="00DF3A56" w14:paraId="2516CF39"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D3084CA"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w:t>
            </w:r>
          </w:p>
        </w:tc>
        <w:tc>
          <w:tcPr>
            <w:tcW w:w="8595" w:type="dxa"/>
            <w:tcBorders>
              <w:top w:val="nil"/>
              <w:left w:val="nil"/>
              <w:bottom w:val="single" w:sz="4" w:space="0" w:color="auto"/>
              <w:right w:val="single" w:sz="4" w:space="0" w:color="auto"/>
            </w:tcBorders>
            <w:shd w:val="clear" w:color="auto" w:fill="auto"/>
            <w:noWrap/>
            <w:vAlign w:val="center"/>
            <w:hideMark/>
          </w:tcPr>
          <w:p w14:paraId="3962F9D2"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(deep adj2 learn$).ti,ab,kw.</w:t>
            </w:r>
          </w:p>
        </w:tc>
      </w:tr>
      <w:tr w:rsidR="009D652F" w:rsidRPr="00DF3A56" w14:paraId="6B95BD3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71880B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w:t>
            </w:r>
          </w:p>
        </w:tc>
        <w:tc>
          <w:tcPr>
            <w:tcW w:w="8595" w:type="dxa"/>
            <w:tcBorders>
              <w:top w:val="nil"/>
              <w:left w:val="nil"/>
              <w:bottom w:val="single" w:sz="4" w:space="0" w:color="auto"/>
              <w:right w:val="single" w:sz="4" w:space="0" w:color="auto"/>
            </w:tcBorders>
            <w:shd w:val="clear" w:color="auto" w:fill="auto"/>
            <w:noWrap/>
            <w:vAlign w:val="center"/>
            <w:hideMark/>
          </w:tcPr>
          <w:p w14:paraId="020DEEF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(supervised adj2 machine adj2 learn$).ti,ab,kw.</w:t>
            </w:r>
          </w:p>
        </w:tc>
      </w:tr>
      <w:tr w:rsidR="009D652F" w:rsidRPr="00DF3A56" w14:paraId="007F038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A88E35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w:t>
            </w:r>
          </w:p>
        </w:tc>
        <w:tc>
          <w:tcPr>
            <w:tcW w:w="8595" w:type="dxa"/>
            <w:tcBorders>
              <w:top w:val="nil"/>
              <w:left w:val="nil"/>
              <w:bottom w:val="single" w:sz="4" w:space="0" w:color="auto"/>
              <w:right w:val="single" w:sz="4" w:space="0" w:color="auto"/>
            </w:tcBorders>
            <w:shd w:val="clear" w:color="auto" w:fill="auto"/>
            <w:noWrap/>
            <w:vAlign w:val="center"/>
            <w:hideMark/>
          </w:tcPr>
          <w:p w14:paraId="2087456C"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((support or relevance) adj2 vector adj2 (machine$ or classification$)).ti,ab,kw.</w:t>
            </w:r>
          </w:p>
        </w:tc>
      </w:tr>
      <w:tr w:rsidR="009D652F" w:rsidRPr="00DF3A56" w14:paraId="25F6547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3B6E38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w:t>
            </w:r>
          </w:p>
        </w:tc>
        <w:tc>
          <w:tcPr>
            <w:tcW w:w="8595" w:type="dxa"/>
            <w:tcBorders>
              <w:top w:val="nil"/>
              <w:left w:val="nil"/>
              <w:bottom w:val="single" w:sz="4" w:space="0" w:color="auto"/>
              <w:right w:val="single" w:sz="4" w:space="0" w:color="auto"/>
            </w:tcBorders>
            <w:shd w:val="clear" w:color="auto" w:fill="auto"/>
            <w:noWrap/>
            <w:vAlign w:val="center"/>
            <w:hideMark/>
          </w:tcPr>
          <w:p w14:paraId="3A428BB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(neural adj2 network$).ti,ab,kw.</w:t>
            </w:r>
          </w:p>
        </w:tc>
      </w:tr>
      <w:tr w:rsidR="009D652F" w:rsidRPr="00DF3A56" w14:paraId="674A61C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6123F53"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w:t>
            </w:r>
          </w:p>
        </w:tc>
        <w:tc>
          <w:tcPr>
            <w:tcW w:w="8595" w:type="dxa"/>
            <w:tcBorders>
              <w:top w:val="nil"/>
              <w:left w:val="nil"/>
              <w:bottom w:val="single" w:sz="4" w:space="0" w:color="auto"/>
              <w:right w:val="single" w:sz="4" w:space="0" w:color="auto"/>
            </w:tcBorders>
            <w:shd w:val="clear" w:color="auto" w:fill="auto"/>
            <w:noWrap/>
            <w:vAlign w:val="center"/>
            <w:hideMark/>
          </w:tcPr>
          <w:p w14:paraId="35144FE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((statistical or "statistical-learning") adj1 (learn$ or strateg$)).ti,ab,kw.</w:t>
            </w:r>
          </w:p>
        </w:tc>
      </w:tr>
      <w:tr w:rsidR="009D652F" w:rsidRPr="00DF3A56" w14:paraId="16BB9639"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B95073A"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w:t>
            </w:r>
          </w:p>
        </w:tc>
        <w:tc>
          <w:tcPr>
            <w:tcW w:w="8595" w:type="dxa"/>
            <w:tcBorders>
              <w:top w:val="nil"/>
              <w:left w:val="nil"/>
              <w:bottom w:val="single" w:sz="4" w:space="0" w:color="auto"/>
              <w:right w:val="single" w:sz="4" w:space="0" w:color="auto"/>
            </w:tcBorders>
            <w:shd w:val="clear" w:color="auto" w:fill="auto"/>
            <w:noWrap/>
            <w:vAlign w:val="center"/>
            <w:hideMark/>
          </w:tcPr>
          <w:p w14:paraId="0F42F4F2"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(multi adj2 layer adj1 perceptron$).ti,ab,kw.</w:t>
            </w:r>
          </w:p>
        </w:tc>
      </w:tr>
      <w:tr w:rsidR="009D652F" w:rsidRPr="00DF3A56" w14:paraId="3917C69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57EC5E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w:t>
            </w:r>
          </w:p>
        </w:tc>
        <w:tc>
          <w:tcPr>
            <w:tcW w:w="8595" w:type="dxa"/>
            <w:tcBorders>
              <w:top w:val="nil"/>
              <w:left w:val="nil"/>
              <w:bottom w:val="single" w:sz="4" w:space="0" w:color="auto"/>
              <w:right w:val="single" w:sz="4" w:space="0" w:color="auto"/>
            </w:tcBorders>
            <w:shd w:val="clear" w:color="auto" w:fill="auto"/>
            <w:noWrap/>
            <w:vAlign w:val="center"/>
            <w:hideMark/>
          </w:tcPr>
          <w:p w14:paraId="5B7BD7E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(random adj2 forest$).ti,ab,kw.</w:t>
            </w:r>
          </w:p>
        </w:tc>
      </w:tr>
      <w:tr w:rsidR="009D652F" w:rsidRPr="00DF3A56" w14:paraId="10C2AA5B"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0295AE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10</w:t>
            </w:r>
          </w:p>
        </w:tc>
        <w:tc>
          <w:tcPr>
            <w:tcW w:w="8595" w:type="dxa"/>
            <w:tcBorders>
              <w:top w:val="nil"/>
              <w:left w:val="nil"/>
              <w:bottom w:val="single" w:sz="4" w:space="0" w:color="auto"/>
              <w:right w:val="single" w:sz="4" w:space="0" w:color="auto"/>
            </w:tcBorders>
            <w:shd w:val="clear" w:color="auto" w:fill="auto"/>
            <w:noWrap/>
            <w:vAlign w:val="center"/>
            <w:hideMark/>
          </w:tcPr>
          <w:p w14:paraId="2D90380A"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"RF classifi$".ti,ab,kw.</w:t>
            </w:r>
          </w:p>
        </w:tc>
      </w:tr>
      <w:tr w:rsidR="009D652F" w:rsidRPr="00DF3A56" w14:paraId="7E0A77B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70E2CEB"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11</w:t>
            </w:r>
          </w:p>
        </w:tc>
        <w:tc>
          <w:tcPr>
            <w:tcW w:w="8595" w:type="dxa"/>
            <w:tcBorders>
              <w:top w:val="nil"/>
              <w:left w:val="nil"/>
              <w:bottom w:val="single" w:sz="4" w:space="0" w:color="auto"/>
              <w:right w:val="single" w:sz="4" w:space="0" w:color="auto"/>
            </w:tcBorders>
            <w:shd w:val="clear" w:color="auto" w:fill="auto"/>
            <w:noWrap/>
            <w:vAlign w:val="center"/>
            <w:hideMark/>
          </w:tcPr>
          <w:p w14:paraId="15DDEE4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Bootstrapping/</w:t>
            </w:r>
          </w:p>
        </w:tc>
      </w:tr>
      <w:tr w:rsidR="009D652F" w:rsidRPr="00DF3A56" w14:paraId="72325E7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29EF56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12</w:t>
            </w:r>
          </w:p>
        </w:tc>
        <w:tc>
          <w:tcPr>
            <w:tcW w:w="8595" w:type="dxa"/>
            <w:tcBorders>
              <w:top w:val="nil"/>
              <w:left w:val="nil"/>
              <w:bottom w:val="single" w:sz="4" w:space="0" w:color="auto"/>
              <w:right w:val="single" w:sz="4" w:space="0" w:color="auto"/>
            </w:tcBorders>
            <w:shd w:val="clear" w:color="auto" w:fill="auto"/>
            <w:noWrap/>
            <w:vAlign w:val="center"/>
            <w:hideMark/>
          </w:tcPr>
          <w:p w14:paraId="573A49E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(lasso or ridge or kernel or ensemble or bagging or bagged or bootstrap$ or boosting or boosted or fuzzy).ti,ab,kw.</w:t>
            </w:r>
          </w:p>
        </w:tc>
      </w:tr>
      <w:tr w:rsidR="009D652F" w:rsidRPr="00DF3A56" w14:paraId="57430389"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15EC783"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13</w:t>
            </w:r>
          </w:p>
        </w:tc>
        <w:tc>
          <w:tcPr>
            <w:tcW w:w="8595" w:type="dxa"/>
            <w:tcBorders>
              <w:top w:val="nil"/>
              <w:left w:val="nil"/>
              <w:bottom w:val="single" w:sz="4" w:space="0" w:color="auto"/>
              <w:right w:val="single" w:sz="4" w:space="0" w:color="auto"/>
            </w:tcBorders>
            <w:shd w:val="clear" w:color="auto" w:fill="auto"/>
            <w:noWrap/>
            <w:vAlign w:val="center"/>
            <w:hideMark/>
          </w:tcPr>
          <w:p w14:paraId="7C189CC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((penali?ed or regulari?ed) adj2 (likelihood or regression or logistic or survival or estimat$ or function$ or method$ or least or ensemble)).ti,ab,kw.</w:t>
            </w:r>
          </w:p>
        </w:tc>
      </w:tr>
      <w:tr w:rsidR="009D652F" w:rsidRPr="00DF3A56" w14:paraId="345DA32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0EB942F"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14</w:t>
            </w:r>
          </w:p>
        </w:tc>
        <w:tc>
          <w:tcPr>
            <w:tcW w:w="8595" w:type="dxa"/>
            <w:tcBorders>
              <w:top w:val="nil"/>
              <w:left w:val="nil"/>
              <w:bottom w:val="single" w:sz="4" w:space="0" w:color="auto"/>
              <w:right w:val="single" w:sz="4" w:space="0" w:color="auto"/>
            </w:tcBorders>
            <w:shd w:val="clear" w:color="auto" w:fill="auto"/>
            <w:noWrap/>
            <w:vAlign w:val="center"/>
            <w:hideMark/>
          </w:tcPr>
          <w:p w14:paraId="28A09AC1"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Decision Tree/</w:t>
            </w:r>
          </w:p>
        </w:tc>
      </w:tr>
      <w:tr w:rsidR="009D652F" w:rsidRPr="00DF3A56" w14:paraId="0CF55B0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747C14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15</w:t>
            </w:r>
          </w:p>
        </w:tc>
        <w:tc>
          <w:tcPr>
            <w:tcW w:w="8595" w:type="dxa"/>
            <w:tcBorders>
              <w:top w:val="nil"/>
              <w:left w:val="nil"/>
              <w:bottom w:val="single" w:sz="4" w:space="0" w:color="auto"/>
              <w:right w:val="single" w:sz="4" w:space="0" w:color="auto"/>
            </w:tcBorders>
            <w:shd w:val="clear" w:color="auto" w:fill="auto"/>
            <w:noWrap/>
            <w:vAlign w:val="center"/>
            <w:hideMark/>
          </w:tcPr>
          <w:p w14:paraId="66CE21D8"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((classification or regression or estimation or decision) adj2 tree$).ti,ab,kw.</w:t>
            </w:r>
          </w:p>
        </w:tc>
      </w:tr>
      <w:tr w:rsidR="009D652F" w:rsidRPr="00DF3A56" w14:paraId="47AB942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BB0C852"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16</w:t>
            </w:r>
          </w:p>
        </w:tc>
        <w:tc>
          <w:tcPr>
            <w:tcW w:w="8595" w:type="dxa"/>
            <w:tcBorders>
              <w:top w:val="nil"/>
              <w:left w:val="nil"/>
              <w:bottom w:val="single" w:sz="4" w:space="0" w:color="auto"/>
              <w:right w:val="single" w:sz="4" w:space="0" w:color="auto"/>
            </w:tcBorders>
            <w:shd w:val="clear" w:color="auto" w:fill="auto"/>
            <w:noWrap/>
            <w:vAlign w:val="center"/>
            <w:hideMark/>
          </w:tcPr>
          <w:p w14:paraId="0801C9E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(naive adj1 bayes$).ti,ab,kw.</w:t>
            </w:r>
          </w:p>
        </w:tc>
      </w:tr>
      <w:tr w:rsidR="009D652F" w:rsidRPr="00DF3A56" w14:paraId="26E5FAA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C5EC7C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17</w:t>
            </w:r>
          </w:p>
        </w:tc>
        <w:tc>
          <w:tcPr>
            <w:tcW w:w="8595" w:type="dxa"/>
            <w:tcBorders>
              <w:top w:val="nil"/>
              <w:left w:val="nil"/>
              <w:bottom w:val="single" w:sz="4" w:space="0" w:color="auto"/>
              <w:right w:val="single" w:sz="4" w:space="0" w:color="auto"/>
            </w:tcBorders>
            <w:shd w:val="clear" w:color="auto" w:fill="auto"/>
            <w:noWrap/>
            <w:vAlign w:val="center"/>
            <w:hideMark/>
          </w:tcPr>
          <w:p w14:paraId="7B23C91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(bayes$ adj1 network$).ti,ab,kw.</w:t>
            </w:r>
          </w:p>
        </w:tc>
      </w:tr>
      <w:tr w:rsidR="009D652F" w:rsidRPr="00DF3A56" w14:paraId="6B04076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FCDB23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18</w:t>
            </w:r>
          </w:p>
        </w:tc>
        <w:tc>
          <w:tcPr>
            <w:tcW w:w="8595" w:type="dxa"/>
            <w:tcBorders>
              <w:top w:val="nil"/>
              <w:left w:val="nil"/>
              <w:bottom w:val="single" w:sz="4" w:space="0" w:color="auto"/>
              <w:right w:val="single" w:sz="4" w:space="0" w:color="auto"/>
            </w:tcBorders>
            <w:shd w:val="clear" w:color="auto" w:fill="auto"/>
            <w:noWrap/>
            <w:vAlign w:val="center"/>
            <w:hideMark/>
          </w:tcPr>
          <w:p w14:paraId="713A776A"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(nearest adj1 neighbo?r).ti,ab,kw.</w:t>
            </w:r>
          </w:p>
        </w:tc>
      </w:tr>
      <w:tr w:rsidR="009D652F" w:rsidRPr="00DF3A56" w14:paraId="40EDED7E"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49C0768"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19</w:t>
            </w:r>
          </w:p>
        </w:tc>
        <w:tc>
          <w:tcPr>
            <w:tcW w:w="8595" w:type="dxa"/>
            <w:tcBorders>
              <w:top w:val="nil"/>
              <w:left w:val="nil"/>
              <w:bottom w:val="single" w:sz="4" w:space="0" w:color="auto"/>
              <w:right w:val="single" w:sz="4" w:space="0" w:color="auto"/>
            </w:tcBorders>
            <w:shd w:val="clear" w:color="auto" w:fill="auto"/>
            <w:noWrap/>
            <w:vAlign w:val="center"/>
            <w:hideMark/>
          </w:tcPr>
          <w:p w14:paraId="40D4DB4D"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(k-nearest adj1 neighbo?r).ti,ab,kw.</w:t>
            </w:r>
          </w:p>
        </w:tc>
      </w:tr>
      <w:tr w:rsidR="009D652F" w:rsidRPr="00DF3A56" w14:paraId="77CB3B4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2BCD06C"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20</w:t>
            </w:r>
          </w:p>
        </w:tc>
        <w:tc>
          <w:tcPr>
            <w:tcW w:w="8595" w:type="dxa"/>
            <w:tcBorders>
              <w:top w:val="nil"/>
              <w:left w:val="nil"/>
              <w:bottom w:val="single" w:sz="4" w:space="0" w:color="auto"/>
              <w:right w:val="single" w:sz="4" w:space="0" w:color="auto"/>
            </w:tcBorders>
            <w:shd w:val="clear" w:color="auto" w:fill="auto"/>
            <w:noWrap/>
            <w:vAlign w:val="center"/>
            <w:hideMark/>
          </w:tcPr>
          <w:p w14:paraId="209463F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(elastic adj1 net).ti,ab,kw.</w:t>
            </w:r>
          </w:p>
        </w:tc>
      </w:tr>
      <w:tr w:rsidR="009D652F" w:rsidRPr="00DF3A56" w14:paraId="5A1B4FE5"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AAD965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21</w:t>
            </w:r>
          </w:p>
        </w:tc>
        <w:tc>
          <w:tcPr>
            <w:tcW w:w="8595" w:type="dxa"/>
            <w:tcBorders>
              <w:top w:val="nil"/>
              <w:left w:val="nil"/>
              <w:bottom w:val="single" w:sz="4" w:space="0" w:color="auto"/>
              <w:right w:val="single" w:sz="4" w:space="0" w:color="auto"/>
            </w:tcBorders>
            <w:shd w:val="clear" w:color="auto" w:fill="auto"/>
            <w:noWrap/>
            <w:vAlign w:val="center"/>
            <w:hideMark/>
          </w:tcPr>
          <w:p w14:paraId="006C6996"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Nonparametric Test/</w:t>
            </w:r>
          </w:p>
        </w:tc>
      </w:tr>
      <w:tr w:rsidR="009D652F" w:rsidRPr="00DF3A56" w14:paraId="6E6E8E5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4D4EB1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22</w:t>
            </w:r>
          </w:p>
        </w:tc>
        <w:tc>
          <w:tcPr>
            <w:tcW w:w="8595" w:type="dxa"/>
            <w:tcBorders>
              <w:top w:val="nil"/>
              <w:left w:val="nil"/>
              <w:bottom w:val="single" w:sz="4" w:space="0" w:color="auto"/>
              <w:right w:val="single" w:sz="4" w:space="0" w:color="auto"/>
            </w:tcBorders>
            <w:shd w:val="clear" w:color="auto" w:fill="auto"/>
            <w:noWrap/>
            <w:vAlign w:val="center"/>
            <w:hideMark/>
          </w:tcPr>
          <w:p w14:paraId="574ADF8A"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((nonparametric or "non-parametric") adj2 (model$ or analys$)).ti,ab,kw.</w:t>
            </w:r>
          </w:p>
        </w:tc>
      </w:tr>
      <w:tr w:rsidR="009D652F" w:rsidRPr="00DF3A56" w14:paraId="2690737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2579E5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23</w:t>
            </w:r>
          </w:p>
        </w:tc>
        <w:tc>
          <w:tcPr>
            <w:tcW w:w="8595" w:type="dxa"/>
            <w:tcBorders>
              <w:top w:val="nil"/>
              <w:left w:val="nil"/>
              <w:bottom w:val="single" w:sz="4" w:space="0" w:color="auto"/>
              <w:right w:val="single" w:sz="4" w:space="0" w:color="auto"/>
            </w:tcBorders>
            <w:shd w:val="clear" w:color="auto" w:fill="auto"/>
            <w:noWrap/>
            <w:vAlign w:val="center"/>
            <w:hideMark/>
          </w:tcPr>
          <w:p w14:paraId="16611C8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(KNN or ANN or ANNs or RNN or RF or SVM or NB or CART or DT or MLP).ti,ab,kw.</w:t>
            </w:r>
          </w:p>
        </w:tc>
      </w:tr>
      <w:tr w:rsidR="009D652F" w:rsidRPr="00DF3A56" w14:paraId="0E2C88E3"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EAA387B"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24</w:t>
            </w:r>
          </w:p>
        </w:tc>
        <w:tc>
          <w:tcPr>
            <w:tcW w:w="8595" w:type="dxa"/>
            <w:tcBorders>
              <w:top w:val="nil"/>
              <w:left w:val="nil"/>
              <w:bottom w:val="single" w:sz="4" w:space="0" w:color="auto"/>
              <w:right w:val="single" w:sz="4" w:space="0" w:color="auto"/>
            </w:tcBorders>
            <w:shd w:val="clear" w:color="auto" w:fill="auto"/>
            <w:noWrap/>
            <w:vAlign w:val="center"/>
            <w:hideMark/>
          </w:tcPr>
          <w:p w14:paraId="33458C8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or/1-23</w:t>
            </w:r>
          </w:p>
        </w:tc>
      </w:tr>
      <w:tr w:rsidR="009D652F" w:rsidRPr="00DF3A56" w14:paraId="79C1A69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D8C1347"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25</w:t>
            </w:r>
          </w:p>
        </w:tc>
        <w:tc>
          <w:tcPr>
            <w:tcW w:w="8595" w:type="dxa"/>
            <w:tcBorders>
              <w:top w:val="nil"/>
              <w:left w:val="nil"/>
              <w:bottom w:val="single" w:sz="4" w:space="0" w:color="auto"/>
              <w:right w:val="single" w:sz="4" w:space="0" w:color="auto"/>
            </w:tcBorders>
            <w:shd w:val="clear" w:color="auto" w:fill="auto"/>
            <w:noWrap/>
            <w:vAlign w:val="center"/>
            <w:hideMark/>
          </w:tcPr>
          <w:p w14:paraId="61CC681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Logistic Regression Analysis/</w:t>
            </w:r>
          </w:p>
        </w:tc>
      </w:tr>
      <w:tr w:rsidR="009D652F" w:rsidRPr="00DF3A56" w14:paraId="7AD937CC"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520310B"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26</w:t>
            </w:r>
          </w:p>
        </w:tc>
        <w:tc>
          <w:tcPr>
            <w:tcW w:w="8595" w:type="dxa"/>
            <w:tcBorders>
              <w:top w:val="nil"/>
              <w:left w:val="nil"/>
              <w:bottom w:val="single" w:sz="4" w:space="0" w:color="auto"/>
              <w:right w:val="single" w:sz="4" w:space="0" w:color="auto"/>
            </w:tcBorders>
            <w:shd w:val="clear" w:color="auto" w:fill="auto"/>
            <w:noWrap/>
            <w:vAlign w:val="center"/>
            <w:hideMark/>
          </w:tcPr>
          <w:p w14:paraId="0F062C2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(logistic adj2 (model$ or regression)).ti,ab,kw.</w:t>
            </w:r>
          </w:p>
        </w:tc>
      </w:tr>
      <w:tr w:rsidR="009D652F" w:rsidRPr="00DF3A56" w14:paraId="39373679"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A3E869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27</w:t>
            </w:r>
          </w:p>
        </w:tc>
        <w:tc>
          <w:tcPr>
            <w:tcW w:w="8595" w:type="dxa"/>
            <w:tcBorders>
              <w:top w:val="nil"/>
              <w:left w:val="nil"/>
              <w:bottom w:val="single" w:sz="4" w:space="0" w:color="auto"/>
              <w:right w:val="single" w:sz="4" w:space="0" w:color="auto"/>
            </w:tcBorders>
            <w:shd w:val="clear" w:color="auto" w:fill="auto"/>
            <w:noWrap/>
            <w:vAlign w:val="center"/>
            <w:hideMark/>
          </w:tcPr>
          <w:p w14:paraId="4BBD5373"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Linear Regression Analysis/</w:t>
            </w:r>
          </w:p>
        </w:tc>
      </w:tr>
      <w:tr w:rsidR="009D652F" w:rsidRPr="00DF3A56" w14:paraId="6B652A0F"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63195A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28</w:t>
            </w:r>
          </w:p>
        </w:tc>
        <w:tc>
          <w:tcPr>
            <w:tcW w:w="8595" w:type="dxa"/>
            <w:tcBorders>
              <w:top w:val="nil"/>
              <w:left w:val="nil"/>
              <w:bottom w:val="single" w:sz="4" w:space="0" w:color="auto"/>
              <w:right w:val="single" w:sz="4" w:space="0" w:color="auto"/>
            </w:tcBorders>
            <w:shd w:val="clear" w:color="auto" w:fill="auto"/>
            <w:noWrap/>
            <w:vAlign w:val="center"/>
            <w:hideMark/>
          </w:tcPr>
          <w:p w14:paraId="0747DFE6"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(linear adj2 (model$ or regression)).ti,ab,kw.</w:t>
            </w:r>
          </w:p>
        </w:tc>
      </w:tr>
      <w:tr w:rsidR="009D652F" w:rsidRPr="00DF3A56" w14:paraId="1CEBA6E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30B616F"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29</w:t>
            </w:r>
          </w:p>
        </w:tc>
        <w:tc>
          <w:tcPr>
            <w:tcW w:w="8595" w:type="dxa"/>
            <w:tcBorders>
              <w:top w:val="nil"/>
              <w:left w:val="nil"/>
              <w:bottom w:val="single" w:sz="4" w:space="0" w:color="auto"/>
              <w:right w:val="single" w:sz="4" w:space="0" w:color="auto"/>
            </w:tcBorders>
            <w:shd w:val="clear" w:color="auto" w:fill="auto"/>
            <w:noWrap/>
            <w:vAlign w:val="center"/>
            <w:hideMark/>
          </w:tcPr>
          <w:p w14:paraId="06A5AD07"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(proportion$ adj2 odds adj2 regression).ti,ab,kw.</w:t>
            </w:r>
          </w:p>
        </w:tc>
      </w:tr>
      <w:tr w:rsidR="009D652F" w:rsidRPr="00DF3A56" w14:paraId="3398163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76DEE9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30</w:t>
            </w:r>
          </w:p>
        </w:tc>
        <w:tc>
          <w:tcPr>
            <w:tcW w:w="8595" w:type="dxa"/>
            <w:tcBorders>
              <w:top w:val="nil"/>
              <w:left w:val="nil"/>
              <w:bottom w:val="single" w:sz="4" w:space="0" w:color="auto"/>
              <w:right w:val="single" w:sz="4" w:space="0" w:color="auto"/>
            </w:tcBorders>
            <w:shd w:val="clear" w:color="auto" w:fill="auto"/>
            <w:noWrap/>
            <w:vAlign w:val="center"/>
            <w:hideMark/>
          </w:tcPr>
          <w:p w14:paraId="6F65E892"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Least Square Analysis/</w:t>
            </w:r>
          </w:p>
        </w:tc>
      </w:tr>
      <w:tr w:rsidR="009D652F" w:rsidRPr="00DF3A56" w14:paraId="47075033"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C98E21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31</w:t>
            </w:r>
          </w:p>
        </w:tc>
        <w:tc>
          <w:tcPr>
            <w:tcW w:w="8595" w:type="dxa"/>
            <w:tcBorders>
              <w:top w:val="nil"/>
              <w:left w:val="nil"/>
              <w:bottom w:val="single" w:sz="4" w:space="0" w:color="auto"/>
              <w:right w:val="single" w:sz="4" w:space="0" w:color="auto"/>
            </w:tcBorders>
            <w:shd w:val="clear" w:color="auto" w:fill="auto"/>
            <w:noWrap/>
            <w:vAlign w:val="center"/>
            <w:hideMark/>
          </w:tcPr>
          <w:p w14:paraId="40278432"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(least adj2 square$).ti,ab,kw.</w:t>
            </w:r>
          </w:p>
        </w:tc>
      </w:tr>
      <w:tr w:rsidR="009D652F" w:rsidRPr="00DF3A56" w14:paraId="56370B0C"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9C8CCA"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32</w:t>
            </w:r>
          </w:p>
        </w:tc>
        <w:tc>
          <w:tcPr>
            <w:tcW w:w="8595" w:type="dxa"/>
            <w:tcBorders>
              <w:top w:val="nil"/>
              <w:left w:val="nil"/>
              <w:bottom w:val="single" w:sz="4" w:space="0" w:color="auto"/>
              <w:right w:val="single" w:sz="4" w:space="0" w:color="auto"/>
            </w:tcBorders>
            <w:shd w:val="clear" w:color="auto" w:fill="auto"/>
            <w:noWrap/>
            <w:vAlign w:val="center"/>
            <w:hideMark/>
          </w:tcPr>
          <w:p w14:paraId="56D2208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Survival Analysis/</w:t>
            </w:r>
          </w:p>
        </w:tc>
      </w:tr>
      <w:tr w:rsidR="009D652F" w:rsidRPr="00DF3A56" w14:paraId="41A59D3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8AFBF0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33</w:t>
            </w:r>
          </w:p>
        </w:tc>
        <w:tc>
          <w:tcPr>
            <w:tcW w:w="8595" w:type="dxa"/>
            <w:tcBorders>
              <w:top w:val="nil"/>
              <w:left w:val="nil"/>
              <w:bottom w:val="single" w:sz="4" w:space="0" w:color="auto"/>
              <w:right w:val="single" w:sz="4" w:space="0" w:color="auto"/>
            </w:tcBorders>
            <w:shd w:val="clear" w:color="auto" w:fill="auto"/>
            <w:noWrap/>
            <w:vAlign w:val="center"/>
            <w:hideMark/>
          </w:tcPr>
          <w:p w14:paraId="29411A9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(survival adj1 (analys$ or model$)).ti,ab,kw.</w:t>
            </w:r>
          </w:p>
        </w:tc>
      </w:tr>
      <w:tr w:rsidR="009D652F" w:rsidRPr="00DF3A56" w14:paraId="02C383F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98C638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34</w:t>
            </w:r>
          </w:p>
        </w:tc>
        <w:tc>
          <w:tcPr>
            <w:tcW w:w="8595" w:type="dxa"/>
            <w:tcBorders>
              <w:top w:val="nil"/>
              <w:left w:val="nil"/>
              <w:bottom w:val="single" w:sz="4" w:space="0" w:color="auto"/>
              <w:right w:val="single" w:sz="4" w:space="0" w:color="auto"/>
            </w:tcBorders>
            <w:shd w:val="clear" w:color="auto" w:fill="auto"/>
            <w:noWrap/>
            <w:vAlign w:val="center"/>
            <w:hideMark/>
          </w:tcPr>
          <w:p w14:paraId="69D3F0A3"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Proportional Hazards Models/</w:t>
            </w:r>
          </w:p>
        </w:tc>
      </w:tr>
      <w:tr w:rsidR="009D652F" w:rsidRPr="00DF3A56" w14:paraId="18D178C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1A98F84"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35</w:t>
            </w:r>
          </w:p>
        </w:tc>
        <w:tc>
          <w:tcPr>
            <w:tcW w:w="8595" w:type="dxa"/>
            <w:tcBorders>
              <w:top w:val="nil"/>
              <w:left w:val="nil"/>
              <w:bottom w:val="single" w:sz="4" w:space="0" w:color="auto"/>
              <w:right w:val="single" w:sz="4" w:space="0" w:color="auto"/>
            </w:tcBorders>
            <w:shd w:val="clear" w:color="auto" w:fill="auto"/>
            <w:noWrap/>
            <w:vAlign w:val="center"/>
            <w:hideMark/>
          </w:tcPr>
          <w:p w14:paraId="00F38211"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(proportional adj1 hazard$).ti,ab,kw.</w:t>
            </w:r>
          </w:p>
        </w:tc>
      </w:tr>
      <w:tr w:rsidR="009D652F" w:rsidRPr="00DF3A56" w14:paraId="6C198D9D"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7124EE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36</w:t>
            </w:r>
          </w:p>
        </w:tc>
        <w:tc>
          <w:tcPr>
            <w:tcW w:w="8595" w:type="dxa"/>
            <w:tcBorders>
              <w:top w:val="nil"/>
              <w:left w:val="nil"/>
              <w:bottom w:val="single" w:sz="4" w:space="0" w:color="auto"/>
              <w:right w:val="single" w:sz="4" w:space="0" w:color="auto"/>
            </w:tcBorders>
            <w:shd w:val="clear" w:color="auto" w:fill="auto"/>
            <w:noWrap/>
            <w:vAlign w:val="center"/>
            <w:hideMark/>
          </w:tcPr>
          <w:p w14:paraId="546970C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((cox or parametric) adj1 (regression or model$)).ti,ab,kw.</w:t>
            </w:r>
          </w:p>
        </w:tc>
      </w:tr>
      <w:tr w:rsidR="009D652F" w:rsidRPr="00DF3A56" w14:paraId="0903C2D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B5AA6C3"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37</w:t>
            </w:r>
          </w:p>
        </w:tc>
        <w:tc>
          <w:tcPr>
            <w:tcW w:w="8595" w:type="dxa"/>
            <w:tcBorders>
              <w:top w:val="nil"/>
              <w:left w:val="nil"/>
              <w:bottom w:val="single" w:sz="4" w:space="0" w:color="auto"/>
              <w:right w:val="single" w:sz="4" w:space="0" w:color="auto"/>
            </w:tcBorders>
            <w:shd w:val="clear" w:color="auto" w:fill="auto"/>
            <w:noWrap/>
            <w:vAlign w:val="center"/>
            <w:hideMark/>
          </w:tcPr>
          <w:p w14:paraId="4FBC61E1"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(semi adj2 parametric adj1 (regression or model$)).ti,ab,kw.</w:t>
            </w:r>
          </w:p>
        </w:tc>
      </w:tr>
      <w:tr w:rsidR="009D652F" w:rsidRPr="00DF3A56" w14:paraId="2AD2B4A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05589B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lastRenderedPageBreak/>
              <w:t>38</w:t>
            </w:r>
          </w:p>
        </w:tc>
        <w:tc>
          <w:tcPr>
            <w:tcW w:w="8595" w:type="dxa"/>
            <w:tcBorders>
              <w:top w:val="nil"/>
              <w:left w:val="nil"/>
              <w:bottom w:val="single" w:sz="4" w:space="0" w:color="auto"/>
              <w:right w:val="single" w:sz="4" w:space="0" w:color="auto"/>
            </w:tcBorders>
            <w:shd w:val="clear" w:color="auto" w:fill="auto"/>
            <w:noWrap/>
            <w:vAlign w:val="center"/>
            <w:hideMark/>
          </w:tcPr>
          <w:p w14:paraId="1C92123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Disease-Free Survival/</w:t>
            </w:r>
          </w:p>
        </w:tc>
      </w:tr>
      <w:tr w:rsidR="009D652F" w:rsidRPr="00DF3A56" w14:paraId="6C349C85"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0696C97"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39</w:t>
            </w:r>
          </w:p>
        </w:tc>
        <w:tc>
          <w:tcPr>
            <w:tcW w:w="8595" w:type="dxa"/>
            <w:tcBorders>
              <w:top w:val="nil"/>
              <w:left w:val="nil"/>
              <w:bottom w:val="single" w:sz="4" w:space="0" w:color="auto"/>
              <w:right w:val="single" w:sz="4" w:space="0" w:color="auto"/>
            </w:tcBorders>
            <w:shd w:val="clear" w:color="auto" w:fill="auto"/>
            <w:noWrap/>
            <w:vAlign w:val="center"/>
            <w:hideMark/>
          </w:tcPr>
          <w:p w14:paraId="1777DBB6"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Progression-Free Survival/</w:t>
            </w:r>
          </w:p>
        </w:tc>
      </w:tr>
      <w:tr w:rsidR="009D652F" w:rsidRPr="00DF3A56" w14:paraId="207DFC8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9659E7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40</w:t>
            </w:r>
          </w:p>
        </w:tc>
        <w:tc>
          <w:tcPr>
            <w:tcW w:w="8595" w:type="dxa"/>
            <w:tcBorders>
              <w:top w:val="nil"/>
              <w:left w:val="nil"/>
              <w:bottom w:val="single" w:sz="4" w:space="0" w:color="auto"/>
              <w:right w:val="single" w:sz="4" w:space="0" w:color="auto"/>
            </w:tcBorders>
            <w:shd w:val="clear" w:color="auto" w:fill="auto"/>
            <w:noWrap/>
            <w:vAlign w:val="center"/>
            <w:hideMark/>
          </w:tcPr>
          <w:p w14:paraId="0A7E0B23"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((disease or progression or event) adj2 free adj1 survival).ti,ab,kw.</w:t>
            </w:r>
          </w:p>
        </w:tc>
      </w:tr>
      <w:tr w:rsidR="009D652F" w:rsidRPr="00DF3A56" w14:paraId="6677882C"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C4CC2F2"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41</w:t>
            </w:r>
          </w:p>
        </w:tc>
        <w:tc>
          <w:tcPr>
            <w:tcW w:w="8595" w:type="dxa"/>
            <w:tcBorders>
              <w:top w:val="nil"/>
              <w:left w:val="nil"/>
              <w:bottom w:val="single" w:sz="4" w:space="0" w:color="auto"/>
              <w:right w:val="single" w:sz="4" w:space="0" w:color="auto"/>
            </w:tcBorders>
            <w:shd w:val="clear" w:color="auto" w:fill="auto"/>
            <w:noWrap/>
            <w:vAlign w:val="center"/>
            <w:hideMark/>
          </w:tcPr>
          <w:p w14:paraId="47DF8ED6"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(overall adj1 survival).ti,ab,kw.</w:t>
            </w:r>
          </w:p>
        </w:tc>
      </w:tr>
      <w:tr w:rsidR="009D652F" w:rsidRPr="00DF3A56" w14:paraId="1FC9BD5B"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2AFF76C"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42</w:t>
            </w:r>
          </w:p>
        </w:tc>
        <w:tc>
          <w:tcPr>
            <w:tcW w:w="8595" w:type="dxa"/>
            <w:tcBorders>
              <w:top w:val="nil"/>
              <w:left w:val="nil"/>
              <w:bottom w:val="single" w:sz="4" w:space="0" w:color="auto"/>
              <w:right w:val="single" w:sz="4" w:space="0" w:color="auto"/>
            </w:tcBorders>
            <w:shd w:val="clear" w:color="auto" w:fill="auto"/>
            <w:noWrap/>
            <w:vAlign w:val="center"/>
            <w:hideMark/>
          </w:tcPr>
          <w:p w14:paraId="03B3B23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or/25-41</w:t>
            </w:r>
          </w:p>
        </w:tc>
      </w:tr>
      <w:tr w:rsidR="009D652F" w:rsidRPr="00DF3A56" w14:paraId="2452CD6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97214D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43</w:t>
            </w:r>
          </w:p>
        </w:tc>
        <w:tc>
          <w:tcPr>
            <w:tcW w:w="8595" w:type="dxa"/>
            <w:tcBorders>
              <w:top w:val="nil"/>
              <w:left w:val="nil"/>
              <w:bottom w:val="single" w:sz="4" w:space="0" w:color="auto"/>
              <w:right w:val="single" w:sz="4" w:space="0" w:color="auto"/>
            </w:tcBorders>
            <w:shd w:val="clear" w:color="auto" w:fill="auto"/>
            <w:noWrap/>
            <w:vAlign w:val="center"/>
            <w:hideMark/>
          </w:tcPr>
          <w:p w14:paraId="489557B6"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24 and 42</w:t>
            </w:r>
          </w:p>
        </w:tc>
      </w:tr>
      <w:tr w:rsidR="009D652F" w:rsidRPr="00DF3A56" w14:paraId="6D1E5C43"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79E3AD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44</w:t>
            </w:r>
          </w:p>
        </w:tc>
        <w:tc>
          <w:tcPr>
            <w:tcW w:w="8595" w:type="dxa"/>
            <w:tcBorders>
              <w:top w:val="nil"/>
              <w:left w:val="nil"/>
              <w:bottom w:val="single" w:sz="4" w:space="0" w:color="auto"/>
              <w:right w:val="single" w:sz="4" w:space="0" w:color="auto"/>
            </w:tcBorders>
            <w:shd w:val="clear" w:color="auto" w:fill="auto"/>
            <w:noWrap/>
            <w:vAlign w:val="center"/>
            <w:hideMark/>
          </w:tcPr>
          <w:p w14:paraId="2C44F957"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24 or 43</w:t>
            </w:r>
          </w:p>
        </w:tc>
      </w:tr>
      <w:tr w:rsidR="009D652F" w:rsidRPr="00DF3A56" w14:paraId="130AE00B"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0C6787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45</w:t>
            </w:r>
          </w:p>
        </w:tc>
        <w:tc>
          <w:tcPr>
            <w:tcW w:w="8595" w:type="dxa"/>
            <w:tcBorders>
              <w:top w:val="nil"/>
              <w:left w:val="nil"/>
              <w:bottom w:val="single" w:sz="4" w:space="0" w:color="auto"/>
              <w:right w:val="single" w:sz="4" w:space="0" w:color="auto"/>
            </w:tcBorders>
            <w:shd w:val="clear" w:color="auto" w:fill="auto"/>
            <w:noWrap/>
            <w:vAlign w:val="center"/>
            <w:hideMark/>
          </w:tcPr>
          <w:p w14:paraId="190940E2"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exp Neoplasm/</w:t>
            </w:r>
          </w:p>
        </w:tc>
      </w:tr>
      <w:tr w:rsidR="009D652F" w:rsidRPr="00DF3A56" w14:paraId="52A36AA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341B37B"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46</w:t>
            </w:r>
          </w:p>
        </w:tc>
        <w:tc>
          <w:tcPr>
            <w:tcW w:w="8595" w:type="dxa"/>
            <w:tcBorders>
              <w:top w:val="nil"/>
              <w:left w:val="nil"/>
              <w:bottom w:val="single" w:sz="4" w:space="0" w:color="auto"/>
              <w:right w:val="single" w:sz="4" w:space="0" w:color="auto"/>
            </w:tcBorders>
            <w:shd w:val="clear" w:color="auto" w:fill="auto"/>
            <w:noWrap/>
            <w:vAlign w:val="center"/>
            <w:hideMark/>
          </w:tcPr>
          <w:p w14:paraId="2A8F32FA"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(cancer$ or tumour$ or tumor$ or carcinoma$ or malignan$ or neoplas$ or sarcoma$ or adenocarcinoma$ or carcinogen$ or metasta$ or oncolog$).ti,ab,kw.</w:t>
            </w:r>
          </w:p>
        </w:tc>
      </w:tr>
      <w:tr w:rsidR="009D652F" w:rsidRPr="00DF3A56" w14:paraId="6EB29D8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23E52B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47</w:t>
            </w:r>
          </w:p>
        </w:tc>
        <w:tc>
          <w:tcPr>
            <w:tcW w:w="8595" w:type="dxa"/>
            <w:tcBorders>
              <w:top w:val="nil"/>
              <w:left w:val="nil"/>
              <w:bottom w:val="single" w:sz="4" w:space="0" w:color="auto"/>
              <w:right w:val="single" w:sz="4" w:space="0" w:color="auto"/>
            </w:tcBorders>
            <w:shd w:val="clear" w:color="auto" w:fill="auto"/>
            <w:noWrap/>
            <w:vAlign w:val="center"/>
            <w:hideMark/>
          </w:tcPr>
          <w:p w14:paraId="0BF91BF8"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or/45-46</w:t>
            </w:r>
          </w:p>
        </w:tc>
      </w:tr>
      <w:tr w:rsidR="009D652F" w:rsidRPr="00DF3A56" w14:paraId="13EA919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55168B4"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48</w:t>
            </w:r>
          </w:p>
        </w:tc>
        <w:tc>
          <w:tcPr>
            <w:tcW w:w="8595" w:type="dxa"/>
            <w:tcBorders>
              <w:top w:val="nil"/>
              <w:left w:val="nil"/>
              <w:bottom w:val="single" w:sz="4" w:space="0" w:color="auto"/>
              <w:right w:val="single" w:sz="4" w:space="0" w:color="auto"/>
            </w:tcBorders>
            <w:shd w:val="clear" w:color="auto" w:fill="auto"/>
            <w:noWrap/>
            <w:vAlign w:val="center"/>
            <w:hideMark/>
          </w:tcPr>
          <w:p w14:paraId="2F2AB18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exp Prognosis/</w:t>
            </w:r>
          </w:p>
        </w:tc>
      </w:tr>
      <w:tr w:rsidR="009D652F" w:rsidRPr="00DF3A56" w14:paraId="0AAC7AD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8DF409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49</w:t>
            </w:r>
          </w:p>
        </w:tc>
        <w:tc>
          <w:tcPr>
            <w:tcW w:w="8595" w:type="dxa"/>
            <w:tcBorders>
              <w:top w:val="nil"/>
              <w:left w:val="nil"/>
              <w:bottom w:val="single" w:sz="4" w:space="0" w:color="auto"/>
              <w:right w:val="single" w:sz="4" w:space="0" w:color="auto"/>
            </w:tcBorders>
            <w:shd w:val="clear" w:color="auto" w:fill="auto"/>
            <w:noWrap/>
            <w:vAlign w:val="center"/>
            <w:hideMark/>
          </w:tcPr>
          <w:p w14:paraId="17BEB82E"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(prognos$ adj1 (modelling or modeling or model or models or predict$ or index or performance or nomogram or tools or ability or accuracy or probability or risk or factor$ or marker$ or biomarker$ or parameter$)).ti,ab,kw.</w:t>
            </w:r>
          </w:p>
        </w:tc>
      </w:tr>
      <w:tr w:rsidR="009D652F" w:rsidRPr="00DF3A56" w14:paraId="4F15695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5F0E0BF"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50</w:t>
            </w:r>
          </w:p>
        </w:tc>
        <w:tc>
          <w:tcPr>
            <w:tcW w:w="8595" w:type="dxa"/>
            <w:tcBorders>
              <w:top w:val="nil"/>
              <w:left w:val="nil"/>
              <w:bottom w:val="single" w:sz="4" w:space="0" w:color="auto"/>
              <w:right w:val="single" w:sz="4" w:space="0" w:color="auto"/>
            </w:tcBorders>
            <w:shd w:val="clear" w:color="auto" w:fill="auto"/>
            <w:noWrap/>
            <w:vAlign w:val="center"/>
            <w:hideMark/>
          </w:tcPr>
          <w:p w14:paraId="54EACF0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"risk model$".ti,ab,kw.</w:t>
            </w:r>
          </w:p>
        </w:tc>
      </w:tr>
      <w:tr w:rsidR="009D652F" w:rsidRPr="00DF3A56" w14:paraId="204392DE"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376AC49"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51</w:t>
            </w:r>
          </w:p>
        </w:tc>
        <w:tc>
          <w:tcPr>
            <w:tcW w:w="8595" w:type="dxa"/>
            <w:tcBorders>
              <w:top w:val="nil"/>
              <w:left w:val="nil"/>
              <w:bottom w:val="single" w:sz="4" w:space="0" w:color="auto"/>
              <w:right w:val="single" w:sz="4" w:space="0" w:color="auto"/>
            </w:tcBorders>
            <w:shd w:val="clear" w:color="auto" w:fill="auto"/>
            <w:noWrap/>
            <w:vAlign w:val="center"/>
            <w:hideMark/>
          </w:tcPr>
          <w:p w14:paraId="7ABC2E27"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 the prognosis of".ti,ab,kw.</w:t>
            </w:r>
          </w:p>
        </w:tc>
      </w:tr>
      <w:tr w:rsidR="009D652F" w:rsidRPr="00DF3A56" w14:paraId="3F2F7183"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B661C7F"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52</w:t>
            </w:r>
          </w:p>
        </w:tc>
        <w:tc>
          <w:tcPr>
            <w:tcW w:w="8595" w:type="dxa"/>
            <w:tcBorders>
              <w:top w:val="nil"/>
              <w:left w:val="nil"/>
              <w:bottom w:val="single" w:sz="4" w:space="0" w:color="auto"/>
              <w:right w:val="single" w:sz="4" w:space="0" w:color="auto"/>
            </w:tcBorders>
            <w:shd w:val="clear" w:color="auto" w:fill="auto"/>
            <w:noWrap/>
            <w:vAlign w:val="center"/>
            <w:hideMark/>
          </w:tcPr>
          <w:p w14:paraId="776029C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 the risk of".ti,ab,kw.</w:t>
            </w:r>
          </w:p>
        </w:tc>
      </w:tr>
      <w:tr w:rsidR="009D652F" w:rsidRPr="00DF3A56" w14:paraId="70FDD59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A228DA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53</w:t>
            </w:r>
          </w:p>
        </w:tc>
        <w:tc>
          <w:tcPr>
            <w:tcW w:w="8595" w:type="dxa"/>
            <w:tcBorders>
              <w:top w:val="nil"/>
              <w:left w:val="nil"/>
              <w:bottom w:val="single" w:sz="4" w:space="0" w:color="auto"/>
              <w:right w:val="single" w:sz="4" w:space="0" w:color="auto"/>
            </w:tcBorders>
            <w:shd w:val="clear" w:color="auto" w:fill="auto"/>
            <w:noWrap/>
            <w:vAlign w:val="center"/>
            <w:hideMark/>
          </w:tcPr>
          <w:p w14:paraId="3AA1EC9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 the probability of".ti,ab,kw.</w:t>
            </w:r>
          </w:p>
        </w:tc>
      </w:tr>
      <w:tr w:rsidR="009D652F" w:rsidRPr="00DF3A56" w14:paraId="6045160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4F7C3F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54</w:t>
            </w:r>
          </w:p>
        </w:tc>
        <w:tc>
          <w:tcPr>
            <w:tcW w:w="8595" w:type="dxa"/>
            <w:tcBorders>
              <w:top w:val="nil"/>
              <w:left w:val="nil"/>
              <w:bottom w:val="single" w:sz="4" w:space="0" w:color="auto"/>
              <w:right w:val="single" w:sz="4" w:space="0" w:color="auto"/>
            </w:tcBorders>
            <w:shd w:val="clear" w:color="auto" w:fill="auto"/>
            <w:noWrap/>
            <w:vAlign w:val="center"/>
            <w:hideMark/>
          </w:tcPr>
          <w:p w14:paraId="4024D67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(probability adj1 (modelling or modeling or model or models)).ti,ab,kw.</w:t>
            </w:r>
          </w:p>
        </w:tc>
      </w:tr>
      <w:tr w:rsidR="009D652F" w:rsidRPr="00DF3A56" w14:paraId="77C5E63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56B199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55</w:t>
            </w:r>
          </w:p>
        </w:tc>
        <w:tc>
          <w:tcPr>
            <w:tcW w:w="8595" w:type="dxa"/>
            <w:tcBorders>
              <w:top w:val="nil"/>
              <w:left w:val="nil"/>
              <w:bottom w:val="single" w:sz="4" w:space="0" w:color="auto"/>
              <w:right w:val="single" w:sz="4" w:space="0" w:color="auto"/>
            </w:tcBorders>
            <w:shd w:val="clear" w:color="auto" w:fill="auto"/>
            <w:noWrap/>
            <w:vAlign w:val="center"/>
            <w:hideMark/>
          </w:tcPr>
          <w:p w14:paraId="08C1397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Prediction/</w:t>
            </w:r>
          </w:p>
        </w:tc>
      </w:tr>
      <w:tr w:rsidR="009D652F" w:rsidRPr="00DF3A56" w14:paraId="5948AB1F"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1CB17A"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56</w:t>
            </w:r>
          </w:p>
        </w:tc>
        <w:tc>
          <w:tcPr>
            <w:tcW w:w="8595" w:type="dxa"/>
            <w:tcBorders>
              <w:top w:val="nil"/>
              <w:left w:val="nil"/>
              <w:bottom w:val="single" w:sz="4" w:space="0" w:color="auto"/>
              <w:right w:val="single" w:sz="4" w:space="0" w:color="auto"/>
            </w:tcBorders>
            <w:shd w:val="clear" w:color="auto" w:fill="auto"/>
            <w:noWrap/>
            <w:vAlign w:val="center"/>
            <w:hideMark/>
          </w:tcPr>
          <w:p w14:paraId="2DD180D8"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 adj1 (modelling or modeling or model or models or nomogram or tools or performance or ability or index or accuracy or probability or risk or factor$ or marker$ or biomarker$)).ti,ab,kw.</w:t>
            </w:r>
          </w:p>
        </w:tc>
      </w:tr>
      <w:tr w:rsidR="009D652F" w:rsidRPr="00DF3A56" w14:paraId="3D3C6975"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3D99722"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57</w:t>
            </w:r>
          </w:p>
        </w:tc>
        <w:tc>
          <w:tcPr>
            <w:tcW w:w="8595" w:type="dxa"/>
            <w:tcBorders>
              <w:top w:val="nil"/>
              <w:left w:val="nil"/>
              <w:bottom w:val="single" w:sz="4" w:space="0" w:color="auto"/>
              <w:right w:val="single" w:sz="4" w:space="0" w:color="auto"/>
            </w:tcBorders>
            <w:shd w:val="clear" w:color="auto" w:fill="auto"/>
            <w:noWrap/>
            <w:vAlign w:val="center"/>
            <w:hideMark/>
          </w:tcPr>
          <w:p w14:paraId="5D87C92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"candidate predictor$".ti,ab,kw.</w:t>
            </w:r>
          </w:p>
        </w:tc>
      </w:tr>
      <w:tr w:rsidR="009D652F" w:rsidRPr="00DF3A56" w14:paraId="10741CC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1A67F4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58</w:t>
            </w:r>
          </w:p>
        </w:tc>
        <w:tc>
          <w:tcPr>
            <w:tcW w:w="8595" w:type="dxa"/>
            <w:tcBorders>
              <w:top w:val="nil"/>
              <w:left w:val="nil"/>
              <w:bottom w:val="single" w:sz="4" w:space="0" w:color="auto"/>
              <w:right w:val="single" w:sz="4" w:space="0" w:color="auto"/>
            </w:tcBorders>
            <w:shd w:val="clear" w:color="auto" w:fill="auto"/>
            <w:noWrap/>
            <w:vAlign w:val="center"/>
            <w:hideMark/>
          </w:tcPr>
          <w:p w14:paraId="7B6C9A9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"predictive clinical parameter$".ti,ab,kw.</w:t>
            </w:r>
          </w:p>
        </w:tc>
      </w:tr>
      <w:tr w:rsidR="009D652F" w:rsidRPr="00DF3A56" w14:paraId="78DE117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180CA7F"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59</w:t>
            </w:r>
          </w:p>
        </w:tc>
        <w:tc>
          <w:tcPr>
            <w:tcW w:w="8595" w:type="dxa"/>
            <w:tcBorders>
              <w:top w:val="nil"/>
              <w:left w:val="nil"/>
              <w:bottom w:val="single" w:sz="4" w:space="0" w:color="auto"/>
              <w:right w:val="single" w:sz="4" w:space="0" w:color="auto"/>
            </w:tcBorders>
            <w:shd w:val="clear" w:color="auto" w:fill="auto"/>
            <w:noWrap/>
            <w:vAlign w:val="center"/>
            <w:hideMark/>
          </w:tcPr>
          <w:p w14:paraId="54E5398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((discrimination or discriminative or discriminatory) adj1 (accuracy or ability or performance or value or model or models or power or capacity or capabilit$ or efficiency)).ti,ab,kw.</w:t>
            </w:r>
          </w:p>
        </w:tc>
      </w:tr>
      <w:tr w:rsidR="009D652F" w:rsidRPr="00DF3A56" w14:paraId="00CB335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A50FF5C"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60</w:t>
            </w:r>
          </w:p>
        </w:tc>
        <w:tc>
          <w:tcPr>
            <w:tcW w:w="8595" w:type="dxa"/>
            <w:tcBorders>
              <w:top w:val="nil"/>
              <w:left w:val="nil"/>
              <w:bottom w:val="single" w:sz="4" w:space="0" w:color="auto"/>
              <w:right w:val="single" w:sz="4" w:space="0" w:color="auto"/>
            </w:tcBorders>
            <w:shd w:val="clear" w:color="auto" w:fill="auto"/>
            <w:noWrap/>
            <w:vAlign w:val="center"/>
            <w:hideMark/>
          </w:tcPr>
          <w:p w14:paraId="1061537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(discriminability or c-index or c-statistic or concordance or DCA).ti,ab,kw.</w:t>
            </w:r>
          </w:p>
        </w:tc>
      </w:tr>
      <w:tr w:rsidR="009D652F" w:rsidRPr="00DF3A56" w14:paraId="66C40D0B"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E7CDB1C"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61</w:t>
            </w:r>
          </w:p>
        </w:tc>
        <w:tc>
          <w:tcPr>
            <w:tcW w:w="8595" w:type="dxa"/>
            <w:tcBorders>
              <w:top w:val="nil"/>
              <w:left w:val="nil"/>
              <w:bottom w:val="single" w:sz="4" w:space="0" w:color="auto"/>
              <w:right w:val="single" w:sz="4" w:space="0" w:color="auto"/>
            </w:tcBorders>
            <w:shd w:val="clear" w:color="auto" w:fill="auto"/>
            <w:noWrap/>
            <w:vAlign w:val="center"/>
            <w:hideMark/>
          </w:tcPr>
          <w:p w14:paraId="66EE807C"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"decision curve".ti,ab,kw.</w:t>
            </w:r>
          </w:p>
        </w:tc>
      </w:tr>
      <w:tr w:rsidR="009D652F" w:rsidRPr="00DF3A56" w14:paraId="2C1422B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A35480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62</w:t>
            </w:r>
          </w:p>
        </w:tc>
        <w:tc>
          <w:tcPr>
            <w:tcW w:w="8595" w:type="dxa"/>
            <w:tcBorders>
              <w:top w:val="nil"/>
              <w:left w:val="nil"/>
              <w:bottom w:val="single" w:sz="4" w:space="0" w:color="auto"/>
              <w:right w:val="single" w:sz="4" w:space="0" w:color="auto"/>
            </w:tcBorders>
            <w:shd w:val="clear" w:color="auto" w:fill="auto"/>
            <w:noWrap/>
            <w:vAlign w:val="center"/>
            <w:hideMark/>
          </w:tcPr>
          <w:p w14:paraId="3919C12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Calibration/</w:t>
            </w:r>
          </w:p>
        </w:tc>
      </w:tr>
      <w:tr w:rsidR="009D652F" w:rsidRPr="00DF3A56" w14:paraId="46E9C92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B8420F2"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63</w:t>
            </w:r>
          </w:p>
        </w:tc>
        <w:tc>
          <w:tcPr>
            <w:tcW w:w="8595" w:type="dxa"/>
            <w:tcBorders>
              <w:top w:val="nil"/>
              <w:left w:val="nil"/>
              <w:bottom w:val="single" w:sz="4" w:space="0" w:color="auto"/>
              <w:right w:val="single" w:sz="4" w:space="0" w:color="auto"/>
            </w:tcBorders>
            <w:shd w:val="clear" w:color="auto" w:fill="auto"/>
            <w:noWrap/>
            <w:vAlign w:val="center"/>
            <w:hideMark/>
          </w:tcPr>
          <w:p w14:paraId="36F09751"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(calibrat$ adj1 (plot$ or curve$ or slope$ or model or models)).ti,ab,kw.</w:t>
            </w:r>
          </w:p>
        </w:tc>
      </w:tr>
      <w:tr w:rsidR="009D652F" w:rsidRPr="00DF3A56" w14:paraId="3F884BF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1D5D48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64</w:t>
            </w:r>
          </w:p>
        </w:tc>
        <w:tc>
          <w:tcPr>
            <w:tcW w:w="8595" w:type="dxa"/>
            <w:tcBorders>
              <w:top w:val="nil"/>
              <w:left w:val="nil"/>
              <w:bottom w:val="single" w:sz="4" w:space="0" w:color="auto"/>
              <w:right w:val="single" w:sz="4" w:space="0" w:color="auto"/>
            </w:tcBorders>
            <w:shd w:val="clear" w:color="auto" w:fill="auto"/>
            <w:noWrap/>
            <w:vAlign w:val="center"/>
            <w:hideMark/>
          </w:tcPr>
          <w:p w14:paraId="5346005A"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(brier adj1 score$).ti,ab,kw.</w:t>
            </w:r>
          </w:p>
        </w:tc>
      </w:tr>
      <w:tr w:rsidR="009D652F" w:rsidRPr="00DF3A56" w14:paraId="0554C7B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AD749A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65</w:t>
            </w:r>
          </w:p>
        </w:tc>
        <w:tc>
          <w:tcPr>
            <w:tcW w:w="8595" w:type="dxa"/>
            <w:tcBorders>
              <w:top w:val="nil"/>
              <w:left w:val="nil"/>
              <w:bottom w:val="single" w:sz="4" w:space="0" w:color="auto"/>
              <w:right w:val="single" w:sz="4" w:space="0" w:color="auto"/>
            </w:tcBorders>
            <w:shd w:val="clear" w:color="auto" w:fill="auto"/>
            <w:noWrap/>
            <w:vAlign w:val="center"/>
            <w:hideMark/>
          </w:tcPr>
          <w:p w14:paraId="603250D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(performance adj1 (classification or classifier or clinical or accuracy or validation or metrics or diagnostic or AUC)).ti,ab,kw.</w:t>
            </w:r>
          </w:p>
        </w:tc>
      </w:tr>
      <w:tr w:rsidR="009D652F" w:rsidRPr="00DF3A56" w14:paraId="7D31F5D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07D748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66</w:t>
            </w:r>
          </w:p>
        </w:tc>
        <w:tc>
          <w:tcPr>
            <w:tcW w:w="8595" w:type="dxa"/>
            <w:tcBorders>
              <w:top w:val="nil"/>
              <w:left w:val="nil"/>
              <w:bottom w:val="single" w:sz="4" w:space="0" w:color="auto"/>
              <w:right w:val="single" w:sz="4" w:space="0" w:color="auto"/>
            </w:tcBorders>
            <w:shd w:val="clear" w:color="auto" w:fill="auto"/>
            <w:noWrap/>
            <w:vAlign w:val="center"/>
            <w:hideMark/>
          </w:tcPr>
          <w:p w14:paraId="07EBD408"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Validation Process/</w:t>
            </w:r>
          </w:p>
        </w:tc>
      </w:tr>
      <w:tr w:rsidR="009D652F" w:rsidRPr="00DF3A56" w14:paraId="06A82E6A"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0B14F7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67</w:t>
            </w:r>
          </w:p>
        </w:tc>
        <w:tc>
          <w:tcPr>
            <w:tcW w:w="8595" w:type="dxa"/>
            <w:tcBorders>
              <w:top w:val="nil"/>
              <w:left w:val="nil"/>
              <w:bottom w:val="single" w:sz="4" w:space="0" w:color="auto"/>
              <w:right w:val="single" w:sz="4" w:space="0" w:color="auto"/>
            </w:tcBorders>
            <w:shd w:val="clear" w:color="auto" w:fill="auto"/>
            <w:noWrap/>
            <w:vAlign w:val="center"/>
            <w:hideMark/>
          </w:tcPr>
          <w:p w14:paraId="2D43372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(sensitivity or specificity or PPV or NPV).ti,ab,kw.</w:t>
            </w:r>
          </w:p>
        </w:tc>
      </w:tr>
      <w:tr w:rsidR="009D652F" w:rsidRPr="00DF3A56" w14:paraId="064CB913"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D09438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68</w:t>
            </w:r>
          </w:p>
        </w:tc>
        <w:tc>
          <w:tcPr>
            <w:tcW w:w="8595" w:type="dxa"/>
            <w:tcBorders>
              <w:top w:val="nil"/>
              <w:left w:val="nil"/>
              <w:bottom w:val="single" w:sz="4" w:space="0" w:color="auto"/>
              <w:right w:val="single" w:sz="4" w:space="0" w:color="auto"/>
            </w:tcBorders>
            <w:shd w:val="clear" w:color="auto" w:fill="auto"/>
            <w:noWrap/>
            <w:vAlign w:val="center"/>
            <w:hideMark/>
          </w:tcPr>
          <w:p w14:paraId="677172C4"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"correctly classified".ti,ab,kw.</w:t>
            </w:r>
          </w:p>
        </w:tc>
      </w:tr>
      <w:tr w:rsidR="009D652F" w:rsidRPr="00DF3A56" w14:paraId="04C21E6F"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864C8A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69</w:t>
            </w:r>
          </w:p>
        </w:tc>
        <w:tc>
          <w:tcPr>
            <w:tcW w:w="8595" w:type="dxa"/>
            <w:tcBorders>
              <w:top w:val="nil"/>
              <w:left w:val="nil"/>
              <w:bottom w:val="single" w:sz="4" w:space="0" w:color="auto"/>
              <w:right w:val="single" w:sz="4" w:space="0" w:color="auto"/>
            </w:tcBorders>
            <w:shd w:val="clear" w:color="auto" w:fill="auto"/>
            <w:noWrap/>
            <w:vAlign w:val="center"/>
            <w:hideMark/>
          </w:tcPr>
          <w:p w14:paraId="5D724B5D"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(classification or classifier).ti,ab,kw.</w:t>
            </w:r>
          </w:p>
        </w:tc>
      </w:tr>
      <w:tr w:rsidR="009D652F" w:rsidRPr="00DF3A56" w14:paraId="605391BB"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162E2A"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70</w:t>
            </w:r>
          </w:p>
        </w:tc>
        <w:tc>
          <w:tcPr>
            <w:tcW w:w="8595" w:type="dxa"/>
            <w:tcBorders>
              <w:top w:val="nil"/>
              <w:left w:val="nil"/>
              <w:bottom w:val="single" w:sz="4" w:space="0" w:color="auto"/>
              <w:right w:val="single" w:sz="4" w:space="0" w:color="auto"/>
            </w:tcBorders>
            <w:shd w:val="clear" w:color="auto" w:fill="auto"/>
            <w:noWrap/>
            <w:vAlign w:val="center"/>
            <w:hideMark/>
          </w:tcPr>
          <w:p w14:paraId="3BF5D0A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"clinical accuracy".ti,ab,kw.</w:t>
            </w:r>
          </w:p>
        </w:tc>
      </w:tr>
      <w:tr w:rsidR="009D652F" w:rsidRPr="00DF3A56" w14:paraId="2D7E4CD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10A89B4"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71</w:t>
            </w:r>
          </w:p>
        </w:tc>
        <w:tc>
          <w:tcPr>
            <w:tcW w:w="8595" w:type="dxa"/>
            <w:tcBorders>
              <w:top w:val="nil"/>
              <w:left w:val="nil"/>
              <w:bottom w:val="single" w:sz="4" w:space="0" w:color="auto"/>
              <w:right w:val="single" w:sz="4" w:space="0" w:color="auto"/>
            </w:tcBorders>
            <w:shd w:val="clear" w:color="auto" w:fill="auto"/>
            <w:noWrap/>
            <w:vAlign w:val="center"/>
            <w:hideMark/>
          </w:tcPr>
          <w:p w14:paraId="0C517EE8"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"positive predictive value$".ti,ab,kw.</w:t>
            </w:r>
          </w:p>
        </w:tc>
      </w:tr>
      <w:tr w:rsidR="009D652F" w:rsidRPr="00DF3A56" w14:paraId="0EED7754"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155DEA7"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72</w:t>
            </w:r>
          </w:p>
        </w:tc>
        <w:tc>
          <w:tcPr>
            <w:tcW w:w="8595" w:type="dxa"/>
            <w:tcBorders>
              <w:top w:val="nil"/>
              <w:left w:val="nil"/>
              <w:bottom w:val="single" w:sz="4" w:space="0" w:color="auto"/>
              <w:right w:val="single" w:sz="4" w:space="0" w:color="auto"/>
            </w:tcBorders>
            <w:shd w:val="clear" w:color="auto" w:fill="auto"/>
            <w:noWrap/>
            <w:vAlign w:val="center"/>
            <w:hideMark/>
          </w:tcPr>
          <w:p w14:paraId="364BA45E"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"negative predictive value$".ti,ab,kw.</w:t>
            </w:r>
          </w:p>
        </w:tc>
      </w:tr>
      <w:tr w:rsidR="009D652F" w:rsidRPr="00DF3A56" w14:paraId="2814854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707887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73</w:t>
            </w:r>
          </w:p>
        </w:tc>
        <w:tc>
          <w:tcPr>
            <w:tcW w:w="8595" w:type="dxa"/>
            <w:tcBorders>
              <w:top w:val="nil"/>
              <w:left w:val="nil"/>
              <w:bottom w:val="single" w:sz="4" w:space="0" w:color="auto"/>
              <w:right w:val="single" w:sz="4" w:space="0" w:color="auto"/>
            </w:tcBorders>
            <w:shd w:val="clear" w:color="auto" w:fill="auto"/>
            <w:noWrap/>
            <w:vAlign w:val="center"/>
            <w:hideMark/>
          </w:tcPr>
          <w:p w14:paraId="070A1000"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Predictive value/</w:t>
            </w:r>
          </w:p>
        </w:tc>
      </w:tr>
      <w:tr w:rsidR="009D652F" w:rsidRPr="00DF3A56" w14:paraId="0A00A1DA"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649ADE4"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74</w:t>
            </w:r>
          </w:p>
        </w:tc>
        <w:tc>
          <w:tcPr>
            <w:tcW w:w="8595" w:type="dxa"/>
            <w:tcBorders>
              <w:top w:val="nil"/>
              <w:left w:val="nil"/>
              <w:bottom w:val="single" w:sz="4" w:space="0" w:color="auto"/>
              <w:right w:val="single" w:sz="4" w:space="0" w:color="auto"/>
            </w:tcBorders>
            <w:shd w:val="clear" w:color="auto" w:fill="auto"/>
            <w:noWrap/>
            <w:vAlign w:val="center"/>
            <w:hideMark/>
          </w:tcPr>
          <w:p w14:paraId="43A0C70A"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Probability/</w:t>
            </w:r>
          </w:p>
        </w:tc>
      </w:tr>
      <w:tr w:rsidR="009D652F" w:rsidRPr="00DF3A56" w14:paraId="50FB02DE"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54DEC28"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75</w:t>
            </w:r>
          </w:p>
        </w:tc>
        <w:tc>
          <w:tcPr>
            <w:tcW w:w="8595" w:type="dxa"/>
            <w:tcBorders>
              <w:top w:val="nil"/>
              <w:left w:val="nil"/>
              <w:bottom w:val="single" w:sz="4" w:space="0" w:color="auto"/>
              <w:right w:val="single" w:sz="4" w:space="0" w:color="auto"/>
            </w:tcBorders>
            <w:shd w:val="clear" w:color="auto" w:fill="auto"/>
            <w:noWrap/>
            <w:vAlign w:val="center"/>
            <w:hideMark/>
          </w:tcPr>
          <w:p w14:paraId="29698AB5"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"Area Under the Curve"/</w:t>
            </w:r>
          </w:p>
        </w:tc>
      </w:tr>
      <w:tr w:rsidR="009D652F" w:rsidRPr="00DF3A56" w14:paraId="368C22A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8A9D29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76</w:t>
            </w:r>
          </w:p>
        </w:tc>
        <w:tc>
          <w:tcPr>
            <w:tcW w:w="8595" w:type="dxa"/>
            <w:tcBorders>
              <w:top w:val="nil"/>
              <w:left w:val="nil"/>
              <w:bottom w:val="single" w:sz="4" w:space="0" w:color="auto"/>
              <w:right w:val="single" w:sz="4" w:space="0" w:color="auto"/>
            </w:tcBorders>
            <w:shd w:val="clear" w:color="auto" w:fill="auto"/>
            <w:noWrap/>
            <w:vAlign w:val="center"/>
            <w:hideMark/>
          </w:tcPr>
          <w:p w14:paraId="35FFEF4D"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"Area Under the Curve Ratio"/</w:t>
            </w:r>
          </w:p>
        </w:tc>
      </w:tr>
      <w:tr w:rsidR="009D652F" w:rsidRPr="00DF3A56" w14:paraId="67FC871E"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91A5E06"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lastRenderedPageBreak/>
              <w:t>77</w:t>
            </w:r>
          </w:p>
        </w:tc>
        <w:tc>
          <w:tcPr>
            <w:tcW w:w="8595" w:type="dxa"/>
            <w:tcBorders>
              <w:top w:val="nil"/>
              <w:left w:val="nil"/>
              <w:bottom w:val="single" w:sz="4" w:space="0" w:color="auto"/>
              <w:right w:val="single" w:sz="4" w:space="0" w:color="auto"/>
            </w:tcBorders>
            <w:shd w:val="clear" w:color="auto" w:fill="auto"/>
            <w:noWrap/>
            <w:vAlign w:val="center"/>
            <w:hideMark/>
          </w:tcPr>
          <w:p w14:paraId="4395E19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"Area under the curve".ti,ab,kw.</w:t>
            </w:r>
          </w:p>
        </w:tc>
      </w:tr>
      <w:tr w:rsidR="009D652F" w:rsidRPr="00DF3A56" w14:paraId="514F790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DD87040"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78</w:t>
            </w:r>
          </w:p>
        </w:tc>
        <w:tc>
          <w:tcPr>
            <w:tcW w:w="8595" w:type="dxa"/>
            <w:tcBorders>
              <w:top w:val="nil"/>
              <w:left w:val="nil"/>
              <w:bottom w:val="single" w:sz="4" w:space="0" w:color="auto"/>
              <w:right w:val="single" w:sz="4" w:space="0" w:color="auto"/>
            </w:tcBorders>
            <w:shd w:val="clear" w:color="auto" w:fill="auto"/>
            <w:noWrap/>
            <w:vAlign w:val="center"/>
            <w:hideMark/>
          </w:tcPr>
          <w:p w14:paraId="535725BC"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"Area under the ROC curve".ti,ab,kw.</w:t>
            </w:r>
          </w:p>
        </w:tc>
      </w:tr>
      <w:tr w:rsidR="009D652F" w:rsidRPr="00DF3A56" w14:paraId="2A1ABC8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0E22827"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79</w:t>
            </w:r>
          </w:p>
        </w:tc>
        <w:tc>
          <w:tcPr>
            <w:tcW w:w="8595" w:type="dxa"/>
            <w:tcBorders>
              <w:top w:val="nil"/>
              <w:left w:val="nil"/>
              <w:bottom w:val="single" w:sz="4" w:space="0" w:color="auto"/>
              <w:right w:val="single" w:sz="4" w:space="0" w:color="auto"/>
            </w:tcBorders>
            <w:shd w:val="clear" w:color="auto" w:fill="auto"/>
            <w:noWrap/>
            <w:vAlign w:val="center"/>
            <w:hideMark/>
          </w:tcPr>
          <w:p w14:paraId="2F2B459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"Area under the ROC".ti,ab,kw.</w:t>
            </w:r>
          </w:p>
        </w:tc>
      </w:tr>
      <w:tr w:rsidR="009D652F" w:rsidRPr="00DF3A56" w14:paraId="02307EEF"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EBE6F3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80</w:t>
            </w:r>
          </w:p>
        </w:tc>
        <w:tc>
          <w:tcPr>
            <w:tcW w:w="8595" w:type="dxa"/>
            <w:tcBorders>
              <w:top w:val="nil"/>
              <w:left w:val="nil"/>
              <w:bottom w:val="single" w:sz="4" w:space="0" w:color="auto"/>
              <w:right w:val="single" w:sz="4" w:space="0" w:color="auto"/>
            </w:tcBorders>
            <w:shd w:val="clear" w:color="auto" w:fill="auto"/>
            <w:noWrap/>
            <w:vAlign w:val="center"/>
            <w:hideMark/>
          </w:tcPr>
          <w:p w14:paraId="4ABE50D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"Area Under the Receiver Operat$ Characteristic$".ti,ab,kw.</w:t>
            </w:r>
          </w:p>
        </w:tc>
      </w:tr>
      <w:tr w:rsidR="009D652F" w:rsidRPr="00DF3A56" w14:paraId="4B09D7F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9825218"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81</w:t>
            </w:r>
          </w:p>
        </w:tc>
        <w:tc>
          <w:tcPr>
            <w:tcW w:w="8595" w:type="dxa"/>
            <w:tcBorders>
              <w:top w:val="nil"/>
              <w:left w:val="nil"/>
              <w:bottom w:val="single" w:sz="4" w:space="0" w:color="auto"/>
              <w:right w:val="single" w:sz="4" w:space="0" w:color="auto"/>
            </w:tcBorders>
            <w:shd w:val="clear" w:color="auto" w:fill="auto"/>
            <w:noWrap/>
            <w:vAlign w:val="center"/>
            <w:hideMark/>
          </w:tcPr>
          <w:p w14:paraId="37943033"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ROC Curve/</w:t>
            </w:r>
          </w:p>
        </w:tc>
      </w:tr>
      <w:tr w:rsidR="009D652F" w:rsidRPr="00DF3A56" w14:paraId="14F0A6D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3AEE47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82</w:t>
            </w:r>
          </w:p>
        </w:tc>
        <w:tc>
          <w:tcPr>
            <w:tcW w:w="8595" w:type="dxa"/>
            <w:tcBorders>
              <w:top w:val="nil"/>
              <w:left w:val="nil"/>
              <w:bottom w:val="single" w:sz="4" w:space="0" w:color="auto"/>
              <w:right w:val="single" w:sz="4" w:space="0" w:color="auto"/>
            </w:tcBorders>
            <w:shd w:val="clear" w:color="auto" w:fill="auto"/>
            <w:noWrap/>
            <w:vAlign w:val="center"/>
            <w:hideMark/>
          </w:tcPr>
          <w:p w14:paraId="77806D5E"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Receiver Operating Characteristic/</w:t>
            </w:r>
          </w:p>
        </w:tc>
      </w:tr>
      <w:tr w:rsidR="009D652F" w:rsidRPr="00DF3A56" w14:paraId="7D57AB2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F3C302F"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83</w:t>
            </w:r>
          </w:p>
        </w:tc>
        <w:tc>
          <w:tcPr>
            <w:tcW w:w="8595" w:type="dxa"/>
            <w:tcBorders>
              <w:top w:val="nil"/>
              <w:left w:val="nil"/>
              <w:bottom w:val="single" w:sz="4" w:space="0" w:color="auto"/>
              <w:right w:val="single" w:sz="4" w:space="0" w:color="auto"/>
            </w:tcBorders>
            <w:shd w:val="clear" w:color="auto" w:fill="auto"/>
            <w:noWrap/>
            <w:vAlign w:val="center"/>
            <w:hideMark/>
          </w:tcPr>
          <w:p w14:paraId="731164DF"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"receiver operating characteristic$".ti,ab,kw.</w:t>
            </w:r>
          </w:p>
        </w:tc>
      </w:tr>
      <w:tr w:rsidR="009D652F" w:rsidRPr="00DF3A56" w14:paraId="7F01431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74D1563"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84</w:t>
            </w:r>
          </w:p>
        </w:tc>
        <w:tc>
          <w:tcPr>
            <w:tcW w:w="8595" w:type="dxa"/>
            <w:tcBorders>
              <w:top w:val="nil"/>
              <w:left w:val="nil"/>
              <w:bottom w:val="single" w:sz="4" w:space="0" w:color="auto"/>
              <w:right w:val="single" w:sz="4" w:space="0" w:color="auto"/>
            </w:tcBorders>
            <w:shd w:val="clear" w:color="auto" w:fill="auto"/>
            <w:noWrap/>
            <w:vAlign w:val="center"/>
            <w:hideMark/>
          </w:tcPr>
          <w:p w14:paraId="533A4F4E"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(ROC or AUC or AUROC).ti,ab,kw.</w:t>
            </w:r>
          </w:p>
        </w:tc>
      </w:tr>
      <w:tr w:rsidR="009D652F" w:rsidRPr="00304A30" w14:paraId="55A5357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E77CEC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85</w:t>
            </w:r>
          </w:p>
        </w:tc>
        <w:tc>
          <w:tcPr>
            <w:tcW w:w="8595" w:type="dxa"/>
            <w:tcBorders>
              <w:top w:val="nil"/>
              <w:left w:val="nil"/>
              <w:bottom w:val="single" w:sz="4" w:space="0" w:color="auto"/>
              <w:right w:val="single" w:sz="4" w:space="0" w:color="auto"/>
            </w:tcBorders>
            <w:shd w:val="clear" w:color="auto" w:fill="auto"/>
            <w:noWrap/>
            <w:vAlign w:val="center"/>
            <w:hideMark/>
          </w:tcPr>
          <w:p w14:paraId="05457BA6" w14:textId="77777777" w:rsidR="009D652F" w:rsidRPr="00506836" w:rsidRDefault="009D652F" w:rsidP="00005CF2">
            <w:pPr>
              <w:spacing w:after="0" w:line="240" w:lineRule="auto"/>
              <w:rPr>
                <w:rFonts w:ascii="Calibri" w:eastAsia="Times New Roman" w:hAnsi="Calibri" w:cs="Calibri"/>
                <w:color w:val="000000"/>
                <w:lang w:val="de-DE" w:eastAsia="en-GB"/>
              </w:rPr>
            </w:pPr>
            <w:r w:rsidRPr="00506836">
              <w:rPr>
                <w:rFonts w:ascii="Calibri" w:eastAsia="Times New Roman" w:hAnsi="Calibri" w:cs="Calibri"/>
                <w:color w:val="000000"/>
                <w:lang w:val="de-DE" w:eastAsia="en-GB"/>
              </w:rPr>
              <w:t>"Hosmer-Lemeshow".ti,ab,kw.</w:t>
            </w:r>
          </w:p>
        </w:tc>
      </w:tr>
      <w:tr w:rsidR="009D652F" w:rsidRPr="00DF3A56" w14:paraId="3E5C056A"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E001B59"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86</w:t>
            </w:r>
          </w:p>
        </w:tc>
        <w:tc>
          <w:tcPr>
            <w:tcW w:w="8595" w:type="dxa"/>
            <w:tcBorders>
              <w:top w:val="nil"/>
              <w:left w:val="nil"/>
              <w:bottom w:val="single" w:sz="4" w:space="0" w:color="auto"/>
              <w:right w:val="single" w:sz="4" w:space="0" w:color="auto"/>
            </w:tcBorders>
            <w:shd w:val="clear" w:color="auto" w:fill="auto"/>
            <w:noWrap/>
            <w:vAlign w:val="center"/>
            <w:hideMark/>
          </w:tcPr>
          <w:p w14:paraId="2526035E"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"H-L test".ti,ab,kw.</w:t>
            </w:r>
          </w:p>
        </w:tc>
      </w:tr>
      <w:tr w:rsidR="009D652F" w:rsidRPr="00DF3A56" w14:paraId="4CB3724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B488C4C"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87</w:t>
            </w:r>
          </w:p>
        </w:tc>
        <w:tc>
          <w:tcPr>
            <w:tcW w:w="8595" w:type="dxa"/>
            <w:tcBorders>
              <w:top w:val="nil"/>
              <w:left w:val="nil"/>
              <w:bottom w:val="single" w:sz="4" w:space="0" w:color="auto"/>
              <w:right w:val="single" w:sz="4" w:space="0" w:color="auto"/>
            </w:tcBorders>
            <w:shd w:val="clear" w:color="auto" w:fill="auto"/>
            <w:noWrap/>
            <w:vAlign w:val="center"/>
            <w:hideMark/>
          </w:tcPr>
          <w:p w14:paraId="593B22D0"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"expected ratio".ti,ab,kw.</w:t>
            </w:r>
          </w:p>
        </w:tc>
      </w:tr>
      <w:tr w:rsidR="009D652F" w:rsidRPr="00DF3A56" w14:paraId="2D3A83B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B34238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88</w:t>
            </w:r>
          </w:p>
        </w:tc>
        <w:tc>
          <w:tcPr>
            <w:tcW w:w="8595" w:type="dxa"/>
            <w:tcBorders>
              <w:top w:val="nil"/>
              <w:left w:val="nil"/>
              <w:bottom w:val="single" w:sz="4" w:space="0" w:color="auto"/>
              <w:right w:val="single" w:sz="4" w:space="0" w:color="auto"/>
            </w:tcBorders>
            <w:shd w:val="clear" w:color="auto" w:fill="auto"/>
            <w:noWrap/>
            <w:vAlign w:val="center"/>
            <w:hideMark/>
          </w:tcPr>
          <w:p w14:paraId="3A42BC31"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"observed ratio".ti,ab,kw.</w:t>
            </w:r>
          </w:p>
        </w:tc>
      </w:tr>
      <w:tr w:rsidR="009D652F" w:rsidRPr="00304A30" w14:paraId="33CB303A"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8DBA3C6"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89</w:t>
            </w:r>
          </w:p>
        </w:tc>
        <w:tc>
          <w:tcPr>
            <w:tcW w:w="8595" w:type="dxa"/>
            <w:tcBorders>
              <w:top w:val="nil"/>
              <w:left w:val="nil"/>
              <w:bottom w:val="single" w:sz="4" w:space="0" w:color="auto"/>
              <w:right w:val="single" w:sz="4" w:space="0" w:color="auto"/>
            </w:tcBorders>
            <w:shd w:val="clear" w:color="auto" w:fill="auto"/>
            <w:noWrap/>
            <w:vAlign w:val="center"/>
            <w:hideMark/>
          </w:tcPr>
          <w:p w14:paraId="5D26C7C8" w14:textId="77777777" w:rsidR="009D652F" w:rsidRPr="00506836" w:rsidRDefault="009D652F" w:rsidP="00005CF2">
            <w:pPr>
              <w:spacing w:after="0" w:line="240" w:lineRule="auto"/>
              <w:rPr>
                <w:rFonts w:ascii="Calibri" w:eastAsia="Times New Roman" w:hAnsi="Calibri" w:cs="Calibri"/>
                <w:color w:val="000000"/>
                <w:lang w:val="de-DE" w:eastAsia="en-GB"/>
              </w:rPr>
            </w:pPr>
            <w:r w:rsidRPr="00506836">
              <w:rPr>
                <w:rFonts w:ascii="Calibri" w:eastAsia="Times New Roman" w:hAnsi="Calibri" w:cs="Calibri"/>
                <w:color w:val="000000"/>
                <w:lang w:val="de-DE" w:eastAsia="en-GB"/>
              </w:rPr>
              <w:t>"E:O ratio".ti,ab,kw.</w:t>
            </w:r>
          </w:p>
        </w:tc>
      </w:tr>
      <w:tr w:rsidR="009D652F" w:rsidRPr="00DF3A56" w14:paraId="046359C7"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506027B"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90</w:t>
            </w:r>
          </w:p>
        </w:tc>
        <w:tc>
          <w:tcPr>
            <w:tcW w:w="8595" w:type="dxa"/>
            <w:tcBorders>
              <w:top w:val="nil"/>
              <w:left w:val="nil"/>
              <w:bottom w:val="single" w:sz="4" w:space="0" w:color="auto"/>
              <w:right w:val="single" w:sz="4" w:space="0" w:color="auto"/>
            </w:tcBorders>
            <w:shd w:val="clear" w:color="auto" w:fill="auto"/>
            <w:noWrap/>
            <w:vAlign w:val="center"/>
            <w:hideMark/>
          </w:tcPr>
          <w:p w14:paraId="2299E142"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or/48-89</w:t>
            </w:r>
          </w:p>
        </w:tc>
      </w:tr>
      <w:tr w:rsidR="009D652F" w:rsidRPr="00DF3A56" w14:paraId="7BDEC042"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277CEA1"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91</w:t>
            </w:r>
          </w:p>
        </w:tc>
        <w:tc>
          <w:tcPr>
            <w:tcW w:w="8595" w:type="dxa"/>
            <w:tcBorders>
              <w:top w:val="nil"/>
              <w:left w:val="nil"/>
              <w:bottom w:val="single" w:sz="4" w:space="0" w:color="auto"/>
              <w:right w:val="single" w:sz="4" w:space="0" w:color="auto"/>
            </w:tcBorders>
            <w:shd w:val="clear" w:color="auto" w:fill="auto"/>
            <w:noWrap/>
            <w:vAlign w:val="center"/>
            <w:hideMark/>
          </w:tcPr>
          <w:p w14:paraId="793EDE30"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44 and 47 and 90</w:t>
            </w:r>
          </w:p>
        </w:tc>
      </w:tr>
      <w:tr w:rsidR="009D652F" w:rsidRPr="00DF3A56" w14:paraId="2F731C4E"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B82A8AD"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92</w:t>
            </w:r>
          </w:p>
        </w:tc>
        <w:tc>
          <w:tcPr>
            <w:tcW w:w="8595" w:type="dxa"/>
            <w:tcBorders>
              <w:top w:val="nil"/>
              <w:left w:val="nil"/>
              <w:bottom w:val="single" w:sz="4" w:space="0" w:color="auto"/>
              <w:right w:val="single" w:sz="4" w:space="0" w:color="auto"/>
            </w:tcBorders>
            <w:shd w:val="clear" w:color="auto" w:fill="auto"/>
            <w:noWrap/>
            <w:vAlign w:val="center"/>
            <w:hideMark/>
          </w:tcPr>
          <w:p w14:paraId="4E8DC2B3"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conference abstract.pt.</w:t>
            </w:r>
          </w:p>
        </w:tc>
      </w:tr>
      <w:tr w:rsidR="009D652F" w:rsidRPr="00DF3A56" w14:paraId="59BC4158"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E11968E"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93</w:t>
            </w:r>
          </w:p>
        </w:tc>
        <w:tc>
          <w:tcPr>
            <w:tcW w:w="8595" w:type="dxa"/>
            <w:tcBorders>
              <w:top w:val="nil"/>
              <w:left w:val="nil"/>
              <w:bottom w:val="single" w:sz="4" w:space="0" w:color="auto"/>
              <w:right w:val="single" w:sz="4" w:space="0" w:color="auto"/>
            </w:tcBorders>
            <w:shd w:val="clear" w:color="auto" w:fill="auto"/>
            <w:noWrap/>
            <w:vAlign w:val="center"/>
            <w:hideMark/>
          </w:tcPr>
          <w:p w14:paraId="33C9A499"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conference abstract.st.</w:t>
            </w:r>
          </w:p>
        </w:tc>
      </w:tr>
      <w:tr w:rsidR="009D652F" w:rsidRPr="00DF3A56" w14:paraId="2C8E5E26"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23BCEA"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94</w:t>
            </w:r>
          </w:p>
        </w:tc>
        <w:tc>
          <w:tcPr>
            <w:tcW w:w="8595" w:type="dxa"/>
            <w:tcBorders>
              <w:top w:val="nil"/>
              <w:left w:val="nil"/>
              <w:bottom w:val="single" w:sz="4" w:space="0" w:color="auto"/>
              <w:right w:val="single" w:sz="4" w:space="0" w:color="auto"/>
            </w:tcBorders>
            <w:shd w:val="clear" w:color="auto" w:fill="auto"/>
            <w:noWrap/>
            <w:vAlign w:val="center"/>
            <w:hideMark/>
          </w:tcPr>
          <w:p w14:paraId="44131EB8"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92 or 93</w:t>
            </w:r>
          </w:p>
        </w:tc>
      </w:tr>
      <w:tr w:rsidR="009D652F" w:rsidRPr="00DF3A56" w14:paraId="38668031"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CBEA175"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95</w:t>
            </w:r>
          </w:p>
        </w:tc>
        <w:tc>
          <w:tcPr>
            <w:tcW w:w="8595" w:type="dxa"/>
            <w:tcBorders>
              <w:top w:val="nil"/>
              <w:left w:val="nil"/>
              <w:bottom w:val="single" w:sz="4" w:space="0" w:color="auto"/>
              <w:right w:val="single" w:sz="4" w:space="0" w:color="auto"/>
            </w:tcBorders>
            <w:shd w:val="clear" w:color="auto" w:fill="auto"/>
            <w:noWrap/>
            <w:vAlign w:val="center"/>
            <w:hideMark/>
          </w:tcPr>
          <w:p w14:paraId="6844F48C"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91 not 94</w:t>
            </w:r>
          </w:p>
        </w:tc>
      </w:tr>
      <w:tr w:rsidR="009D652F" w:rsidRPr="00DF3A56" w14:paraId="27D1C360" w14:textId="77777777" w:rsidTr="00005CF2">
        <w:trPr>
          <w:trHeight w:val="30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F50AFC4" w14:textId="77777777" w:rsidR="009D652F" w:rsidRPr="00DF3A56" w:rsidRDefault="009D652F" w:rsidP="00005CF2">
            <w:pPr>
              <w:spacing w:after="0" w:line="240" w:lineRule="auto"/>
              <w:jc w:val="right"/>
              <w:rPr>
                <w:rFonts w:ascii="Calibri" w:eastAsia="Times New Roman" w:hAnsi="Calibri" w:cs="Calibri"/>
                <w:color w:val="000000"/>
                <w:lang w:eastAsia="en-GB"/>
              </w:rPr>
            </w:pPr>
            <w:r w:rsidRPr="00DF3A56">
              <w:rPr>
                <w:rFonts w:ascii="Calibri" w:eastAsia="Times New Roman" w:hAnsi="Calibri" w:cs="Calibri"/>
                <w:color w:val="000000"/>
                <w:lang w:eastAsia="en-GB"/>
              </w:rPr>
              <w:t>96</w:t>
            </w:r>
          </w:p>
        </w:tc>
        <w:tc>
          <w:tcPr>
            <w:tcW w:w="8595" w:type="dxa"/>
            <w:tcBorders>
              <w:top w:val="nil"/>
              <w:left w:val="nil"/>
              <w:bottom w:val="single" w:sz="4" w:space="0" w:color="auto"/>
              <w:right w:val="single" w:sz="4" w:space="0" w:color="auto"/>
            </w:tcBorders>
            <w:shd w:val="clear" w:color="auto" w:fill="auto"/>
            <w:noWrap/>
            <w:vAlign w:val="center"/>
            <w:hideMark/>
          </w:tcPr>
          <w:p w14:paraId="6573D57B" w14:textId="77777777" w:rsidR="009D652F" w:rsidRPr="00DF3A56" w:rsidRDefault="009D652F" w:rsidP="00005CF2">
            <w:pPr>
              <w:spacing w:after="0" w:line="240" w:lineRule="auto"/>
              <w:rPr>
                <w:rFonts w:ascii="Calibri" w:eastAsia="Times New Roman" w:hAnsi="Calibri" w:cs="Calibri"/>
                <w:color w:val="000000"/>
                <w:lang w:eastAsia="en-GB"/>
              </w:rPr>
            </w:pPr>
            <w:r w:rsidRPr="00DF3A56">
              <w:rPr>
                <w:rFonts w:ascii="Calibri" w:eastAsia="Times New Roman" w:hAnsi="Calibri" w:cs="Calibri"/>
                <w:color w:val="000000"/>
                <w:lang w:eastAsia="en-GB"/>
              </w:rPr>
              <w:t>Limit 95 to yr="2019"</w:t>
            </w:r>
          </w:p>
        </w:tc>
      </w:tr>
    </w:tbl>
    <w:p w14:paraId="3540FEBC" w14:textId="77777777" w:rsidR="009D652F" w:rsidRPr="00DF3A56" w:rsidRDefault="009D652F" w:rsidP="009D652F">
      <w:pPr>
        <w:spacing w:line="240" w:lineRule="auto"/>
        <w:rPr>
          <w:b/>
          <w:bCs/>
        </w:rPr>
      </w:pPr>
    </w:p>
    <w:p w14:paraId="1979495E" w14:textId="77777777" w:rsidR="009D652F" w:rsidRPr="00DF3A56" w:rsidRDefault="009D652F" w:rsidP="009D652F">
      <w:pPr>
        <w:spacing w:line="360" w:lineRule="auto"/>
      </w:pPr>
    </w:p>
    <w:p w14:paraId="5D00512C" w14:textId="77777777" w:rsidR="009D652F" w:rsidRPr="00DF3A56" w:rsidRDefault="009D652F" w:rsidP="009D652F">
      <w:pPr>
        <w:spacing w:line="360" w:lineRule="auto"/>
      </w:pPr>
    </w:p>
    <w:p w14:paraId="7036DD66" w14:textId="77777777" w:rsidR="009D652F" w:rsidRDefault="009D652F" w:rsidP="009D652F">
      <w:pPr>
        <w:sectPr w:rsidR="009D652F">
          <w:pgSz w:w="11906" w:h="16838"/>
          <w:pgMar w:top="1440" w:right="1440" w:bottom="1440" w:left="1440" w:header="708" w:footer="708" w:gutter="0"/>
          <w:cols w:space="708"/>
          <w:docGrid w:linePitch="360"/>
        </w:sectPr>
      </w:pPr>
    </w:p>
    <w:p w14:paraId="03D878C9" w14:textId="77777777" w:rsidR="009D652F" w:rsidRDefault="009D652F" w:rsidP="009D652F">
      <w:pPr>
        <w:spacing w:line="360" w:lineRule="auto"/>
      </w:pPr>
      <w:r>
        <w:rPr>
          <w:b/>
          <w:bCs/>
        </w:rPr>
        <w:lastRenderedPageBreak/>
        <w:t>Supplementary t</w:t>
      </w:r>
      <w:r w:rsidRPr="00F9082E">
        <w:rPr>
          <w:b/>
          <w:bCs/>
        </w:rPr>
        <w:t xml:space="preserve">able </w:t>
      </w:r>
      <w:r>
        <w:rPr>
          <w:b/>
          <w:bCs/>
        </w:rPr>
        <w:t>3</w:t>
      </w:r>
      <w:r w:rsidRPr="00F9082E">
        <w:rPr>
          <w:b/>
          <w:bCs/>
        </w:rPr>
        <w:t>.</w:t>
      </w:r>
      <w:r>
        <w:t xml:space="preserve"> PROBAST domains and signalling questions used for data extraction </w:t>
      </w:r>
      <w:r>
        <w:fldChar w:fldCharType="begin"/>
      </w:r>
      <w:r>
        <w:instrText xml:space="preserve"> ADDIN ZOTERO_ITEM CSL_CITATION {"citationID":"7NGvvKGf","properties":{"formattedCitation":"[30,31]","plainCitation":"[30,31]","noteIndex":0},"citationItems":[{"id":382,"uris":["http://zotero.org/users/6351504/items/RNNK54QE"],"uri":["http://zotero.org/users/6351504/items/RNNK54QE"],"itemData":{"id":382,"type":"article-journal","container-title":"Annals of Internal Medicine","DOI":"10.7326/M18-1377","ISSN":"0003-4819","issue":"1","journalAbbreviation":"Ann Intern Med","note":"publisher: American College of Physicians","page":"W1-W33","source":"acpjournals.org (Atypon)","title":"PROBAST: A Tool to Assess Risk of Bias and Applicability of Prediction Model Studies: Explanation and Elaboration","title-short":"PROBAST","volume":"170","author":[{"family":"Moons","given":"Karel G.M."},{"family":"Wolff","given":"Robert F."},{"family":"Riley","given":"Richard D."},{"family":"Whiting","given":"Penny F."},{"family":"Westwood","given":"Marie"},{"family":"Collins","given":"Gary S."},{"family":"Reitsma","given":"Johannes B."},{"family":"Kleijnen","given":"Jos"},{"family":"Mallett","given":"Sue"}],"issued":{"date-parts":[["2019",1,1]]}}},{"id":602,"uris":["http://zotero.org/users/6351504/items/F6ER3RRM"],"uri":["http://zotero.org/users/6351504/items/F6ER3RRM"],"itemData":{"id":602,"type":"article-journal","container-title":"Annals of Internal Medicine","DOI":"10.7326/M18-1376","ISSN":"0003-4819","issue":"1","journalAbbreviation":"Ann Intern Med","note":"publisher: American College of Physicians","page":"51-58","source":"acpjournals.org (Atypon)","title":"PROBAST: A Tool to Assess the Risk of Bias and Applicability of Prediction Model Studies","title-short":"PROBAST","volume":"170","author":[{"family":"Wolff","given":"Robert F."},{"family":"Moons","given":"Karel G.M."},{"family":"Riley","given":"Richard D."},{"family":"Whiting","given":"Penny F."},{"family":"Westwood","given":"Marie"},{"family":"Collins","given":"Gary S."},{"family":"Reitsma","given":"Johannes B."},{"family":"Kleijnen","given":"Jos"},{"family":"Mallett","given":"Sue"}],"issued":{"date-parts":[["2019",1,1]]}}}],"schema":"https://github.com/citation-style-language/schema/raw/master/csl-citation.json"} </w:instrText>
      </w:r>
      <w:r>
        <w:fldChar w:fldCharType="separate"/>
      </w:r>
      <w:r w:rsidRPr="007E69DC">
        <w:rPr>
          <w:rFonts w:ascii="Calibri" w:hAnsi="Calibri" w:cs="Calibri"/>
        </w:rPr>
        <w:t>[30,31]</w:t>
      </w:r>
      <w:r>
        <w:fldChar w:fldCharType="end"/>
      </w:r>
      <w:r>
        <w:t>.</w:t>
      </w:r>
    </w:p>
    <w:tbl>
      <w:tblPr>
        <w:tblStyle w:val="TableGrid"/>
        <w:tblW w:w="4644" w:type="pct"/>
        <w:jc w:val="center"/>
        <w:tblLook w:val="04A0" w:firstRow="1" w:lastRow="0" w:firstColumn="1" w:lastColumn="0" w:noHBand="0" w:noVBand="1"/>
      </w:tblPr>
      <w:tblGrid>
        <w:gridCol w:w="5688"/>
        <w:gridCol w:w="1343"/>
        <w:gridCol w:w="1343"/>
      </w:tblGrid>
      <w:tr w:rsidR="009D652F" w14:paraId="35EA8B53" w14:textId="77777777" w:rsidTr="00005CF2">
        <w:trPr>
          <w:trHeight w:val="177"/>
          <w:jc w:val="center"/>
        </w:trPr>
        <w:tc>
          <w:tcPr>
            <w:tcW w:w="3396" w:type="pct"/>
            <w:shd w:val="clear" w:color="auto" w:fill="B4C6E7" w:themeFill="accent1" w:themeFillTint="66"/>
            <w:vAlign w:val="center"/>
          </w:tcPr>
          <w:p w14:paraId="229E6BB2" w14:textId="77777777" w:rsidR="009D652F" w:rsidRPr="00F9082E" w:rsidRDefault="009D652F" w:rsidP="00005CF2">
            <w:pPr>
              <w:rPr>
                <w:b/>
                <w:bCs/>
                <w:sz w:val="20"/>
                <w:szCs w:val="20"/>
              </w:rPr>
            </w:pPr>
            <w:r w:rsidRPr="001752E3">
              <w:rPr>
                <w:b/>
                <w:bCs/>
                <w:sz w:val="20"/>
                <w:szCs w:val="20"/>
              </w:rPr>
              <w:t>PROBAST domain and signalling questions</w:t>
            </w:r>
          </w:p>
        </w:tc>
        <w:tc>
          <w:tcPr>
            <w:tcW w:w="802" w:type="pct"/>
            <w:shd w:val="clear" w:color="auto" w:fill="B4C6E7" w:themeFill="accent1" w:themeFillTint="66"/>
            <w:vAlign w:val="center"/>
          </w:tcPr>
          <w:p w14:paraId="329659BE" w14:textId="77777777" w:rsidR="009D652F" w:rsidRPr="001752E3" w:rsidRDefault="009D652F" w:rsidP="00005CF2">
            <w:pPr>
              <w:jc w:val="center"/>
              <w:rPr>
                <w:b/>
                <w:bCs/>
                <w:sz w:val="20"/>
                <w:szCs w:val="20"/>
              </w:rPr>
            </w:pPr>
            <w:r w:rsidRPr="001752E3">
              <w:rPr>
                <w:b/>
                <w:bCs/>
                <w:sz w:val="20"/>
                <w:szCs w:val="20"/>
              </w:rPr>
              <w:t>Developmen</w:t>
            </w:r>
            <w:r>
              <w:rPr>
                <w:b/>
                <w:bCs/>
                <w:sz w:val="20"/>
                <w:szCs w:val="20"/>
              </w:rPr>
              <w:t>t analysis</w:t>
            </w:r>
          </w:p>
        </w:tc>
        <w:tc>
          <w:tcPr>
            <w:tcW w:w="802" w:type="pct"/>
            <w:shd w:val="clear" w:color="auto" w:fill="B4C6E7" w:themeFill="accent1" w:themeFillTint="66"/>
            <w:vAlign w:val="center"/>
          </w:tcPr>
          <w:p w14:paraId="4CFD8BD7" w14:textId="77777777" w:rsidR="009D652F" w:rsidRPr="001752E3" w:rsidRDefault="009D652F" w:rsidP="00005CF2">
            <w:pPr>
              <w:jc w:val="center"/>
              <w:rPr>
                <w:b/>
                <w:bCs/>
                <w:sz w:val="20"/>
                <w:szCs w:val="20"/>
              </w:rPr>
            </w:pPr>
            <w:r w:rsidRPr="001752E3">
              <w:rPr>
                <w:b/>
                <w:bCs/>
                <w:sz w:val="20"/>
                <w:szCs w:val="20"/>
              </w:rPr>
              <w:t>Validation</w:t>
            </w:r>
            <w:r>
              <w:rPr>
                <w:b/>
                <w:bCs/>
                <w:sz w:val="20"/>
                <w:szCs w:val="20"/>
              </w:rPr>
              <w:t xml:space="preserve"> analysis</w:t>
            </w:r>
          </w:p>
        </w:tc>
      </w:tr>
      <w:tr w:rsidR="009D652F" w14:paraId="5B470098" w14:textId="77777777" w:rsidTr="00005CF2">
        <w:trPr>
          <w:trHeight w:val="244"/>
          <w:jc w:val="center"/>
        </w:trPr>
        <w:tc>
          <w:tcPr>
            <w:tcW w:w="3396" w:type="pct"/>
            <w:shd w:val="clear" w:color="auto" w:fill="B4C6E7" w:themeFill="accent1" w:themeFillTint="66"/>
          </w:tcPr>
          <w:p w14:paraId="01EFCF4A" w14:textId="77777777" w:rsidR="009D652F" w:rsidRPr="001752E3" w:rsidRDefault="009D652F" w:rsidP="00005CF2">
            <w:pPr>
              <w:pStyle w:val="ListParagraph"/>
              <w:numPr>
                <w:ilvl w:val="0"/>
                <w:numId w:val="33"/>
              </w:numPr>
              <w:rPr>
                <w:b/>
                <w:bCs/>
                <w:sz w:val="20"/>
                <w:szCs w:val="20"/>
              </w:rPr>
            </w:pPr>
            <w:r w:rsidRPr="001752E3">
              <w:rPr>
                <w:b/>
                <w:bCs/>
                <w:sz w:val="20"/>
                <w:szCs w:val="20"/>
              </w:rPr>
              <w:t>PARTICIPANTS</w:t>
            </w:r>
          </w:p>
        </w:tc>
        <w:tc>
          <w:tcPr>
            <w:tcW w:w="802" w:type="pct"/>
            <w:shd w:val="clear" w:color="auto" w:fill="B4C6E7" w:themeFill="accent1" w:themeFillTint="66"/>
          </w:tcPr>
          <w:p w14:paraId="67EFFF14" w14:textId="77777777" w:rsidR="009D652F" w:rsidRPr="001752E3" w:rsidRDefault="009D652F" w:rsidP="00005CF2">
            <w:pPr>
              <w:rPr>
                <w:b/>
                <w:bCs/>
                <w:sz w:val="20"/>
                <w:szCs w:val="20"/>
              </w:rPr>
            </w:pPr>
          </w:p>
        </w:tc>
        <w:tc>
          <w:tcPr>
            <w:tcW w:w="802" w:type="pct"/>
            <w:shd w:val="clear" w:color="auto" w:fill="B4C6E7" w:themeFill="accent1" w:themeFillTint="66"/>
          </w:tcPr>
          <w:p w14:paraId="7D19A11E" w14:textId="77777777" w:rsidR="009D652F" w:rsidRPr="001752E3" w:rsidRDefault="009D652F" w:rsidP="00005CF2">
            <w:pPr>
              <w:rPr>
                <w:b/>
                <w:bCs/>
                <w:sz w:val="20"/>
                <w:szCs w:val="20"/>
              </w:rPr>
            </w:pPr>
          </w:p>
        </w:tc>
      </w:tr>
      <w:tr w:rsidR="009D652F" w14:paraId="45F56044" w14:textId="77777777" w:rsidTr="00005CF2">
        <w:trPr>
          <w:trHeight w:val="244"/>
          <w:jc w:val="center"/>
        </w:trPr>
        <w:tc>
          <w:tcPr>
            <w:tcW w:w="3396" w:type="pct"/>
          </w:tcPr>
          <w:p w14:paraId="4DEEBB6F" w14:textId="77777777" w:rsidR="009D652F" w:rsidRPr="001752E3" w:rsidRDefault="009D652F" w:rsidP="00005CF2">
            <w:pPr>
              <w:pStyle w:val="ListParagraph"/>
              <w:numPr>
                <w:ilvl w:val="1"/>
                <w:numId w:val="33"/>
              </w:numPr>
              <w:ind w:left="697" w:hanging="357"/>
              <w:rPr>
                <w:i/>
                <w:iCs/>
                <w:sz w:val="20"/>
                <w:szCs w:val="20"/>
              </w:rPr>
            </w:pPr>
            <w:r w:rsidRPr="001752E3">
              <w:rPr>
                <w:i/>
                <w:iCs/>
                <w:sz w:val="20"/>
                <w:szCs w:val="20"/>
              </w:rPr>
              <w:t>Were appropriate data sources used, e.g., cohort, randomized controlled trial, or nested case–control study data?</w:t>
            </w:r>
          </w:p>
        </w:tc>
        <w:tc>
          <w:tcPr>
            <w:tcW w:w="802" w:type="pct"/>
            <w:vAlign w:val="center"/>
          </w:tcPr>
          <w:p w14:paraId="5A996099" w14:textId="77777777" w:rsidR="009D652F" w:rsidRPr="00F9082E" w:rsidRDefault="009D652F" w:rsidP="00005CF2">
            <w:pPr>
              <w:jc w:val="center"/>
              <w:rPr>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491BAE2A" w14:textId="77777777" w:rsidR="009D652F" w:rsidRPr="00F9082E" w:rsidRDefault="009D652F" w:rsidP="00005CF2">
            <w:pPr>
              <w:jc w:val="center"/>
              <w:rPr>
                <w:sz w:val="20"/>
                <w:szCs w:val="20"/>
              </w:rPr>
            </w:pPr>
            <w:r w:rsidRPr="00F9082E">
              <w:rPr>
                <w:rFonts w:ascii="Wingdings" w:eastAsia="Times New Roman" w:hAnsi="Wingdings" w:cs="Calibri"/>
                <w:color w:val="000000"/>
                <w:sz w:val="20"/>
                <w:szCs w:val="20"/>
                <w:lang w:eastAsia="en-GB"/>
              </w:rPr>
              <w:t></w:t>
            </w:r>
          </w:p>
        </w:tc>
      </w:tr>
      <w:tr w:rsidR="009D652F" w14:paraId="064A8950" w14:textId="77777777" w:rsidTr="00005CF2">
        <w:trPr>
          <w:trHeight w:val="244"/>
          <w:jc w:val="center"/>
        </w:trPr>
        <w:tc>
          <w:tcPr>
            <w:tcW w:w="3396" w:type="pct"/>
          </w:tcPr>
          <w:p w14:paraId="717AF6D4" w14:textId="77777777" w:rsidR="009D652F" w:rsidRPr="001752E3" w:rsidRDefault="009D652F" w:rsidP="00005CF2">
            <w:pPr>
              <w:pStyle w:val="ListParagraph"/>
              <w:numPr>
                <w:ilvl w:val="1"/>
                <w:numId w:val="33"/>
              </w:numPr>
              <w:ind w:left="697" w:hanging="357"/>
              <w:rPr>
                <w:i/>
                <w:iCs/>
                <w:sz w:val="20"/>
                <w:szCs w:val="20"/>
              </w:rPr>
            </w:pPr>
            <w:r w:rsidRPr="001752E3">
              <w:rPr>
                <w:i/>
                <w:iCs/>
                <w:sz w:val="20"/>
                <w:szCs w:val="20"/>
              </w:rPr>
              <w:t>Were all inclusions and exclusions of participants appropriate?</w:t>
            </w:r>
          </w:p>
        </w:tc>
        <w:tc>
          <w:tcPr>
            <w:tcW w:w="802" w:type="pct"/>
            <w:vAlign w:val="center"/>
          </w:tcPr>
          <w:p w14:paraId="155C12F6" w14:textId="77777777" w:rsidR="009D652F" w:rsidRPr="00F9082E" w:rsidRDefault="009D652F" w:rsidP="00005CF2">
            <w:pPr>
              <w:jc w:val="center"/>
              <w:rPr>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0850293C" w14:textId="77777777" w:rsidR="009D652F" w:rsidRPr="00F9082E" w:rsidRDefault="009D652F" w:rsidP="00005CF2">
            <w:pPr>
              <w:jc w:val="center"/>
              <w:rPr>
                <w:sz w:val="20"/>
                <w:szCs w:val="20"/>
              </w:rPr>
            </w:pPr>
            <w:r w:rsidRPr="00F9082E">
              <w:rPr>
                <w:rFonts w:ascii="Wingdings" w:eastAsia="Times New Roman" w:hAnsi="Wingdings" w:cs="Calibri"/>
                <w:color w:val="000000"/>
                <w:sz w:val="20"/>
                <w:szCs w:val="20"/>
                <w:lang w:eastAsia="en-GB"/>
              </w:rPr>
              <w:t></w:t>
            </w:r>
          </w:p>
        </w:tc>
      </w:tr>
      <w:tr w:rsidR="009D652F" w14:paraId="46BD9D03" w14:textId="77777777" w:rsidTr="00005CF2">
        <w:trPr>
          <w:trHeight w:val="244"/>
          <w:jc w:val="center"/>
        </w:trPr>
        <w:tc>
          <w:tcPr>
            <w:tcW w:w="3396" w:type="pct"/>
            <w:shd w:val="clear" w:color="auto" w:fill="B4C6E7" w:themeFill="accent1" w:themeFillTint="66"/>
          </w:tcPr>
          <w:p w14:paraId="74828379" w14:textId="77777777" w:rsidR="009D652F" w:rsidRPr="001752E3" w:rsidRDefault="009D652F" w:rsidP="00005CF2">
            <w:pPr>
              <w:pStyle w:val="Heading1"/>
              <w:numPr>
                <w:ilvl w:val="0"/>
                <w:numId w:val="33"/>
              </w:numPr>
              <w:outlineLvl w:val="0"/>
              <w:rPr>
                <w:sz w:val="20"/>
                <w:szCs w:val="20"/>
                <w:u w:val="none"/>
              </w:rPr>
            </w:pPr>
            <w:r w:rsidRPr="001752E3">
              <w:rPr>
                <w:sz w:val="20"/>
                <w:szCs w:val="20"/>
                <w:u w:val="none"/>
              </w:rPr>
              <w:t>PREDICTORS</w:t>
            </w:r>
          </w:p>
        </w:tc>
        <w:tc>
          <w:tcPr>
            <w:tcW w:w="802" w:type="pct"/>
            <w:shd w:val="clear" w:color="auto" w:fill="B4C6E7" w:themeFill="accent1" w:themeFillTint="66"/>
            <w:vAlign w:val="center"/>
          </w:tcPr>
          <w:p w14:paraId="4DFAA8C0" w14:textId="77777777" w:rsidR="009D652F" w:rsidRPr="00F9082E" w:rsidRDefault="009D652F" w:rsidP="00005CF2">
            <w:pPr>
              <w:jc w:val="center"/>
              <w:rPr>
                <w:bCs/>
                <w:sz w:val="20"/>
                <w:szCs w:val="20"/>
              </w:rPr>
            </w:pPr>
          </w:p>
        </w:tc>
        <w:tc>
          <w:tcPr>
            <w:tcW w:w="802" w:type="pct"/>
            <w:shd w:val="clear" w:color="auto" w:fill="B4C6E7" w:themeFill="accent1" w:themeFillTint="66"/>
            <w:vAlign w:val="center"/>
          </w:tcPr>
          <w:p w14:paraId="2428A7E4" w14:textId="77777777" w:rsidR="009D652F" w:rsidRPr="00F9082E" w:rsidRDefault="009D652F" w:rsidP="00005CF2">
            <w:pPr>
              <w:jc w:val="center"/>
              <w:rPr>
                <w:bCs/>
                <w:sz w:val="20"/>
                <w:szCs w:val="20"/>
              </w:rPr>
            </w:pPr>
          </w:p>
        </w:tc>
      </w:tr>
      <w:tr w:rsidR="009D652F" w14:paraId="134D0B6D" w14:textId="77777777" w:rsidTr="00005CF2">
        <w:trPr>
          <w:trHeight w:val="244"/>
          <w:jc w:val="center"/>
        </w:trPr>
        <w:tc>
          <w:tcPr>
            <w:tcW w:w="3396" w:type="pct"/>
          </w:tcPr>
          <w:p w14:paraId="733D44FE" w14:textId="77777777" w:rsidR="009D652F" w:rsidRPr="007B6377" w:rsidRDefault="009D652F" w:rsidP="00005CF2">
            <w:pPr>
              <w:pStyle w:val="ListParagraph"/>
              <w:numPr>
                <w:ilvl w:val="1"/>
                <w:numId w:val="33"/>
              </w:numPr>
              <w:ind w:left="697" w:hanging="357"/>
              <w:rPr>
                <w:bCs/>
                <w:i/>
                <w:iCs/>
                <w:sz w:val="20"/>
                <w:szCs w:val="20"/>
              </w:rPr>
            </w:pPr>
            <w:r w:rsidRPr="001752E3">
              <w:rPr>
                <w:bCs/>
                <w:i/>
                <w:iCs/>
                <w:sz w:val="20"/>
                <w:szCs w:val="20"/>
              </w:rPr>
              <w:t>Were predictors defined and assessed in a similar way for all participants?</w:t>
            </w:r>
          </w:p>
        </w:tc>
        <w:tc>
          <w:tcPr>
            <w:tcW w:w="802" w:type="pct"/>
            <w:vAlign w:val="center"/>
          </w:tcPr>
          <w:p w14:paraId="108CBA5D"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01D63F75"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4B16FFBE" w14:textId="77777777" w:rsidTr="00005CF2">
        <w:trPr>
          <w:trHeight w:val="244"/>
          <w:jc w:val="center"/>
        </w:trPr>
        <w:tc>
          <w:tcPr>
            <w:tcW w:w="3396" w:type="pct"/>
          </w:tcPr>
          <w:p w14:paraId="0DBC169D" w14:textId="77777777" w:rsidR="009D652F" w:rsidRPr="007B6377" w:rsidRDefault="009D652F" w:rsidP="00005CF2">
            <w:pPr>
              <w:pStyle w:val="ListParagraph"/>
              <w:numPr>
                <w:ilvl w:val="1"/>
                <w:numId w:val="33"/>
              </w:numPr>
              <w:ind w:left="697" w:hanging="357"/>
              <w:rPr>
                <w:bCs/>
                <w:i/>
                <w:iCs/>
                <w:sz w:val="20"/>
                <w:szCs w:val="20"/>
              </w:rPr>
            </w:pPr>
            <w:r w:rsidRPr="001752E3">
              <w:rPr>
                <w:bCs/>
                <w:i/>
                <w:iCs/>
                <w:sz w:val="20"/>
                <w:szCs w:val="20"/>
              </w:rPr>
              <w:t>Were predictor assessments made without knowledge of outcome data?</w:t>
            </w:r>
          </w:p>
        </w:tc>
        <w:tc>
          <w:tcPr>
            <w:tcW w:w="802" w:type="pct"/>
            <w:vAlign w:val="center"/>
          </w:tcPr>
          <w:p w14:paraId="03BC507E"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6A68A1E0"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111E2E78" w14:textId="77777777" w:rsidTr="00005CF2">
        <w:trPr>
          <w:trHeight w:val="244"/>
          <w:jc w:val="center"/>
        </w:trPr>
        <w:tc>
          <w:tcPr>
            <w:tcW w:w="3396" w:type="pct"/>
          </w:tcPr>
          <w:p w14:paraId="4C5DEF0B"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Are all predictors available at the time the model is intended to be used?</w:t>
            </w:r>
          </w:p>
        </w:tc>
        <w:tc>
          <w:tcPr>
            <w:tcW w:w="802" w:type="pct"/>
            <w:vAlign w:val="center"/>
          </w:tcPr>
          <w:p w14:paraId="4AA85CBA"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37FA1C58"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41721388" w14:textId="77777777" w:rsidTr="00005CF2">
        <w:trPr>
          <w:trHeight w:val="244"/>
          <w:jc w:val="center"/>
        </w:trPr>
        <w:tc>
          <w:tcPr>
            <w:tcW w:w="3396" w:type="pct"/>
            <w:shd w:val="clear" w:color="auto" w:fill="B4C6E7" w:themeFill="accent1" w:themeFillTint="66"/>
          </w:tcPr>
          <w:p w14:paraId="4DE9648B" w14:textId="77777777" w:rsidR="009D652F" w:rsidRPr="001752E3" w:rsidRDefault="009D652F" w:rsidP="00005CF2">
            <w:pPr>
              <w:pStyle w:val="ListParagraph"/>
              <w:numPr>
                <w:ilvl w:val="0"/>
                <w:numId w:val="33"/>
              </w:numPr>
              <w:rPr>
                <w:b/>
                <w:sz w:val="20"/>
                <w:szCs w:val="20"/>
              </w:rPr>
            </w:pPr>
            <w:r w:rsidRPr="001752E3">
              <w:rPr>
                <w:b/>
                <w:sz w:val="20"/>
                <w:szCs w:val="20"/>
              </w:rPr>
              <w:t>OUTCOMES</w:t>
            </w:r>
          </w:p>
        </w:tc>
        <w:tc>
          <w:tcPr>
            <w:tcW w:w="802" w:type="pct"/>
            <w:shd w:val="clear" w:color="auto" w:fill="B4C6E7" w:themeFill="accent1" w:themeFillTint="66"/>
            <w:vAlign w:val="center"/>
          </w:tcPr>
          <w:p w14:paraId="0DC3161F" w14:textId="77777777" w:rsidR="009D652F" w:rsidRPr="00F9082E" w:rsidRDefault="009D652F" w:rsidP="00005CF2">
            <w:pPr>
              <w:jc w:val="center"/>
              <w:rPr>
                <w:bCs/>
                <w:sz w:val="20"/>
                <w:szCs w:val="20"/>
              </w:rPr>
            </w:pPr>
          </w:p>
        </w:tc>
        <w:tc>
          <w:tcPr>
            <w:tcW w:w="802" w:type="pct"/>
            <w:shd w:val="clear" w:color="auto" w:fill="B4C6E7" w:themeFill="accent1" w:themeFillTint="66"/>
            <w:vAlign w:val="center"/>
          </w:tcPr>
          <w:p w14:paraId="10344CC6" w14:textId="77777777" w:rsidR="009D652F" w:rsidRPr="00F9082E" w:rsidRDefault="009D652F" w:rsidP="00005CF2">
            <w:pPr>
              <w:jc w:val="center"/>
              <w:rPr>
                <w:bCs/>
                <w:sz w:val="20"/>
                <w:szCs w:val="20"/>
              </w:rPr>
            </w:pPr>
          </w:p>
        </w:tc>
      </w:tr>
      <w:tr w:rsidR="009D652F" w14:paraId="21D84B6C" w14:textId="77777777" w:rsidTr="00005CF2">
        <w:trPr>
          <w:trHeight w:val="244"/>
          <w:jc w:val="center"/>
        </w:trPr>
        <w:tc>
          <w:tcPr>
            <w:tcW w:w="3396" w:type="pct"/>
          </w:tcPr>
          <w:p w14:paraId="50642CCF" w14:textId="77777777" w:rsidR="009D652F" w:rsidRPr="007E69DC" w:rsidRDefault="009D652F" w:rsidP="00005CF2">
            <w:pPr>
              <w:pStyle w:val="ListParagraph"/>
              <w:numPr>
                <w:ilvl w:val="1"/>
                <w:numId w:val="33"/>
              </w:numPr>
              <w:ind w:left="697" w:hanging="357"/>
              <w:rPr>
                <w:bCs/>
                <w:i/>
                <w:iCs/>
                <w:sz w:val="20"/>
                <w:szCs w:val="20"/>
              </w:rPr>
            </w:pPr>
            <w:r w:rsidRPr="001752E3">
              <w:rPr>
                <w:bCs/>
                <w:i/>
                <w:iCs/>
                <w:sz w:val="20"/>
                <w:szCs w:val="20"/>
              </w:rPr>
              <w:t>Was the outcome determined appropriately?</w:t>
            </w:r>
          </w:p>
        </w:tc>
        <w:tc>
          <w:tcPr>
            <w:tcW w:w="802" w:type="pct"/>
            <w:vAlign w:val="center"/>
          </w:tcPr>
          <w:p w14:paraId="2E17EA53"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668545EC"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66DAC2CF" w14:textId="77777777" w:rsidTr="00005CF2">
        <w:trPr>
          <w:trHeight w:val="244"/>
          <w:jc w:val="center"/>
        </w:trPr>
        <w:tc>
          <w:tcPr>
            <w:tcW w:w="3396" w:type="pct"/>
          </w:tcPr>
          <w:p w14:paraId="01D23C2A" w14:textId="77777777" w:rsidR="009D652F" w:rsidRPr="007E69DC" w:rsidRDefault="009D652F" w:rsidP="00005CF2">
            <w:pPr>
              <w:pStyle w:val="ListParagraph"/>
              <w:numPr>
                <w:ilvl w:val="1"/>
                <w:numId w:val="33"/>
              </w:numPr>
              <w:ind w:left="697" w:hanging="357"/>
              <w:rPr>
                <w:bCs/>
                <w:i/>
                <w:iCs/>
                <w:sz w:val="20"/>
                <w:szCs w:val="20"/>
              </w:rPr>
            </w:pPr>
            <w:r w:rsidRPr="007E69DC">
              <w:rPr>
                <w:bCs/>
                <w:i/>
                <w:iCs/>
                <w:sz w:val="20"/>
                <w:szCs w:val="20"/>
              </w:rPr>
              <w:t>Was a prespecified or standard outcome definition used?</w:t>
            </w:r>
          </w:p>
        </w:tc>
        <w:tc>
          <w:tcPr>
            <w:tcW w:w="802" w:type="pct"/>
            <w:vAlign w:val="center"/>
          </w:tcPr>
          <w:p w14:paraId="795AC722" w14:textId="77777777" w:rsidR="009D652F" w:rsidRPr="00F9082E" w:rsidRDefault="009D652F" w:rsidP="00005CF2">
            <w:pPr>
              <w:jc w:val="center"/>
              <w:rPr>
                <w:rFonts w:ascii="Wingdings" w:eastAsia="Times New Roman" w:hAnsi="Wingdings" w:cs="Calibri"/>
                <w:color w:val="000000"/>
                <w:sz w:val="20"/>
                <w:szCs w:val="20"/>
                <w:lang w:eastAsia="en-GB"/>
              </w:rPr>
            </w:pPr>
            <w:r w:rsidRPr="00F9082E">
              <w:rPr>
                <w:rFonts w:ascii="Wingdings" w:eastAsia="Times New Roman" w:hAnsi="Wingdings" w:cs="Calibri"/>
                <w:color w:val="000000"/>
                <w:sz w:val="20"/>
                <w:szCs w:val="20"/>
                <w:lang w:eastAsia="en-GB"/>
              </w:rPr>
              <w:t></w:t>
            </w:r>
          </w:p>
        </w:tc>
        <w:tc>
          <w:tcPr>
            <w:tcW w:w="802" w:type="pct"/>
            <w:vAlign w:val="center"/>
          </w:tcPr>
          <w:p w14:paraId="2A96662E" w14:textId="77777777" w:rsidR="009D652F" w:rsidRPr="00F9082E" w:rsidRDefault="009D652F" w:rsidP="00005CF2">
            <w:pPr>
              <w:jc w:val="center"/>
              <w:rPr>
                <w:rFonts w:ascii="Wingdings" w:eastAsia="Times New Roman" w:hAnsi="Wingdings" w:cs="Calibri"/>
                <w:color w:val="000000"/>
                <w:sz w:val="20"/>
                <w:szCs w:val="20"/>
                <w:lang w:eastAsia="en-GB"/>
              </w:rPr>
            </w:pPr>
            <w:r w:rsidRPr="00F9082E">
              <w:rPr>
                <w:rFonts w:ascii="Wingdings" w:eastAsia="Times New Roman" w:hAnsi="Wingdings" w:cs="Calibri"/>
                <w:color w:val="000000"/>
                <w:sz w:val="20"/>
                <w:szCs w:val="20"/>
                <w:lang w:eastAsia="en-GB"/>
              </w:rPr>
              <w:t></w:t>
            </w:r>
          </w:p>
        </w:tc>
      </w:tr>
      <w:tr w:rsidR="009D652F" w14:paraId="53B78AC9" w14:textId="77777777" w:rsidTr="00005CF2">
        <w:trPr>
          <w:trHeight w:val="244"/>
          <w:jc w:val="center"/>
        </w:trPr>
        <w:tc>
          <w:tcPr>
            <w:tcW w:w="3396" w:type="pct"/>
          </w:tcPr>
          <w:p w14:paraId="71705FB4"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predictors excluded from the outcome definition?</w:t>
            </w:r>
          </w:p>
        </w:tc>
        <w:tc>
          <w:tcPr>
            <w:tcW w:w="802" w:type="pct"/>
            <w:vAlign w:val="center"/>
          </w:tcPr>
          <w:p w14:paraId="7F147ACB"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4FB7A812"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5A1BC9A8" w14:textId="77777777" w:rsidTr="00005CF2">
        <w:trPr>
          <w:trHeight w:val="244"/>
          <w:jc w:val="center"/>
        </w:trPr>
        <w:tc>
          <w:tcPr>
            <w:tcW w:w="3396" w:type="pct"/>
          </w:tcPr>
          <w:p w14:paraId="43542F77"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Was the outcome defined and determined in a similar way for all participants?</w:t>
            </w:r>
          </w:p>
        </w:tc>
        <w:tc>
          <w:tcPr>
            <w:tcW w:w="802" w:type="pct"/>
            <w:vAlign w:val="center"/>
          </w:tcPr>
          <w:p w14:paraId="0FADB808"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1679CF8B"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1FF9E72E" w14:textId="77777777" w:rsidTr="00005CF2">
        <w:trPr>
          <w:trHeight w:val="244"/>
          <w:jc w:val="center"/>
        </w:trPr>
        <w:tc>
          <w:tcPr>
            <w:tcW w:w="3396" w:type="pct"/>
          </w:tcPr>
          <w:p w14:paraId="77141AC7"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Was the outcome determined without knowledge of predictor information?</w:t>
            </w:r>
          </w:p>
        </w:tc>
        <w:tc>
          <w:tcPr>
            <w:tcW w:w="802" w:type="pct"/>
            <w:vAlign w:val="center"/>
          </w:tcPr>
          <w:p w14:paraId="595441F2"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1072D249"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1654A64E" w14:textId="77777777" w:rsidTr="00005CF2">
        <w:trPr>
          <w:trHeight w:val="244"/>
          <w:jc w:val="center"/>
        </w:trPr>
        <w:tc>
          <w:tcPr>
            <w:tcW w:w="3396" w:type="pct"/>
          </w:tcPr>
          <w:p w14:paraId="51268D14"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Was the time interval between predictor assessment and outcome determination appropriate?</w:t>
            </w:r>
          </w:p>
        </w:tc>
        <w:tc>
          <w:tcPr>
            <w:tcW w:w="802" w:type="pct"/>
            <w:vAlign w:val="center"/>
          </w:tcPr>
          <w:p w14:paraId="4EFF090A"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290A9721"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60A9EA44" w14:textId="77777777" w:rsidTr="00005CF2">
        <w:trPr>
          <w:trHeight w:val="244"/>
          <w:jc w:val="center"/>
        </w:trPr>
        <w:tc>
          <w:tcPr>
            <w:tcW w:w="3396" w:type="pct"/>
            <w:shd w:val="clear" w:color="auto" w:fill="B4C6E7" w:themeFill="accent1" w:themeFillTint="66"/>
          </w:tcPr>
          <w:p w14:paraId="487CC598" w14:textId="77777777" w:rsidR="009D652F" w:rsidRPr="001752E3" w:rsidRDefault="009D652F" w:rsidP="00005CF2">
            <w:pPr>
              <w:pStyle w:val="ListParagraph"/>
              <w:numPr>
                <w:ilvl w:val="0"/>
                <w:numId w:val="33"/>
              </w:numPr>
              <w:rPr>
                <w:b/>
                <w:sz w:val="20"/>
                <w:szCs w:val="20"/>
              </w:rPr>
            </w:pPr>
            <w:r w:rsidRPr="001752E3">
              <w:rPr>
                <w:b/>
                <w:sz w:val="20"/>
                <w:szCs w:val="20"/>
              </w:rPr>
              <w:t>ANALYSIS</w:t>
            </w:r>
          </w:p>
        </w:tc>
        <w:tc>
          <w:tcPr>
            <w:tcW w:w="802" w:type="pct"/>
            <w:shd w:val="clear" w:color="auto" w:fill="B4C6E7" w:themeFill="accent1" w:themeFillTint="66"/>
            <w:vAlign w:val="center"/>
          </w:tcPr>
          <w:p w14:paraId="75B52817" w14:textId="77777777" w:rsidR="009D652F" w:rsidRPr="00F9082E" w:rsidRDefault="009D652F" w:rsidP="00005CF2">
            <w:pPr>
              <w:jc w:val="center"/>
              <w:rPr>
                <w:bCs/>
                <w:sz w:val="20"/>
                <w:szCs w:val="20"/>
              </w:rPr>
            </w:pPr>
          </w:p>
        </w:tc>
        <w:tc>
          <w:tcPr>
            <w:tcW w:w="802" w:type="pct"/>
            <w:shd w:val="clear" w:color="auto" w:fill="B4C6E7" w:themeFill="accent1" w:themeFillTint="66"/>
            <w:vAlign w:val="center"/>
          </w:tcPr>
          <w:p w14:paraId="41CFEC52" w14:textId="77777777" w:rsidR="009D652F" w:rsidRPr="00F9082E" w:rsidRDefault="009D652F" w:rsidP="00005CF2">
            <w:pPr>
              <w:jc w:val="center"/>
              <w:rPr>
                <w:bCs/>
                <w:sz w:val="20"/>
                <w:szCs w:val="20"/>
              </w:rPr>
            </w:pPr>
          </w:p>
        </w:tc>
      </w:tr>
      <w:tr w:rsidR="009D652F" w14:paraId="6DD7FE68" w14:textId="77777777" w:rsidTr="00005CF2">
        <w:trPr>
          <w:trHeight w:val="244"/>
          <w:jc w:val="center"/>
        </w:trPr>
        <w:tc>
          <w:tcPr>
            <w:tcW w:w="3396" w:type="pct"/>
          </w:tcPr>
          <w:p w14:paraId="718D22CB"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there a reasonable number of participants with the outcome?</w:t>
            </w:r>
          </w:p>
        </w:tc>
        <w:tc>
          <w:tcPr>
            <w:tcW w:w="802" w:type="pct"/>
            <w:vAlign w:val="center"/>
          </w:tcPr>
          <w:p w14:paraId="4E7CBBC2"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223BDE9D"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05BD64C5" w14:textId="77777777" w:rsidTr="00005CF2">
        <w:trPr>
          <w:trHeight w:val="244"/>
          <w:jc w:val="center"/>
        </w:trPr>
        <w:tc>
          <w:tcPr>
            <w:tcW w:w="3396" w:type="pct"/>
          </w:tcPr>
          <w:p w14:paraId="1247BFAA"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continuous and categorical predictors handled appropriately?</w:t>
            </w:r>
          </w:p>
        </w:tc>
        <w:tc>
          <w:tcPr>
            <w:tcW w:w="802" w:type="pct"/>
            <w:vAlign w:val="center"/>
          </w:tcPr>
          <w:p w14:paraId="6590952D"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76B7D6EE"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09F3B881" w14:textId="77777777" w:rsidTr="00005CF2">
        <w:trPr>
          <w:trHeight w:val="244"/>
          <w:jc w:val="center"/>
        </w:trPr>
        <w:tc>
          <w:tcPr>
            <w:tcW w:w="3396" w:type="pct"/>
          </w:tcPr>
          <w:p w14:paraId="4DCF9A3B"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all enrolled participants included in the analysis?</w:t>
            </w:r>
          </w:p>
        </w:tc>
        <w:tc>
          <w:tcPr>
            <w:tcW w:w="802" w:type="pct"/>
            <w:vAlign w:val="center"/>
          </w:tcPr>
          <w:p w14:paraId="305C99E8"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6B893644"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2BC406C7" w14:textId="77777777" w:rsidTr="00005CF2">
        <w:trPr>
          <w:trHeight w:val="244"/>
          <w:jc w:val="center"/>
        </w:trPr>
        <w:tc>
          <w:tcPr>
            <w:tcW w:w="3396" w:type="pct"/>
          </w:tcPr>
          <w:p w14:paraId="65F9F29F"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participants with missing data handled appropriately?</w:t>
            </w:r>
          </w:p>
        </w:tc>
        <w:tc>
          <w:tcPr>
            <w:tcW w:w="802" w:type="pct"/>
            <w:vAlign w:val="center"/>
          </w:tcPr>
          <w:p w14:paraId="40DD9BB9"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10ABD982"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791B3EC7" w14:textId="77777777" w:rsidTr="00005CF2">
        <w:trPr>
          <w:trHeight w:val="244"/>
          <w:jc w:val="center"/>
        </w:trPr>
        <w:tc>
          <w:tcPr>
            <w:tcW w:w="3396" w:type="pct"/>
          </w:tcPr>
          <w:p w14:paraId="1A44BCC3"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Was selection of predictors based on univariable analysis avoided?</w:t>
            </w:r>
          </w:p>
        </w:tc>
        <w:tc>
          <w:tcPr>
            <w:tcW w:w="802" w:type="pct"/>
            <w:vAlign w:val="center"/>
          </w:tcPr>
          <w:p w14:paraId="5A0A4EB8"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587AC66E"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422C303B" w14:textId="77777777" w:rsidTr="00005CF2">
        <w:trPr>
          <w:trHeight w:val="244"/>
          <w:jc w:val="center"/>
        </w:trPr>
        <w:tc>
          <w:tcPr>
            <w:tcW w:w="3396" w:type="pct"/>
          </w:tcPr>
          <w:p w14:paraId="254449D0"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complexities in the data (e.g., censoring, competing risks, sampling of control participants) accounted for appropriately?</w:t>
            </w:r>
          </w:p>
        </w:tc>
        <w:tc>
          <w:tcPr>
            <w:tcW w:w="802" w:type="pct"/>
            <w:vAlign w:val="center"/>
          </w:tcPr>
          <w:p w14:paraId="47D06B3B"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21AE98E4"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196EFC0D" w14:textId="77777777" w:rsidTr="00005CF2">
        <w:trPr>
          <w:trHeight w:val="244"/>
          <w:jc w:val="center"/>
        </w:trPr>
        <w:tc>
          <w:tcPr>
            <w:tcW w:w="3396" w:type="pct"/>
          </w:tcPr>
          <w:p w14:paraId="34431343"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relevant model performance measures evaluated appropriately?</w:t>
            </w:r>
          </w:p>
        </w:tc>
        <w:tc>
          <w:tcPr>
            <w:tcW w:w="802" w:type="pct"/>
            <w:vAlign w:val="center"/>
          </w:tcPr>
          <w:p w14:paraId="0C46C44A"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11E50149"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5F433187" w14:textId="77777777" w:rsidTr="00005CF2">
        <w:trPr>
          <w:trHeight w:val="244"/>
          <w:jc w:val="center"/>
        </w:trPr>
        <w:tc>
          <w:tcPr>
            <w:tcW w:w="3396" w:type="pct"/>
          </w:tcPr>
          <w:p w14:paraId="51C850D8"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Were model overfitting and optimism in model performance accounted for?</w:t>
            </w:r>
          </w:p>
        </w:tc>
        <w:tc>
          <w:tcPr>
            <w:tcW w:w="802" w:type="pct"/>
            <w:vAlign w:val="center"/>
          </w:tcPr>
          <w:p w14:paraId="0CD24B4F"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7A9FCB32"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r w:rsidR="009D652F" w14:paraId="0AB19E58" w14:textId="77777777" w:rsidTr="00005CF2">
        <w:trPr>
          <w:trHeight w:val="244"/>
          <w:jc w:val="center"/>
        </w:trPr>
        <w:tc>
          <w:tcPr>
            <w:tcW w:w="3396" w:type="pct"/>
          </w:tcPr>
          <w:p w14:paraId="2FCFE554" w14:textId="77777777" w:rsidR="009D652F" w:rsidRPr="001752E3" w:rsidRDefault="009D652F" w:rsidP="00005CF2">
            <w:pPr>
              <w:pStyle w:val="ListParagraph"/>
              <w:numPr>
                <w:ilvl w:val="1"/>
                <w:numId w:val="33"/>
              </w:numPr>
              <w:ind w:left="697" w:hanging="357"/>
              <w:rPr>
                <w:bCs/>
                <w:i/>
                <w:iCs/>
                <w:sz w:val="20"/>
                <w:szCs w:val="20"/>
              </w:rPr>
            </w:pPr>
            <w:r w:rsidRPr="001752E3">
              <w:rPr>
                <w:bCs/>
                <w:i/>
                <w:iCs/>
                <w:sz w:val="20"/>
                <w:szCs w:val="20"/>
              </w:rPr>
              <w:t>Do predictors and their assigned weights in the final model correspond to the results from the reported multivariable analysis?</w:t>
            </w:r>
          </w:p>
        </w:tc>
        <w:tc>
          <w:tcPr>
            <w:tcW w:w="802" w:type="pct"/>
            <w:vAlign w:val="center"/>
          </w:tcPr>
          <w:p w14:paraId="559DA6D3"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c>
          <w:tcPr>
            <w:tcW w:w="802" w:type="pct"/>
            <w:vAlign w:val="center"/>
          </w:tcPr>
          <w:p w14:paraId="1C15C84B" w14:textId="77777777" w:rsidR="009D652F" w:rsidRPr="00F9082E" w:rsidRDefault="009D652F" w:rsidP="00005CF2">
            <w:pPr>
              <w:jc w:val="center"/>
              <w:rPr>
                <w:bCs/>
                <w:sz w:val="20"/>
                <w:szCs w:val="20"/>
              </w:rPr>
            </w:pPr>
            <w:r w:rsidRPr="00F9082E">
              <w:rPr>
                <w:rFonts w:ascii="Wingdings" w:eastAsia="Times New Roman" w:hAnsi="Wingdings" w:cs="Calibri"/>
                <w:color w:val="000000"/>
                <w:sz w:val="20"/>
                <w:szCs w:val="20"/>
                <w:lang w:eastAsia="en-GB"/>
              </w:rPr>
              <w:t></w:t>
            </w:r>
          </w:p>
        </w:tc>
      </w:tr>
    </w:tbl>
    <w:p w14:paraId="5B14592E" w14:textId="77777777" w:rsidR="009D652F" w:rsidRDefault="009D652F" w:rsidP="009D652F">
      <w:pPr>
        <w:spacing w:line="360" w:lineRule="auto"/>
        <w:rPr>
          <w:b/>
          <w:bCs/>
        </w:rPr>
      </w:pPr>
    </w:p>
    <w:p w14:paraId="36AE10EE" w14:textId="77777777" w:rsidR="009D652F" w:rsidRDefault="009D652F" w:rsidP="009D652F">
      <w:pPr>
        <w:spacing w:line="360" w:lineRule="auto"/>
        <w:rPr>
          <w:b/>
          <w:bCs/>
        </w:rPr>
      </w:pPr>
    </w:p>
    <w:p w14:paraId="4ECC3E6C" w14:textId="77777777" w:rsidR="009D652F" w:rsidRDefault="009D652F" w:rsidP="009D652F">
      <w:pPr>
        <w:spacing w:line="360" w:lineRule="auto"/>
        <w:rPr>
          <w:b/>
          <w:bCs/>
        </w:rPr>
      </w:pPr>
    </w:p>
    <w:p w14:paraId="0C838569" w14:textId="77777777" w:rsidR="009D652F" w:rsidRDefault="009D652F" w:rsidP="009D652F">
      <w:pPr>
        <w:spacing w:line="360" w:lineRule="auto"/>
        <w:rPr>
          <w:b/>
          <w:bCs/>
        </w:rPr>
      </w:pPr>
    </w:p>
    <w:p w14:paraId="2CA1CE42" w14:textId="6F10E44B" w:rsidR="009D652F" w:rsidRDefault="009D652F" w:rsidP="009D652F">
      <w:pPr>
        <w:spacing w:line="360" w:lineRule="auto"/>
        <w:rPr>
          <w:b/>
          <w:bCs/>
        </w:rPr>
      </w:pPr>
      <w:r w:rsidRPr="00DF3A56">
        <w:rPr>
          <w:b/>
          <w:bCs/>
        </w:rPr>
        <w:t xml:space="preserve">Supplementary table </w:t>
      </w:r>
      <w:r>
        <w:rPr>
          <w:b/>
          <w:bCs/>
        </w:rPr>
        <w:t>4</w:t>
      </w:r>
      <w:r w:rsidR="00B07567">
        <w:rPr>
          <w:b/>
          <w:bCs/>
        </w:rPr>
        <w:t>. PROBAST r</w:t>
      </w:r>
      <w:r>
        <w:rPr>
          <w:b/>
          <w:bCs/>
        </w:rPr>
        <w:t xml:space="preserve">isk of bias </w:t>
      </w:r>
      <w:r w:rsidR="00B07567">
        <w:rPr>
          <w:b/>
          <w:bCs/>
        </w:rPr>
        <w:t xml:space="preserve">assessment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234"/>
      </w:tblGrid>
      <w:tr w:rsidR="009D652F" w:rsidRPr="0093141C" w14:paraId="03BA74D2" w14:textId="77777777" w:rsidTr="00005CF2">
        <w:trPr>
          <w:trHeight w:val="559"/>
        </w:trPr>
        <w:tc>
          <w:tcPr>
            <w:tcW w:w="8923" w:type="dxa"/>
            <w:gridSpan w:val="2"/>
            <w:shd w:val="clear" w:color="auto" w:fill="B4C6E7" w:themeFill="accent1" w:themeFillTint="66"/>
            <w:noWrap/>
            <w:vAlign w:val="center"/>
          </w:tcPr>
          <w:p w14:paraId="56728DE5" w14:textId="77777777" w:rsidR="009D652F" w:rsidRPr="008260F2" w:rsidRDefault="009D652F" w:rsidP="00005CF2">
            <w:pPr>
              <w:spacing w:after="0" w:line="240" w:lineRule="auto"/>
              <w:rPr>
                <w:rFonts w:ascii="Calibri" w:eastAsia="Times New Roman" w:hAnsi="Calibri" w:cs="Calibri"/>
                <w:b/>
                <w:color w:val="000000"/>
                <w:lang w:eastAsia="en-GB"/>
              </w:rPr>
            </w:pPr>
            <w:r w:rsidRPr="008260F2">
              <w:rPr>
                <w:rFonts w:ascii="Calibri" w:eastAsia="Times New Roman" w:hAnsi="Calibri" w:cs="Calibri"/>
                <w:b/>
                <w:color w:val="000000"/>
                <w:lang w:eastAsia="en-GB"/>
              </w:rPr>
              <w:t>Pa</w:t>
            </w:r>
            <w:r w:rsidRPr="00187DFE">
              <w:rPr>
                <w:rFonts w:ascii="Calibri" w:eastAsia="Times New Roman" w:hAnsi="Calibri" w:cs="Calibri"/>
                <w:b/>
                <w:color w:val="000000"/>
                <w:shd w:val="clear" w:color="auto" w:fill="B4C6E7" w:themeFill="accent1" w:themeFillTint="66"/>
                <w:lang w:eastAsia="en-GB"/>
              </w:rPr>
              <w:t>rticipants</w:t>
            </w:r>
          </w:p>
        </w:tc>
      </w:tr>
      <w:tr w:rsidR="009D652F" w:rsidRPr="0093141C" w14:paraId="6D8BF455" w14:textId="77777777" w:rsidTr="00005CF2">
        <w:trPr>
          <w:trHeight w:val="559"/>
        </w:trPr>
        <w:tc>
          <w:tcPr>
            <w:tcW w:w="2689" w:type="dxa"/>
            <w:shd w:val="clear" w:color="auto" w:fill="auto"/>
            <w:noWrap/>
            <w:vAlign w:val="center"/>
            <w:hideMark/>
          </w:tcPr>
          <w:p w14:paraId="23203B9C" w14:textId="77777777" w:rsidR="009D652F" w:rsidRPr="0093141C"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1.1 </w:t>
            </w:r>
            <w:r w:rsidRPr="0093141C">
              <w:rPr>
                <w:rFonts w:ascii="Calibri" w:eastAsia="Times New Roman" w:hAnsi="Calibri" w:cs="Calibri"/>
                <w:b/>
                <w:color w:val="000000"/>
                <w:lang w:eastAsia="en-GB"/>
              </w:rPr>
              <w:t>Were appropriate data sources used, e.g. cohort, RCT or nested case-control study?</w:t>
            </w:r>
          </w:p>
        </w:tc>
        <w:tc>
          <w:tcPr>
            <w:tcW w:w="6234" w:type="dxa"/>
          </w:tcPr>
          <w:p w14:paraId="269BA6AA"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3C559D2D" w14:textId="77777777" w:rsidR="009D652F" w:rsidRDefault="009D652F" w:rsidP="00005CF2">
            <w:pPr>
              <w:pStyle w:val="ListParagraph"/>
              <w:numPr>
                <w:ilvl w:val="0"/>
                <w:numId w:val="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prospective longitudinal cohorts (RCT or proper registry) with consistent methods for participant inclusion and exclusion – predefined predictors and outcome determination</w:t>
            </w:r>
          </w:p>
          <w:p w14:paraId="3B7BA3E2" w14:textId="77777777" w:rsidR="009D652F" w:rsidRPr="00461B5B" w:rsidRDefault="009D652F" w:rsidP="00005CF2">
            <w:pPr>
              <w:pStyle w:val="ListParagraph"/>
              <w:numPr>
                <w:ilvl w:val="0"/>
                <w:numId w:val="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case control/cohort studies are low ROB if the original cohort/registry outcome frequency is adjusted for – look for ‘reweighting’ or ‘inverse sampling fraction’ of the outcome. </w:t>
            </w:r>
          </w:p>
          <w:p w14:paraId="114AFB75" w14:textId="77777777" w:rsidR="009D652F" w:rsidRDefault="009D652F" w:rsidP="00005CF2">
            <w:pPr>
              <w:spacing w:after="0" w:line="240" w:lineRule="auto"/>
              <w:rPr>
                <w:rFonts w:ascii="Calibri" w:eastAsia="Times New Roman" w:hAnsi="Calibri" w:cs="Calibri"/>
                <w:color w:val="000000"/>
                <w:lang w:eastAsia="en-GB"/>
              </w:rPr>
            </w:pPr>
          </w:p>
          <w:p w14:paraId="049D6FA1"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26D028D7" w14:textId="77777777" w:rsidR="009D652F" w:rsidRDefault="009D652F" w:rsidP="00005CF2">
            <w:pPr>
              <w:pStyle w:val="ListParagraph"/>
              <w:numPr>
                <w:ilvl w:val="0"/>
                <w:numId w:val="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existing cohorts with potentially inconsistent participant inclusion/exclusion criteria – data collected for other purposes than developing and validating a prediction model (if a protocol is given this may reduce the ROB)</w:t>
            </w:r>
          </w:p>
          <w:p w14:paraId="1ABB802C" w14:textId="77777777" w:rsidR="009D652F" w:rsidRPr="00461B5B" w:rsidRDefault="009D652F" w:rsidP="00005CF2">
            <w:pPr>
              <w:pStyle w:val="ListParagraph"/>
              <w:numPr>
                <w:ilvl w:val="0"/>
                <w:numId w:val="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RCTs have narrower eligibility for participants, they also need to ensure treatment is included as a predictor, if not this is high ROB</w:t>
            </w:r>
          </w:p>
          <w:p w14:paraId="2630D713" w14:textId="77777777" w:rsidR="009D652F" w:rsidRDefault="009D652F" w:rsidP="00005CF2">
            <w:pPr>
              <w:pStyle w:val="ListParagraph"/>
              <w:numPr>
                <w:ilvl w:val="0"/>
                <w:numId w:val="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w:t>
            </w:r>
            <w:r w:rsidRPr="00461B5B">
              <w:rPr>
                <w:rFonts w:ascii="Calibri" w:eastAsia="Times New Roman" w:hAnsi="Calibri" w:cs="Calibri"/>
                <w:color w:val="000000"/>
                <w:lang w:eastAsia="en-GB"/>
              </w:rPr>
              <w:t>ll-defined case-control/cohort studies</w:t>
            </w:r>
            <w:r>
              <w:rPr>
                <w:rFonts w:ascii="Calibri" w:eastAsia="Times New Roman" w:hAnsi="Calibri" w:cs="Calibri"/>
                <w:color w:val="000000"/>
                <w:lang w:eastAsia="en-GB"/>
              </w:rPr>
              <w:t xml:space="preserve"> are at high ROB</w:t>
            </w:r>
          </w:p>
          <w:p w14:paraId="3AB7CB7F" w14:textId="77777777" w:rsidR="009D652F" w:rsidRDefault="009D652F" w:rsidP="00005CF2">
            <w:pPr>
              <w:pStyle w:val="ListParagraph"/>
              <w:numPr>
                <w:ilvl w:val="0"/>
                <w:numId w:val="9"/>
              </w:numPr>
              <w:spacing w:after="0" w:line="240" w:lineRule="auto"/>
              <w:rPr>
                <w:rFonts w:ascii="Calibri" w:eastAsia="Times New Roman" w:hAnsi="Calibri" w:cs="Calibri"/>
                <w:color w:val="000000"/>
                <w:lang w:eastAsia="en-GB"/>
              </w:rPr>
            </w:pPr>
            <w:r>
              <w:t>non-nested case–control design</w:t>
            </w:r>
          </w:p>
          <w:p w14:paraId="38068793" w14:textId="77777777" w:rsidR="009D652F" w:rsidRPr="00461B5B"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5405ED9D" w14:textId="77777777" w:rsidTr="00005CF2">
        <w:trPr>
          <w:trHeight w:val="559"/>
        </w:trPr>
        <w:tc>
          <w:tcPr>
            <w:tcW w:w="2689" w:type="dxa"/>
            <w:shd w:val="clear" w:color="auto" w:fill="auto"/>
            <w:noWrap/>
            <w:vAlign w:val="center"/>
          </w:tcPr>
          <w:p w14:paraId="2D294A3B"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1.2 </w:t>
            </w:r>
            <w:r w:rsidRPr="00366A09">
              <w:rPr>
                <w:rFonts w:ascii="Calibri" w:eastAsia="Times New Roman" w:hAnsi="Calibri" w:cs="Calibri"/>
                <w:b/>
                <w:color w:val="000000"/>
                <w:lang w:eastAsia="en-GB"/>
              </w:rPr>
              <w:t>Were all inclusions and exclusions of participants appropriate?</w:t>
            </w:r>
          </w:p>
          <w:p w14:paraId="24117BE6" w14:textId="77777777" w:rsidR="009D652F" w:rsidRDefault="009D652F" w:rsidP="00005CF2">
            <w:pPr>
              <w:spacing w:after="0" w:line="240" w:lineRule="auto"/>
              <w:rPr>
                <w:rFonts w:ascii="Calibri" w:eastAsia="Times New Roman" w:hAnsi="Calibri" w:cs="Calibri"/>
                <w:color w:val="000000"/>
                <w:lang w:eastAsia="en-GB"/>
              </w:rPr>
            </w:pPr>
          </w:p>
          <w:p w14:paraId="4DCADE73" w14:textId="77777777" w:rsidR="009D652F" w:rsidRPr="0093141C" w:rsidRDefault="009D652F" w:rsidP="00005CF2">
            <w:pPr>
              <w:spacing w:after="0" w:line="240" w:lineRule="auto"/>
              <w:rPr>
                <w:rFonts w:ascii="Calibri" w:eastAsia="Times New Roman" w:hAnsi="Calibri" w:cs="Calibri"/>
                <w:color w:val="000000"/>
                <w:lang w:eastAsia="en-GB"/>
              </w:rPr>
            </w:pPr>
            <w:r w:rsidRPr="00E35947">
              <w:rPr>
                <w:rFonts w:ascii="Calibri" w:eastAsia="Times New Roman" w:hAnsi="Calibri" w:cs="Calibri"/>
                <w:b/>
                <w:color w:val="000000"/>
                <w:lang w:eastAsia="en-GB"/>
              </w:rPr>
              <w:t>NB</w:t>
            </w:r>
            <w:r>
              <w:rPr>
                <w:rFonts w:ascii="Calibri" w:eastAsia="Times New Roman" w:hAnsi="Calibri" w:cs="Calibri"/>
                <w:color w:val="000000"/>
                <w:lang w:eastAsia="en-GB"/>
              </w:rPr>
              <w:t xml:space="preserve"> we are concerned with entry of participants into the study at this point, </w:t>
            </w:r>
            <w:r w:rsidRPr="00E35947">
              <w:rPr>
                <w:rFonts w:ascii="Calibri" w:eastAsia="Times New Roman" w:hAnsi="Calibri" w:cs="Calibri"/>
                <w:b/>
                <w:color w:val="000000"/>
                <w:lang w:eastAsia="en-GB"/>
              </w:rPr>
              <w:t>NOT</w:t>
            </w:r>
            <w:r>
              <w:rPr>
                <w:rFonts w:ascii="Calibri" w:eastAsia="Times New Roman" w:hAnsi="Calibri" w:cs="Calibri"/>
                <w:color w:val="000000"/>
                <w:lang w:eastAsia="en-GB"/>
              </w:rPr>
              <w:t xml:space="preserve"> into the analysis. We are not interested in loss to follow up at this point</w:t>
            </w:r>
          </w:p>
        </w:tc>
        <w:tc>
          <w:tcPr>
            <w:tcW w:w="6234" w:type="dxa"/>
          </w:tcPr>
          <w:p w14:paraId="7AC4CEF2"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6B440CB4" w14:textId="77777777" w:rsidR="009D652F" w:rsidRDefault="009D652F" w:rsidP="00005CF2">
            <w:pPr>
              <w:pStyle w:val="ListParagraph"/>
              <w:numPr>
                <w:ilvl w:val="0"/>
                <w:numId w:val="12"/>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w:t>
            </w:r>
            <w:r w:rsidRPr="00E35947">
              <w:rPr>
                <w:rFonts w:ascii="Calibri" w:eastAsia="Times New Roman" w:hAnsi="Calibri" w:cs="Calibri"/>
                <w:color w:val="000000"/>
                <w:lang w:eastAsia="en-GB"/>
              </w:rPr>
              <w:t>nclusion/exclusion appropriate</w:t>
            </w:r>
            <w:r>
              <w:rPr>
                <w:rFonts w:ascii="Calibri" w:eastAsia="Times New Roman" w:hAnsi="Calibri" w:cs="Calibri"/>
                <w:color w:val="000000"/>
                <w:lang w:eastAsia="en-GB"/>
              </w:rPr>
              <w:t xml:space="preserve"> to get representative sample of target population</w:t>
            </w:r>
          </w:p>
          <w:p w14:paraId="2CA839B9" w14:textId="77777777" w:rsidR="009D652F" w:rsidRDefault="009D652F" w:rsidP="00005CF2">
            <w:pPr>
              <w:pStyle w:val="ListParagraph"/>
              <w:numPr>
                <w:ilvl w:val="0"/>
                <w:numId w:val="12"/>
              </w:numPr>
              <w:spacing w:after="0" w:line="240" w:lineRule="auto"/>
              <w:rPr>
                <w:rFonts w:ascii="Calibri" w:eastAsia="Times New Roman" w:hAnsi="Calibri" w:cs="Calibri"/>
                <w:color w:val="000000"/>
                <w:lang w:eastAsia="en-GB"/>
              </w:rPr>
            </w:pPr>
            <w:r>
              <w:t>participants correspond to unselected participants of interest</w:t>
            </w:r>
          </w:p>
          <w:p w14:paraId="4CBB2A13" w14:textId="77777777" w:rsidR="009D652F" w:rsidRPr="00E35947" w:rsidRDefault="009D652F" w:rsidP="00005CF2">
            <w:pPr>
              <w:spacing w:after="0" w:line="240" w:lineRule="auto"/>
              <w:rPr>
                <w:rFonts w:ascii="Calibri" w:eastAsia="Times New Roman" w:hAnsi="Calibri" w:cs="Calibri"/>
                <w:color w:val="000000"/>
                <w:lang w:eastAsia="en-GB"/>
              </w:rPr>
            </w:pPr>
          </w:p>
          <w:p w14:paraId="4349F9C3"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07FF8609" w14:textId="77777777" w:rsidR="009D652F" w:rsidRDefault="009D652F" w:rsidP="00005CF2">
            <w:pPr>
              <w:pStyle w:val="ListParagraph"/>
              <w:numPr>
                <w:ilvl w:val="0"/>
                <w:numId w:val="10"/>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inappropriate inclusion/exclusion of participants e.g., subgroups of populations that are not representative of the target population</w:t>
            </w:r>
          </w:p>
          <w:p w14:paraId="70C5B2BA" w14:textId="77777777" w:rsidR="009D652F" w:rsidRDefault="009D652F" w:rsidP="00005CF2">
            <w:pPr>
              <w:pStyle w:val="ListParagraph"/>
              <w:numPr>
                <w:ilvl w:val="0"/>
                <w:numId w:val="10"/>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includes participants who have already had the outcome e.g., including pre-operative transfusion patient when predicting intra- post-operative transfusion or if the blood transfusion outcome is a self-reported outcome measure</w:t>
            </w:r>
          </w:p>
          <w:p w14:paraId="6B6670E5"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0853E2EA" w14:textId="77777777" w:rsidTr="00005CF2">
        <w:trPr>
          <w:trHeight w:val="559"/>
        </w:trPr>
        <w:tc>
          <w:tcPr>
            <w:tcW w:w="8923" w:type="dxa"/>
            <w:gridSpan w:val="2"/>
            <w:shd w:val="clear" w:color="auto" w:fill="B4C6E7" w:themeFill="accent1" w:themeFillTint="66"/>
            <w:noWrap/>
            <w:vAlign w:val="center"/>
          </w:tcPr>
          <w:p w14:paraId="02797396" w14:textId="77777777" w:rsidR="009D652F" w:rsidRPr="008260F2" w:rsidRDefault="009D652F" w:rsidP="00005CF2">
            <w:pPr>
              <w:spacing w:after="0" w:line="240" w:lineRule="auto"/>
              <w:rPr>
                <w:rFonts w:ascii="Calibri" w:eastAsia="Times New Roman" w:hAnsi="Calibri" w:cs="Calibri"/>
                <w:b/>
                <w:color w:val="000000"/>
                <w:lang w:eastAsia="en-GB"/>
              </w:rPr>
            </w:pPr>
            <w:r w:rsidRPr="008260F2">
              <w:rPr>
                <w:rFonts w:ascii="Calibri" w:eastAsia="Times New Roman" w:hAnsi="Calibri" w:cs="Calibri"/>
                <w:b/>
                <w:color w:val="000000"/>
                <w:lang w:eastAsia="en-GB"/>
              </w:rPr>
              <w:t>Pr</w:t>
            </w:r>
            <w:r w:rsidRPr="00187DFE">
              <w:rPr>
                <w:rFonts w:ascii="Calibri" w:eastAsia="Times New Roman" w:hAnsi="Calibri" w:cs="Calibri"/>
                <w:b/>
                <w:color w:val="000000"/>
                <w:shd w:val="clear" w:color="auto" w:fill="B4C6E7" w:themeFill="accent1" w:themeFillTint="66"/>
                <w:lang w:eastAsia="en-GB"/>
              </w:rPr>
              <w:t>edictors</w:t>
            </w:r>
          </w:p>
        </w:tc>
      </w:tr>
      <w:tr w:rsidR="009D652F" w:rsidRPr="0093141C" w14:paraId="060E8973" w14:textId="77777777" w:rsidTr="00005CF2">
        <w:trPr>
          <w:trHeight w:val="559"/>
        </w:trPr>
        <w:tc>
          <w:tcPr>
            <w:tcW w:w="2689" w:type="dxa"/>
            <w:shd w:val="clear" w:color="auto" w:fill="auto"/>
            <w:noWrap/>
            <w:vAlign w:val="center"/>
          </w:tcPr>
          <w:p w14:paraId="1534DEF0"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2.1 </w:t>
            </w:r>
            <w:r w:rsidRPr="00366A09">
              <w:rPr>
                <w:rFonts w:ascii="Calibri" w:eastAsia="Times New Roman" w:hAnsi="Calibri" w:cs="Calibri"/>
                <w:b/>
                <w:color w:val="000000"/>
                <w:lang w:eastAsia="en-GB"/>
              </w:rPr>
              <w:t>Were predictors defined and assessed in a similar way for all participants?</w:t>
            </w:r>
          </w:p>
        </w:tc>
        <w:tc>
          <w:tcPr>
            <w:tcW w:w="6234" w:type="dxa"/>
          </w:tcPr>
          <w:p w14:paraId="285962F0"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08355FE7" w14:textId="77777777" w:rsidR="009D652F" w:rsidRDefault="009D652F" w:rsidP="00005CF2">
            <w:pPr>
              <w:pStyle w:val="ListParagraph"/>
              <w:numPr>
                <w:ilvl w:val="0"/>
                <w:numId w:val="11"/>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predictors defined and assessed in the same way</w:t>
            </w:r>
          </w:p>
          <w:p w14:paraId="02ACE06C" w14:textId="77777777" w:rsidR="009D652F" w:rsidRPr="00E35947" w:rsidRDefault="009D652F" w:rsidP="00005CF2">
            <w:pPr>
              <w:pStyle w:val="ListParagraph"/>
              <w:numPr>
                <w:ilvl w:val="0"/>
                <w:numId w:val="11"/>
              </w:numPr>
              <w:spacing w:after="0" w:line="240" w:lineRule="auto"/>
              <w:rPr>
                <w:rFonts w:ascii="Calibri" w:eastAsia="Times New Roman" w:hAnsi="Calibri" w:cs="Calibri"/>
                <w:color w:val="000000"/>
                <w:lang w:eastAsia="en-GB"/>
              </w:rPr>
            </w:pPr>
            <w:r>
              <w:t>definitions of predictors and their assessment were similar for all participants</w:t>
            </w:r>
          </w:p>
          <w:p w14:paraId="3D2A539B" w14:textId="77777777" w:rsidR="009D652F" w:rsidRDefault="009D652F" w:rsidP="00005CF2">
            <w:pPr>
              <w:spacing w:after="0" w:line="240" w:lineRule="auto"/>
              <w:rPr>
                <w:rFonts w:ascii="Calibri" w:eastAsia="Times New Roman" w:hAnsi="Calibri" w:cs="Calibri"/>
                <w:color w:val="000000"/>
                <w:lang w:eastAsia="en-GB"/>
              </w:rPr>
            </w:pPr>
          </w:p>
          <w:p w14:paraId="1BD644A2"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0613A916" w14:textId="77777777" w:rsidR="009D652F" w:rsidRPr="00E35947" w:rsidRDefault="009D652F" w:rsidP="00005CF2">
            <w:pPr>
              <w:pStyle w:val="ListParagraph"/>
              <w:numPr>
                <w:ilvl w:val="0"/>
                <w:numId w:val="11"/>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predictors not defined and assessed in the same way e.g., pre-op Hb measured using blood test or blood gas</w:t>
            </w:r>
          </w:p>
          <w:p w14:paraId="3B4A673E" w14:textId="77777777" w:rsidR="009D652F" w:rsidRDefault="009D652F" w:rsidP="00005CF2">
            <w:pPr>
              <w:pStyle w:val="ListParagraph"/>
              <w:numPr>
                <w:ilvl w:val="0"/>
                <w:numId w:val="11"/>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predictors involving subjective judgement/assessment or skilled training, relying on the ability of the assessor</w:t>
            </w:r>
          </w:p>
          <w:p w14:paraId="30677C7B" w14:textId="77777777" w:rsidR="009D652F" w:rsidRDefault="009D652F" w:rsidP="00005CF2">
            <w:pPr>
              <w:pStyle w:val="ListParagraph"/>
              <w:numPr>
                <w:ilvl w:val="0"/>
                <w:numId w:val="11"/>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w:t>
            </w:r>
            <w:r w:rsidRPr="00E35947">
              <w:rPr>
                <w:rFonts w:ascii="Calibri" w:eastAsia="Times New Roman" w:hAnsi="Calibri" w:cs="Calibri"/>
                <w:color w:val="000000"/>
                <w:lang w:eastAsia="en-GB"/>
              </w:rPr>
              <w:t xml:space="preserve">ata from multiple sources likely to have used different definitions </w:t>
            </w:r>
          </w:p>
          <w:p w14:paraId="0D1F550D"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62FA08D8" w14:textId="77777777" w:rsidTr="00005CF2">
        <w:trPr>
          <w:trHeight w:val="559"/>
        </w:trPr>
        <w:tc>
          <w:tcPr>
            <w:tcW w:w="2689" w:type="dxa"/>
            <w:shd w:val="clear" w:color="auto" w:fill="auto"/>
            <w:noWrap/>
            <w:vAlign w:val="center"/>
          </w:tcPr>
          <w:p w14:paraId="76BBBD51"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2.2 </w:t>
            </w:r>
            <w:r w:rsidRPr="00366A09">
              <w:rPr>
                <w:rFonts w:ascii="Calibri" w:eastAsia="Times New Roman" w:hAnsi="Calibri" w:cs="Calibri"/>
                <w:b/>
                <w:color w:val="000000"/>
                <w:lang w:eastAsia="en-GB"/>
              </w:rPr>
              <w:t>Were predictor assessments made without knowledge of outcome data?</w:t>
            </w:r>
          </w:p>
        </w:tc>
        <w:tc>
          <w:tcPr>
            <w:tcW w:w="6234" w:type="dxa"/>
          </w:tcPr>
          <w:p w14:paraId="1B5AC3A4"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04101DC2" w14:textId="77777777" w:rsidR="009D652F" w:rsidRDefault="009D652F" w:rsidP="00005CF2">
            <w:pPr>
              <w:pStyle w:val="ListParagraph"/>
              <w:numPr>
                <w:ilvl w:val="0"/>
                <w:numId w:val="13"/>
              </w:numPr>
              <w:spacing w:after="0" w:line="240" w:lineRule="auto"/>
              <w:rPr>
                <w:rFonts w:ascii="Calibri" w:eastAsia="Times New Roman" w:hAnsi="Calibri" w:cs="Calibri"/>
                <w:color w:val="000000"/>
                <w:lang w:eastAsia="en-GB"/>
              </w:rPr>
            </w:pPr>
            <w:r>
              <w:t>outcome information was stated as not used during predictor assessment or was clearly not (yet) available to those assessing predictors</w:t>
            </w:r>
          </w:p>
          <w:p w14:paraId="79525146" w14:textId="77777777" w:rsidR="009D652F" w:rsidRDefault="009D652F" w:rsidP="00005CF2">
            <w:pPr>
              <w:pStyle w:val="ListParagraph"/>
              <w:numPr>
                <w:ilvl w:val="0"/>
                <w:numId w:val="1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w:t>
            </w:r>
            <w:r w:rsidRPr="003B20BF">
              <w:rPr>
                <w:rFonts w:ascii="Calibri" w:eastAsia="Times New Roman" w:hAnsi="Calibri" w:cs="Calibri"/>
                <w:color w:val="000000"/>
                <w:lang w:eastAsia="en-GB"/>
              </w:rPr>
              <w:t xml:space="preserve">linding of the outcome </w:t>
            </w:r>
          </w:p>
          <w:p w14:paraId="6604D44D" w14:textId="77777777" w:rsidR="009D652F" w:rsidRPr="003B20BF" w:rsidRDefault="009D652F" w:rsidP="00005CF2">
            <w:pPr>
              <w:pStyle w:val="ListParagraph"/>
              <w:spacing w:after="0" w:line="240" w:lineRule="auto"/>
              <w:ind w:left="360"/>
              <w:rPr>
                <w:rFonts w:ascii="Calibri" w:eastAsia="Times New Roman" w:hAnsi="Calibri" w:cs="Calibri"/>
                <w:color w:val="000000"/>
                <w:lang w:eastAsia="en-GB"/>
              </w:rPr>
            </w:pPr>
          </w:p>
          <w:p w14:paraId="62518123"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6BD3FC85" w14:textId="77777777" w:rsidR="009D652F" w:rsidRDefault="009D652F" w:rsidP="00005CF2">
            <w:pPr>
              <w:pStyle w:val="ListParagraph"/>
              <w:numPr>
                <w:ilvl w:val="0"/>
                <w:numId w:val="13"/>
              </w:numPr>
              <w:spacing w:after="0" w:line="240" w:lineRule="auto"/>
              <w:rPr>
                <w:rFonts w:ascii="Calibri" w:eastAsia="Times New Roman" w:hAnsi="Calibri" w:cs="Calibri"/>
                <w:color w:val="000000"/>
                <w:lang w:eastAsia="en-GB"/>
              </w:rPr>
            </w:pPr>
            <w:r>
              <w:t>clear that outcome information was used when assessing predictors</w:t>
            </w:r>
          </w:p>
          <w:p w14:paraId="3E8B6E3B" w14:textId="77777777" w:rsidR="009D652F" w:rsidRDefault="009D652F" w:rsidP="00005CF2">
            <w:pPr>
              <w:pStyle w:val="ListParagraph"/>
              <w:numPr>
                <w:ilvl w:val="0"/>
                <w:numId w:val="1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lack of blinding of the outcome. Though for prognostic modelling, in a prospective cohort, blinding may occur naturally if the time between predictor assessment and outcome is sufficiently long enough – years – this is unlikely to be the case for us. </w:t>
            </w:r>
          </w:p>
          <w:p w14:paraId="0610A747" w14:textId="77777777" w:rsidR="009D652F" w:rsidRPr="00E91703" w:rsidRDefault="009D652F" w:rsidP="00005CF2">
            <w:pPr>
              <w:pStyle w:val="ListParagraph"/>
              <w:numPr>
                <w:ilvl w:val="0"/>
                <w:numId w:val="1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retrospectively recorded predictors</w:t>
            </w:r>
          </w:p>
          <w:p w14:paraId="47EDFA1A" w14:textId="77777777" w:rsidR="009D652F" w:rsidRDefault="009D652F" w:rsidP="00005CF2">
            <w:pPr>
              <w:spacing w:after="0" w:line="240" w:lineRule="auto"/>
              <w:rPr>
                <w:rFonts w:ascii="Calibri" w:eastAsia="Times New Roman" w:hAnsi="Calibri" w:cs="Calibri"/>
                <w:color w:val="000000"/>
                <w:lang w:eastAsia="en-GB"/>
              </w:rPr>
            </w:pPr>
          </w:p>
          <w:p w14:paraId="0FA090D7" w14:textId="77777777" w:rsidR="009D652F" w:rsidRPr="00E91703" w:rsidRDefault="009D652F" w:rsidP="00005CF2">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w:t>
            </w:r>
            <w:r w:rsidRPr="00E91703">
              <w:rPr>
                <w:rFonts w:ascii="Calibri" w:eastAsia="Times New Roman" w:hAnsi="Calibri" w:cs="Calibri"/>
                <w:color w:val="000000"/>
                <w:lang w:eastAsia="en-GB"/>
              </w:rPr>
              <w:t>tudies often fail to report blinding = ‘No information’</w:t>
            </w:r>
          </w:p>
          <w:p w14:paraId="1DE12FF8" w14:textId="77777777" w:rsidR="009D652F" w:rsidRDefault="009D652F" w:rsidP="00005CF2">
            <w:pPr>
              <w:spacing w:after="0" w:line="240" w:lineRule="auto"/>
              <w:rPr>
                <w:rFonts w:ascii="Calibri" w:eastAsia="Times New Roman" w:hAnsi="Calibri" w:cs="Calibri"/>
                <w:color w:val="000000"/>
                <w:lang w:eastAsia="en-GB"/>
              </w:rPr>
            </w:pPr>
          </w:p>
        </w:tc>
      </w:tr>
      <w:tr w:rsidR="009D652F" w:rsidRPr="0093141C" w14:paraId="136FE173" w14:textId="77777777" w:rsidTr="00005CF2">
        <w:trPr>
          <w:trHeight w:val="559"/>
        </w:trPr>
        <w:tc>
          <w:tcPr>
            <w:tcW w:w="2689" w:type="dxa"/>
            <w:shd w:val="clear" w:color="auto" w:fill="auto"/>
            <w:noWrap/>
            <w:vAlign w:val="center"/>
          </w:tcPr>
          <w:p w14:paraId="2D3238D0"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2.3 </w:t>
            </w:r>
            <w:r w:rsidRPr="00366A09">
              <w:rPr>
                <w:rFonts w:ascii="Calibri" w:eastAsia="Times New Roman" w:hAnsi="Calibri" w:cs="Calibri"/>
                <w:b/>
                <w:color w:val="000000"/>
                <w:lang w:eastAsia="en-GB"/>
              </w:rPr>
              <w:t>Are all predictors available at the time the model is intended to be used?</w:t>
            </w:r>
          </w:p>
        </w:tc>
        <w:tc>
          <w:tcPr>
            <w:tcW w:w="6234" w:type="dxa"/>
          </w:tcPr>
          <w:p w14:paraId="7ABA3E14"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55EC8026" w14:textId="77777777" w:rsidR="009D652F" w:rsidRDefault="009D652F" w:rsidP="00005CF2">
            <w:pPr>
              <w:pStyle w:val="ListParagraph"/>
              <w:numPr>
                <w:ilvl w:val="0"/>
                <w:numId w:val="14"/>
              </w:numPr>
              <w:spacing w:after="0" w:line="240" w:lineRule="auto"/>
              <w:rPr>
                <w:rFonts w:ascii="Calibri" w:eastAsia="Times New Roman" w:hAnsi="Calibri" w:cs="Calibri"/>
                <w:color w:val="000000"/>
                <w:lang w:eastAsia="en-GB"/>
              </w:rPr>
            </w:pPr>
            <w:r w:rsidRPr="00607E97">
              <w:rPr>
                <w:rFonts w:ascii="Calibri" w:eastAsia="Times New Roman" w:hAnsi="Calibri" w:cs="Calibri"/>
                <w:i/>
                <w:color w:val="000000"/>
                <w:lang w:eastAsia="en-GB"/>
              </w:rPr>
              <w:t xml:space="preserve">For development studies, </w:t>
            </w:r>
            <w:r>
              <w:rPr>
                <w:rFonts w:ascii="Calibri" w:eastAsia="Times New Roman" w:hAnsi="Calibri" w:cs="Calibri"/>
                <w:color w:val="000000"/>
                <w:lang w:eastAsia="en-GB"/>
              </w:rPr>
              <w:t>t</w:t>
            </w:r>
            <w:r w:rsidRPr="00607E97">
              <w:rPr>
                <w:rFonts w:ascii="Calibri" w:eastAsia="Times New Roman" w:hAnsi="Calibri" w:cs="Calibri"/>
                <w:color w:val="000000"/>
                <w:lang w:eastAsia="en-GB"/>
              </w:rPr>
              <w:t>he model can used in the real world and predictors are available in clinical settings (e.g., model uses pre-op predictors over intra-op predictors as predictors closer to the outcome are more strongly associated with it)</w:t>
            </w:r>
          </w:p>
          <w:p w14:paraId="6CFD0772" w14:textId="77777777" w:rsidR="009D652F" w:rsidRPr="00607E97" w:rsidRDefault="009D652F" w:rsidP="00005CF2">
            <w:pPr>
              <w:pStyle w:val="ListParagraph"/>
              <w:numPr>
                <w:ilvl w:val="0"/>
                <w:numId w:val="14"/>
              </w:numPr>
              <w:spacing w:after="0" w:line="240" w:lineRule="auto"/>
              <w:rPr>
                <w:rFonts w:ascii="Calibri" w:eastAsia="Times New Roman" w:hAnsi="Calibri" w:cs="Calibri"/>
                <w:color w:val="000000"/>
                <w:lang w:eastAsia="en-GB"/>
              </w:rPr>
            </w:pPr>
            <w:r>
              <w:t>included predictors would be available at the time the model is intended to be used for prediction</w:t>
            </w:r>
          </w:p>
          <w:p w14:paraId="421391DB" w14:textId="77777777" w:rsidR="009D652F" w:rsidRDefault="009D652F" w:rsidP="00005CF2">
            <w:pPr>
              <w:spacing w:after="0" w:line="240" w:lineRule="auto"/>
              <w:rPr>
                <w:rFonts w:ascii="Calibri" w:eastAsia="Times New Roman" w:hAnsi="Calibri" w:cs="Calibri"/>
                <w:color w:val="000000"/>
                <w:lang w:eastAsia="en-GB"/>
              </w:rPr>
            </w:pPr>
          </w:p>
          <w:p w14:paraId="03CF58B4"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448A9236" w14:textId="77777777" w:rsidR="009D652F" w:rsidRDefault="009D652F" w:rsidP="00005CF2">
            <w:pPr>
              <w:pStyle w:val="ListParagraph"/>
              <w:numPr>
                <w:ilvl w:val="0"/>
                <w:numId w:val="15"/>
              </w:numPr>
              <w:spacing w:after="0" w:line="240" w:lineRule="auto"/>
              <w:rPr>
                <w:rFonts w:ascii="Calibri" w:eastAsia="Times New Roman" w:hAnsi="Calibri" w:cs="Calibri"/>
                <w:color w:val="000000"/>
                <w:lang w:eastAsia="en-GB"/>
              </w:rPr>
            </w:pPr>
            <w:r>
              <w:rPr>
                <w:rFonts w:ascii="Calibri" w:eastAsia="Times New Roman" w:hAnsi="Calibri" w:cs="Calibri"/>
                <w:i/>
                <w:color w:val="000000"/>
                <w:lang w:eastAsia="en-GB"/>
              </w:rPr>
              <w:t>For v</w:t>
            </w:r>
            <w:r w:rsidRPr="00F678B6">
              <w:rPr>
                <w:rFonts w:ascii="Calibri" w:eastAsia="Times New Roman" w:hAnsi="Calibri" w:cs="Calibri"/>
                <w:i/>
                <w:color w:val="000000"/>
                <w:lang w:eastAsia="en-GB"/>
              </w:rPr>
              <w:t>alidation stud</w:t>
            </w:r>
            <w:r>
              <w:rPr>
                <w:rFonts w:ascii="Calibri" w:eastAsia="Times New Roman" w:hAnsi="Calibri" w:cs="Calibri"/>
                <w:i/>
                <w:color w:val="000000"/>
                <w:lang w:eastAsia="en-GB"/>
              </w:rPr>
              <w:t xml:space="preserve">ies, </w:t>
            </w:r>
            <w:r>
              <w:rPr>
                <w:rFonts w:ascii="Calibri" w:eastAsia="Times New Roman" w:hAnsi="Calibri" w:cs="Calibri"/>
                <w:color w:val="000000"/>
                <w:lang w:eastAsia="en-GB"/>
              </w:rPr>
              <w:t>p</w:t>
            </w:r>
            <w:r w:rsidRPr="00F678B6">
              <w:rPr>
                <w:rFonts w:ascii="Calibri" w:eastAsia="Times New Roman" w:hAnsi="Calibri" w:cs="Calibri"/>
                <w:color w:val="000000"/>
                <w:lang w:eastAsia="en-GB"/>
              </w:rPr>
              <w:t>redictor data needed for the model is missing from the validation dataset</w:t>
            </w:r>
          </w:p>
          <w:p w14:paraId="1317EA87" w14:textId="77777777" w:rsidR="009D652F" w:rsidRDefault="009D652F" w:rsidP="00005CF2">
            <w:pPr>
              <w:pStyle w:val="ListParagraph"/>
              <w:numPr>
                <w:ilvl w:val="0"/>
                <w:numId w:val="15"/>
              </w:numPr>
              <w:spacing w:after="0" w:line="240" w:lineRule="auto"/>
              <w:rPr>
                <w:rFonts w:ascii="Calibri" w:eastAsia="Times New Roman" w:hAnsi="Calibri" w:cs="Calibri"/>
                <w:color w:val="000000"/>
                <w:lang w:eastAsia="en-GB"/>
              </w:rPr>
            </w:pPr>
            <w:r>
              <w:t>predictors would not be available at the time the model is intended to be used for prediction</w:t>
            </w:r>
          </w:p>
          <w:p w14:paraId="178CE668"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24368AD4" w14:textId="77777777" w:rsidTr="00005CF2">
        <w:trPr>
          <w:trHeight w:val="559"/>
        </w:trPr>
        <w:tc>
          <w:tcPr>
            <w:tcW w:w="8923" w:type="dxa"/>
            <w:gridSpan w:val="2"/>
            <w:shd w:val="clear" w:color="auto" w:fill="B4C6E7" w:themeFill="accent1" w:themeFillTint="66"/>
            <w:noWrap/>
            <w:vAlign w:val="center"/>
          </w:tcPr>
          <w:p w14:paraId="4628BF0F" w14:textId="77777777" w:rsidR="009D652F" w:rsidRPr="008260F2" w:rsidRDefault="009D652F" w:rsidP="00005CF2">
            <w:pPr>
              <w:spacing w:after="0" w:line="240" w:lineRule="auto"/>
              <w:rPr>
                <w:rFonts w:ascii="Calibri" w:eastAsia="Times New Roman" w:hAnsi="Calibri" w:cs="Calibri"/>
                <w:b/>
                <w:color w:val="000000"/>
                <w:lang w:eastAsia="en-GB"/>
              </w:rPr>
            </w:pPr>
            <w:r w:rsidRPr="008260F2">
              <w:rPr>
                <w:rFonts w:ascii="Calibri" w:eastAsia="Times New Roman" w:hAnsi="Calibri" w:cs="Calibri"/>
                <w:b/>
                <w:color w:val="000000"/>
                <w:lang w:eastAsia="en-GB"/>
              </w:rPr>
              <w:t>Outc</w:t>
            </w:r>
            <w:r w:rsidRPr="00187DFE">
              <w:rPr>
                <w:rFonts w:ascii="Calibri" w:eastAsia="Times New Roman" w:hAnsi="Calibri" w:cs="Calibri"/>
                <w:b/>
                <w:color w:val="000000"/>
                <w:shd w:val="clear" w:color="auto" w:fill="B4C6E7" w:themeFill="accent1" w:themeFillTint="66"/>
                <w:lang w:eastAsia="en-GB"/>
              </w:rPr>
              <w:t>ome</w:t>
            </w:r>
          </w:p>
        </w:tc>
      </w:tr>
      <w:tr w:rsidR="009D652F" w:rsidRPr="0093141C" w14:paraId="262BC7AC" w14:textId="77777777" w:rsidTr="00005CF2">
        <w:trPr>
          <w:trHeight w:val="559"/>
        </w:trPr>
        <w:tc>
          <w:tcPr>
            <w:tcW w:w="2689" w:type="dxa"/>
            <w:shd w:val="clear" w:color="auto" w:fill="auto"/>
            <w:noWrap/>
            <w:vAlign w:val="center"/>
          </w:tcPr>
          <w:p w14:paraId="5B789B77"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3.1 </w:t>
            </w:r>
            <w:r w:rsidRPr="00366A09">
              <w:rPr>
                <w:rFonts w:ascii="Calibri" w:eastAsia="Times New Roman" w:hAnsi="Calibri" w:cs="Calibri"/>
                <w:b/>
                <w:color w:val="000000"/>
                <w:lang w:eastAsia="en-GB"/>
              </w:rPr>
              <w:t>Was the outcome determined appropriately?</w:t>
            </w:r>
          </w:p>
        </w:tc>
        <w:tc>
          <w:tcPr>
            <w:tcW w:w="6234" w:type="dxa"/>
          </w:tcPr>
          <w:p w14:paraId="3CF103C4"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052A4063" w14:textId="77777777" w:rsidR="009D652F" w:rsidRPr="003B20BF" w:rsidRDefault="009D652F" w:rsidP="00005CF2">
            <w:pPr>
              <w:pStyle w:val="ListParagraph"/>
              <w:numPr>
                <w:ilvl w:val="0"/>
                <w:numId w:val="29"/>
              </w:numPr>
              <w:spacing w:after="0" w:line="240" w:lineRule="auto"/>
              <w:rPr>
                <w:rFonts w:ascii="Calibri" w:eastAsia="Times New Roman" w:hAnsi="Calibri" w:cs="Calibri"/>
                <w:b/>
                <w:color w:val="000000"/>
                <w:lang w:eastAsia="en-GB"/>
              </w:rPr>
            </w:pPr>
            <w:r>
              <w:t>method of outcome determination has been used which is considered optimal or acceptable by guidelines or previous publications on the topic</w:t>
            </w:r>
          </w:p>
          <w:p w14:paraId="40F4C2B3" w14:textId="77777777" w:rsidR="009D652F" w:rsidRDefault="009D652F" w:rsidP="00005CF2">
            <w:pPr>
              <w:spacing w:after="0" w:line="240" w:lineRule="auto"/>
              <w:rPr>
                <w:rFonts w:ascii="Calibri" w:eastAsia="Times New Roman" w:hAnsi="Calibri" w:cs="Calibri"/>
                <w:b/>
                <w:color w:val="000000"/>
                <w:lang w:eastAsia="en-GB"/>
              </w:rPr>
            </w:pPr>
          </w:p>
          <w:p w14:paraId="08DE115E"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4A4CE970"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t>a clearly suboptimal method has been used that causes unacceptable error in determining outcome status in participants</w:t>
            </w:r>
          </w:p>
          <w:p w14:paraId="03A44090"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subjective outcomes e.g., imaging outcomes, outcomes at surgeon discretion, or ones which need special skill training</w:t>
            </w:r>
          </w:p>
          <w:p w14:paraId="4F4D83BE"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6BC3E909"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55CFF661"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1C24F294" w14:textId="77777777" w:rsidTr="00005CF2">
        <w:trPr>
          <w:trHeight w:val="559"/>
        </w:trPr>
        <w:tc>
          <w:tcPr>
            <w:tcW w:w="2689" w:type="dxa"/>
            <w:shd w:val="clear" w:color="auto" w:fill="auto"/>
            <w:noWrap/>
            <w:vAlign w:val="center"/>
          </w:tcPr>
          <w:p w14:paraId="7897E28E" w14:textId="77777777" w:rsidR="009D652F"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3.2 </w:t>
            </w:r>
            <w:r w:rsidRPr="00366A09">
              <w:rPr>
                <w:rFonts w:ascii="Calibri" w:eastAsia="Times New Roman" w:hAnsi="Calibri" w:cs="Calibri"/>
                <w:b/>
                <w:color w:val="000000"/>
                <w:lang w:eastAsia="en-GB"/>
              </w:rPr>
              <w:t>Was a prespecified or standard outcome definition used?</w:t>
            </w:r>
          </w:p>
          <w:p w14:paraId="75DB4FF4" w14:textId="77777777" w:rsidR="009D652F" w:rsidRDefault="009D652F" w:rsidP="00005CF2">
            <w:pPr>
              <w:spacing w:after="0" w:line="240" w:lineRule="auto"/>
              <w:rPr>
                <w:rFonts w:ascii="Calibri" w:eastAsia="Times New Roman" w:hAnsi="Calibri" w:cs="Calibri"/>
                <w:b/>
                <w:color w:val="000000"/>
                <w:lang w:eastAsia="en-GB"/>
              </w:rPr>
            </w:pPr>
          </w:p>
          <w:p w14:paraId="799732E8" w14:textId="77777777" w:rsidR="009D652F" w:rsidRPr="00366A09" w:rsidRDefault="009D652F" w:rsidP="00005CF2">
            <w:pPr>
              <w:spacing w:after="0" w:line="240" w:lineRule="auto"/>
              <w:rPr>
                <w:rFonts w:ascii="Calibri" w:eastAsia="Times New Roman" w:hAnsi="Calibri" w:cs="Calibri"/>
                <w:b/>
                <w:color w:val="000000"/>
                <w:lang w:eastAsia="en-GB"/>
              </w:rPr>
            </w:pPr>
          </w:p>
        </w:tc>
        <w:tc>
          <w:tcPr>
            <w:tcW w:w="6234" w:type="dxa"/>
          </w:tcPr>
          <w:p w14:paraId="3888E472"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76B0AE1F"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pre-specified/standard objective outcome</w:t>
            </w:r>
          </w:p>
          <w:p w14:paraId="7314CAC1"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w:t>
            </w:r>
            <w:r w:rsidRPr="00DC3759">
              <w:rPr>
                <w:rFonts w:ascii="Calibri" w:eastAsia="Times New Roman" w:hAnsi="Calibri" w:cs="Calibri"/>
                <w:color w:val="000000"/>
                <w:lang w:eastAsia="en-GB"/>
              </w:rPr>
              <w:t>ubstantiated from clinical guidelines/previous studies/available protocol</w:t>
            </w:r>
          </w:p>
          <w:p w14:paraId="7FB332BD"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t>prespecified categories are used to group outcomes</w:t>
            </w:r>
          </w:p>
          <w:p w14:paraId="18AE7AC4" w14:textId="77777777" w:rsidR="009D652F" w:rsidRDefault="009D652F" w:rsidP="00005CF2">
            <w:pPr>
              <w:spacing w:after="0" w:line="240" w:lineRule="auto"/>
              <w:rPr>
                <w:rFonts w:ascii="Calibri" w:eastAsia="Times New Roman" w:hAnsi="Calibri" w:cs="Calibri"/>
                <w:b/>
                <w:color w:val="000000"/>
                <w:lang w:eastAsia="en-GB"/>
              </w:rPr>
            </w:pPr>
          </w:p>
          <w:p w14:paraId="78A87FA6"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73360A53"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composite outcomes</w:t>
            </w:r>
          </w:p>
          <w:p w14:paraId="7B36F847"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uses atypical thresholds, or creates multiple thresholds on continuous outcome</w:t>
            </w:r>
          </w:p>
          <w:p w14:paraId="06DFABD1" w14:textId="77777777" w:rsidR="009D652F" w:rsidRDefault="009D652F" w:rsidP="00005CF2">
            <w:pPr>
              <w:pStyle w:val="ListParagraph"/>
              <w:numPr>
                <w:ilvl w:val="0"/>
                <w:numId w:val="16"/>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consensus based outcomes e.g., surgical discretion</w:t>
            </w:r>
          </w:p>
          <w:p w14:paraId="4DCF1351" w14:textId="77777777" w:rsidR="009D652F" w:rsidRPr="00F678B6"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6F442A40" w14:textId="77777777" w:rsidTr="00005CF2">
        <w:trPr>
          <w:trHeight w:val="559"/>
        </w:trPr>
        <w:tc>
          <w:tcPr>
            <w:tcW w:w="2689" w:type="dxa"/>
            <w:shd w:val="clear" w:color="auto" w:fill="auto"/>
            <w:noWrap/>
            <w:vAlign w:val="center"/>
          </w:tcPr>
          <w:p w14:paraId="507ADDAC"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3.3 </w:t>
            </w:r>
            <w:r w:rsidRPr="00366A09">
              <w:rPr>
                <w:rFonts w:ascii="Calibri" w:eastAsia="Times New Roman" w:hAnsi="Calibri" w:cs="Calibri"/>
                <w:b/>
                <w:color w:val="000000"/>
                <w:lang w:eastAsia="en-GB"/>
              </w:rPr>
              <w:t>Were predictors excluded from the outcome definition?</w:t>
            </w:r>
          </w:p>
          <w:p w14:paraId="1496FB62" w14:textId="77777777" w:rsidR="009D652F" w:rsidRDefault="009D652F" w:rsidP="00005CF2">
            <w:pPr>
              <w:spacing w:after="0" w:line="240" w:lineRule="auto"/>
              <w:rPr>
                <w:rFonts w:ascii="Calibri" w:eastAsia="Times New Roman" w:hAnsi="Calibri" w:cs="Calibri"/>
                <w:color w:val="000000"/>
                <w:lang w:eastAsia="en-GB"/>
              </w:rPr>
            </w:pPr>
          </w:p>
          <w:p w14:paraId="7F36A7A7" w14:textId="77777777" w:rsidR="009D652F" w:rsidRPr="008260F2" w:rsidRDefault="009D652F" w:rsidP="00005CF2">
            <w:pPr>
              <w:spacing w:after="0" w:line="240" w:lineRule="auto"/>
              <w:rPr>
                <w:rFonts w:ascii="Calibri" w:eastAsia="Times New Roman" w:hAnsi="Calibri" w:cs="Calibri"/>
                <w:color w:val="000000"/>
                <w:lang w:eastAsia="en-GB"/>
              </w:rPr>
            </w:pPr>
            <w:r w:rsidRPr="00DC3759">
              <w:rPr>
                <w:rFonts w:ascii="Calibri" w:eastAsia="Times New Roman" w:hAnsi="Calibri" w:cs="Calibri"/>
                <w:b/>
                <w:color w:val="000000"/>
                <w:lang w:eastAsia="en-GB"/>
              </w:rPr>
              <w:t>NB</w:t>
            </w:r>
            <w:r>
              <w:rPr>
                <w:rFonts w:ascii="Calibri" w:eastAsia="Times New Roman" w:hAnsi="Calibri" w:cs="Calibri"/>
                <w:color w:val="000000"/>
                <w:lang w:eastAsia="en-GB"/>
              </w:rPr>
              <w:t xml:space="preserve"> c</w:t>
            </w:r>
            <w:r>
              <w:rPr>
                <w:rFonts w:ascii="Calibri" w:hAnsi="Calibri" w:cs="Calibri"/>
                <w:color w:val="000000"/>
              </w:rPr>
              <w:t>heck if pre -op Hb is a predictor in the model and check the outcome definition.</w:t>
            </w:r>
          </w:p>
        </w:tc>
        <w:tc>
          <w:tcPr>
            <w:tcW w:w="6234" w:type="dxa"/>
          </w:tcPr>
          <w:p w14:paraId="6ECAB5B0"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71A9233C" w14:textId="77777777" w:rsidR="009D652F" w:rsidRDefault="009D652F" w:rsidP="00005CF2">
            <w:pPr>
              <w:pStyle w:val="ListParagraph"/>
              <w:numPr>
                <w:ilvl w:val="0"/>
                <w:numId w:val="17"/>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outcome determined without any predictor information</w:t>
            </w:r>
          </w:p>
          <w:p w14:paraId="00B9B035" w14:textId="77777777" w:rsidR="009D652F" w:rsidRPr="00DC3759" w:rsidRDefault="009D652F" w:rsidP="00005CF2">
            <w:pPr>
              <w:pStyle w:val="ListParagraph"/>
              <w:numPr>
                <w:ilvl w:val="0"/>
                <w:numId w:val="17"/>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transfusion decision informed by post-op Hb test result, </w:t>
            </w:r>
            <w:r w:rsidRPr="00DC3759">
              <w:rPr>
                <w:rFonts w:ascii="Calibri" w:eastAsia="Times New Roman" w:hAnsi="Calibri" w:cs="Calibri"/>
                <w:b/>
                <w:color w:val="000000"/>
                <w:lang w:eastAsia="en-GB"/>
              </w:rPr>
              <w:t>NOT</w:t>
            </w:r>
            <w:r>
              <w:rPr>
                <w:rFonts w:ascii="Calibri" w:eastAsia="Times New Roman" w:hAnsi="Calibri" w:cs="Calibri"/>
                <w:b/>
                <w:color w:val="000000"/>
                <w:lang w:eastAsia="en-GB"/>
              </w:rPr>
              <w:t xml:space="preserve"> </w:t>
            </w:r>
            <w:r w:rsidRPr="00DC3759">
              <w:rPr>
                <w:rFonts w:ascii="Calibri" w:eastAsia="Times New Roman" w:hAnsi="Calibri" w:cs="Calibri"/>
                <w:color w:val="000000"/>
                <w:lang w:eastAsia="en-GB"/>
              </w:rPr>
              <w:t>pre-op Hb</w:t>
            </w:r>
            <w:r>
              <w:rPr>
                <w:rFonts w:ascii="Calibri" w:eastAsia="Times New Roman" w:hAnsi="Calibri" w:cs="Calibri"/>
                <w:b/>
                <w:color w:val="000000"/>
                <w:lang w:eastAsia="en-GB"/>
              </w:rPr>
              <w:t>.</w:t>
            </w:r>
          </w:p>
          <w:p w14:paraId="6EA99B05" w14:textId="77777777" w:rsidR="009D652F" w:rsidRDefault="009D652F" w:rsidP="00005CF2">
            <w:pPr>
              <w:spacing w:after="0" w:line="240" w:lineRule="auto"/>
              <w:rPr>
                <w:rFonts w:ascii="Calibri" w:eastAsia="Times New Roman" w:hAnsi="Calibri" w:cs="Calibri"/>
                <w:color w:val="000000"/>
                <w:lang w:eastAsia="en-GB"/>
              </w:rPr>
            </w:pPr>
          </w:p>
          <w:p w14:paraId="7BAD10BD" w14:textId="77777777" w:rsidR="009D652F" w:rsidRPr="00DC3759" w:rsidRDefault="009D652F" w:rsidP="00005CF2">
            <w:pPr>
              <w:spacing w:after="0" w:line="240" w:lineRule="auto"/>
              <w:rPr>
                <w:rFonts w:ascii="Calibri" w:eastAsia="Times New Roman" w:hAnsi="Calibri" w:cs="Calibri"/>
                <w:b/>
                <w:color w:val="000000"/>
                <w:lang w:eastAsia="en-GB"/>
              </w:rPr>
            </w:pPr>
            <w:r w:rsidRPr="00DC3759">
              <w:rPr>
                <w:rFonts w:ascii="Calibri" w:eastAsia="Times New Roman" w:hAnsi="Calibri" w:cs="Calibri"/>
                <w:b/>
                <w:color w:val="000000"/>
                <w:lang w:eastAsia="en-GB"/>
              </w:rPr>
              <w:t>Increases ROB</w:t>
            </w:r>
            <w:r>
              <w:rPr>
                <w:rFonts w:ascii="Calibri" w:eastAsia="Times New Roman" w:hAnsi="Calibri" w:cs="Calibri"/>
                <w:b/>
                <w:color w:val="000000"/>
                <w:lang w:eastAsia="en-GB"/>
              </w:rPr>
              <w:t xml:space="preserve"> (Y/PY)</w:t>
            </w:r>
          </w:p>
          <w:p w14:paraId="39682D0E" w14:textId="77777777" w:rsidR="009D652F" w:rsidRDefault="009D652F" w:rsidP="00005CF2">
            <w:pPr>
              <w:pStyle w:val="ListParagraph"/>
              <w:numPr>
                <w:ilvl w:val="0"/>
                <w:numId w:val="17"/>
              </w:numPr>
              <w:spacing w:after="0" w:line="240" w:lineRule="auto"/>
              <w:rPr>
                <w:rFonts w:ascii="Calibri" w:eastAsia="Times New Roman" w:hAnsi="Calibri" w:cs="Calibri"/>
                <w:color w:val="000000"/>
                <w:lang w:eastAsia="en-GB"/>
              </w:rPr>
            </w:pPr>
            <w:r>
              <w:t>≥1 of the predictors forms part of the outcome definition</w:t>
            </w:r>
          </w:p>
          <w:p w14:paraId="6C953871" w14:textId="77777777" w:rsidR="009D652F" w:rsidRDefault="009D652F" w:rsidP="00005CF2">
            <w:pPr>
              <w:pStyle w:val="ListParagraph"/>
              <w:numPr>
                <w:ilvl w:val="0"/>
                <w:numId w:val="17"/>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outcome determined using consensus panel e.g., </w:t>
            </w:r>
            <w:r>
              <w:rPr>
                <w:rFonts w:ascii="Calibri" w:hAnsi="Calibri" w:cs="Calibri"/>
                <w:color w:val="000000"/>
              </w:rPr>
              <w:t>consensus driven transfusion decision was made where the surgeon uses all available information to decide and preop Hb is in the model</w:t>
            </w:r>
          </w:p>
          <w:p w14:paraId="33A33665" w14:textId="77777777" w:rsidR="009D652F" w:rsidRDefault="009D652F" w:rsidP="00005CF2">
            <w:pPr>
              <w:pStyle w:val="ListParagraph"/>
              <w:numPr>
                <w:ilvl w:val="0"/>
                <w:numId w:val="17"/>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outcome determination varies for each patient e.g., surgeon discretion</w:t>
            </w:r>
          </w:p>
          <w:p w14:paraId="176A9789" w14:textId="77777777" w:rsidR="009D652F" w:rsidRPr="00366A09"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031E8FE0" w14:textId="77777777" w:rsidTr="00005CF2">
        <w:trPr>
          <w:trHeight w:val="559"/>
        </w:trPr>
        <w:tc>
          <w:tcPr>
            <w:tcW w:w="2689" w:type="dxa"/>
            <w:shd w:val="clear" w:color="auto" w:fill="auto"/>
            <w:noWrap/>
            <w:vAlign w:val="center"/>
          </w:tcPr>
          <w:p w14:paraId="2515BE08"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3.4 </w:t>
            </w:r>
            <w:r w:rsidRPr="00366A09">
              <w:rPr>
                <w:rFonts w:ascii="Calibri" w:eastAsia="Times New Roman" w:hAnsi="Calibri" w:cs="Calibri"/>
                <w:b/>
                <w:color w:val="000000"/>
                <w:lang w:eastAsia="en-GB"/>
              </w:rPr>
              <w:t>Was the outcome defined and determined in a similar way for all participants?</w:t>
            </w:r>
          </w:p>
        </w:tc>
        <w:tc>
          <w:tcPr>
            <w:tcW w:w="6234" w:type="dxa"/>
          </w:tcPr>
          <w:p w14:paraId="4E27F838"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6E6A68D6" w14:textId="77777777" w:rsidR="009D652F" w:rsidRPr="008E5D3D" w:rsidRDefault="009D652F" w:rsidP="00005CF2">
            <w:pPr>
              <w:pStyle w:val="ListParagraph"/>
              <w:numPr>
                <w:ilvl w:val="0"/>
                <w:numId w:val="30"/>
              </w:numPr>
              <w:spacing w:after="0" w:line="240" w:lineRule="auto"/>
              <w:rPr>
                <w:rFonts w:ascii="Calibri" w:eastAsia="Times New Roman" w:hAnsi="Calibri" w:cs="Calibri"/>
                <w:b/>
                <w:color w:val="000000"/>
                <w:lang w:eastAsia="en-GB"/>
              </w:rPr>
            </w:pPr>
            <w:r>
              <w:t>outcomes were defined and determined in a similar way for all participants</w:t>
            </w:r>
          </w:p>
          <w:p w14:paraId="0344DA8C" w14:textId="77777777" w:rsidR="009D652F" w:rsidRDefault="009D652F" w:rsidP="00005CF2">
            <w:pPr>
              <w:spacing w:after="0" w:line="240" w:lineRule="auto"/>
              <w:rPr>
                <w:rFonts w:ascii="Calibri" w:eastAsia="Times New Roman" w:hAnsi="Calibri" w:cs="Calibri"/>
                <w:b/>
                <w:color w:val="000000"/>
                <w:lang w:eastAsia="en-GB"/>
              </w:rPr>
            </w:pPr>
          </w:p>
          <w:p w14:paraId="0380E9A1"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038F84E2" w14:textId="77777777" w:rsidR="009D652F" w:rsidRDefault="009D652F" w:rsidP="00005CF2">
            <w:pPr>
              <w:pStyle w:val="ListParagraph"/>
              <w:numPr>
                <w:ilvl w:val="0"/>
                <w:numId w:val="18"/>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Data collected for non-research purposes e.g., routinely collected data from registries</w:t>
            </w:r>
          </w:p>
          <w:p w14:paraId="33E98FD6" w14:textId="77777777" w:rsidR="009D652F" w:rsidRDefault="009D652F" w:rsidP="00005CF2">
            <w:pPr>
              <w:pStyle w:val="ListParagraph"/>
              <w:numPr>
                <w:ilvl w:val="0"/>
                <w:numId w:val="18"/>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More subjective outcomes</w:t>
            </w:r>
          </w:p>
          <w:p w14:paraId="223FC2BD" w14:textId="77777777" w:rsidR="009D652F" w:rsidRPr="00366A09"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284F77EC" w14:textId="77777777" w:rsidTr="00005CF2">
        <w:trPr>
          <w:trHeight w:val="559"/>
        </w:trPr>
        <w:tc>
          <w:tcPr>
            <w:tcW w:w="2689" w:type="dxa"/>
            <w:shd w:val="clear" w:color="auto" w:fill="auto"/>
            <w:noWrap/>
            <w:vAlign w:val="center"/>
          </w:tcPr>
          <w:p w14:paraId="4682353A" w14:textId="77777777" w:rsidR="009D652F"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3.5 </w:t>
            </w:r>
            <w:r w:rsidRPr="00366A09">
              <w:rPr>
                <w:rFonts w:ascii="Calibri" w:eastAsia="Times New Roman" w:hAnsi="Calibri" w:cs="Calibri"/>
                <w:b/>
                <w:color w:val="000000"/>
                <w:lang w:eastAsia="en-GB"/>
              </w:rPr>
              <w:t>Was the outcome determined without knowledge of predictor information?</w:t>
            </w:r>
          </w:p>
          <w:p w14:paraId="0C40DC66" w14:textId="77777777" w:rsidR="009D652F" w:rsidRDefault="009D652F" w:rsidP="00005CF2">
            <w:pPr>
              <w:spacing w:after="0" w:line="240" w:lineRule="auto"/>
              <w:rPr>
                <w:rFonts w:ascii="Calibri" w:eastAsia="Times New Roman" w:hAnsi="Calibri" w:cs="Calibri"/>
                <w:b/>
                <w:color w:val="000000"/>
                <w:lang w:eastAsia="en-GB"/>
              </w:rPr>
            </w:pPr>
          </w:p>
          <w:p w14:paraId="2F53F5DE" w14:textId="77777777" w:rsidR="009D652F" w:rsidRDefault="009D652F" w:rsidP="00005CF2">
            <w:pPr>
              <w:spacing w:after="0" w:line="240" w:lineRule="auto"/>
              <w:rPr>
                <w:rFonts w:ascii="Calibri" w:eastAsia="Times New Roman" w:hAnsi="Calibri" w:cs="Calibri"/>
                <w:color w:val="000000"/>
                <w:lang w:eastAsia="en-GB"/>
              </w:rPr>
            </w:pPr>
            <w:r>
              <w:rPr>
                <w:rFonts w:ascii="Calibri" w:eastAsia="Times New Roman" w:hAnsi="Calibri" w:cs="Calibri"/>
                <w:b/>
                <w:color w:val="000000"/>
                <w:lang w:eastAsia="en-GB"/>
              </w:rPr>
              <w:t xml:space="preserve">NB </w:t>
            </w:r>
            <w:r w:rsidRPr="00366A09">
              <w:rPr>
                <w:rFonts w:ascii="Calibri" w:eastAsia="Times New Roman" w:hAnsi="Calibri" w:cs="Calibri"/>
                <w:color w:val="000000"/>
                <w:lang w:eastAsia="en-GB"/>
              </w:rPr>
              <w:t>think of this like an RCT does not give knowledge of the treatment</w:t>
            </w:r>
          </w:p>
          <w:p w14:paraId="430C240F" w14:textId="77777777" w:rsidR="009D652F" w:rsidRPr="00BF6B0A" w:rsidRDefault="009D652F" w:rsidP="00005CF2">
            <w:pPr>
              <w:spacing w:after="0" w:line="240" w:lineRule="auto"/>
              <w:rPr>
                <w:rFonts w:ascii="Calibri" w:eastAsia="Times New Roman" w:hAnsi="Calibri" w:cs="Calibri"/>
                <w:color w:val="000000"/>
                <w:lang w:eastAsia="en-GB"/>
              </w:rPr>
            </w:pPr>
          </w:p>
        </w:tc>
        <w:tc>
          <w:tcPr>
            <w:tcW w:w="6234" w:type="dxa"/>
          </w:tcPr>
          <w:p w14:paraId="43D02831"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23A2CA5A" w14:textId="77777777" w:rsidR="009D652F" w:rsidRPr="00196257" w:rsidRDefault="009D652F" w:rsidP="00005CF2">
            <w:pPr>
              <w:pStyle w:val="ListParagraph"/>
              <w:numPr>
                <w:ilvl w:val="0"/>
                <w:numId w:val="19"/>
              </w:numPr>
              <w:spacing w:after="0" w:line="240" w:lineRule="auto"/>
              <w:rPr>
                <w:rFonts w:ascii="Calibri" w:eastAsia="Times New Roman" w:hAnsi="Calibri" w:cs="Calibri"/>
                <w:color w:val="000000"/>
                <w:lang w:eastAsia="en-GB"/>
              </w:rPr>
            </w:pPr>
            <w:r>
              <w:t>predictor information was not known when determining the outcome status</w:t>
            </w:r>
          </w:p>
          <w:p w14:paraId="37399D69" w14:textId="77777777" w:rsidR="009D652F" w:rsidRPr="00366A09" w:rsidRDefault="009D652F" w:rsidP="00005CF2">
            <w:pPr>
              <w:pStyle w:val="ListParagraph"/>
              <w:numPr>
                <w:ilvl w:val="0"/>
                <w:numId w:val="19"/>
              </w:numPr>
              <w:spacing w:after="0" w:line="240" w:lineRule="auto"/>
              <w:rPr>
                <w:rFonts w:ascii="Calibri" w:eastAsia="Times New Roman" w:hAnsi="Calibri" w:cs="Calibri"/>
                <w:color w:val="000000"/>
                <w:lang w:eastAsia="en-GB"/>
              </w:rPr>
            </w:pPr>
            <w:r>
              <w:t>outcome status determination is clearly reported as determined without knowledge of predictor information</w:t>
            </w:r>
          </w:p>
          <w:p w14:paraId="3858A042" w14:textId="77777777" w:rsidR="009D652F" w:rsidRDefault="009D652F" w:rsidP="00005CF2">
            <w:pPr>
              <w:pStyle w:val="ListParagraph"/>
              <w:numPr>
                <w:ilvl w:val="0"/>
                <w:numId w:val="1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outcome is a specific cause not requiring interpretation e.g., death</w:t>
            </w:r>
          </w:p>
          <w:p w14:paraId="3B08D905" w14:textId="77777777" w:rsidR="009D652F" w:rsidRDefault="009D652F" w:rsidP="00005CF2">
            <w:pPr>
              <w:spacing w:after="0" w:line="240" w:lineRule="auto"/>
              <w:rPr>
                <w:rFonts w:ascii="Calibri" w:eastAsia="Times New Roman" w:hAnsi="Calibri" w:cs="Calibri"/>
                <w:color w:val="000000"/>
                <w:lang w:eastAsia="en-GB"/>
              </w:rPr>
            </w:pPr>
          </w:p>
          <w:p w14:paraId="5D7A74DF"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3DE289F8" w14:textId="77777777" w:rsidR="009D652F" w:rsidRPr="00196257" w:rsidRDefault="009D652F" w:rsidP="00005CF2">
            <w:pPr>
              <w:pStyle w:val="ListParagraph"/>
              <w:numPr>
                <w:ilvl w:val="0"/>
                <w:numId w:val="19"/>
              </w:numPr>
              <w:spacing w:after="0" w:line="240" w:lineRule="auto"/>
              <w:rPr>
                <w:rFonts w:ascii="Calibri" w:eastAsia="Times New Roman" w:hAnsi="Calibri" w:cs="Calibri"/>
                <w:color w:val="000000"/>
                <w:lang w:eastAsia="en-GB"/>
              </w:rPr>
            </w:pPr>
            <w:r>
              <w:t>predictor information was used when determining the outcome status</w:t>
            </w:r>
          </w:p>
          <w:p w14:paraId="36D3CBB5" w14:textId="77777777" w:rsidR="009D652F" w:rsidRDefault="009D652F" w:rsidP="00005CF2">
            <w:pPr>
              <w:pStyle w:val="ListParagraph"/>
              <w:numPr>
                <w:ilvl w:val="0"/>
                <w:numId w:val="19"/>
              </w:numPr>
              <w:spacing w:after="0" w:line="240" w:lineRule="auto"/>
              <w:rPr>
                <w:rFonts w:ascii="Calibri" w:eastAsia="Times New Roman" w:hAnsi="Calibri" w:cs="Calibri"/>
                <w:color w:val="000000"/>
                <w:lang w:eastAsia="en-GB"/>
              </w:rPr>
            </w:pPr>
            <w:r>
              <w:t>outcomes were clearly defined and determined in a different way for some participants</w:t>
            </w:r>
          </w:p>
          <w:p w14:paraId="763AA5B5" w14:textId="77777777" w:rsidR="009D652F" w:rsidRDefault="009D652F" w:rsidP="00005CF2">
            <w:pPr>
              <w:pStyle w:val="ListParagraph"/>
              <w:numPr>
                <w:ilvl w:val="0"/>
                <w:numId w:val="19"/>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outcomes requiring interpretation </w:t>
            </w:r>
          </w:p>
          <w:p w14:paraId="42F4117B" w14:textId="77777777" w:rsidR="009D652F" w:rsidRPr="00366A09" w:rsidRDefault="009D652F" w:rsidP="00005CF2">
            <w:pPr>
              <w:pStyle w:val="ListParagraph"/>
              <w:numPr>
                <w:ilvl w:val="0"/>
                <w:numId w:val="19"/>
              </w:numPr>
              <w:spacing w:after="0" w:line="240" w:lineRule="auto"/>
              <w:rPr>
                <w:rFonts w:ascii="Calibri" w:eastAsia="Times New Roman" w:hAnsi="Calibri" w:cs="Calibri"/>
                <w:color w:val="000000"/>
                <w:lang w:eastAsia="en-GB"/>
              </w:rPr>
            </w:pPr>
            <w:r w:rsidRPr="0023343D">
              <w:rPr>
                <w:rFonts w:ascii="Calibri" w:eastAsia="Times New Roman" w:hAnsi="Calibri" w:cs="Calibri"/>
                <w:color w:val="000000"/>
                <w:lang w:eastAsia="en-GB"/>
              </w:rPr>
              <w:t>predictor information would be available at time of outcome determination (consider the potential consequences)</w:t>
            </w:r>
          </w:p>
        </w:tc>
      </w:tr>
      <w:tr w:rsidR="009D652F" w:rsidRPr="0093141C" w14:paraId="74625719" w14:textId="77777777" w:rsidTr="00005CF2">
        <w:trPr>
          <w:trHeight w:val="559"/>
        </w:trPr>
        <w:tc>
          <w:tcPr>
            <w:tcW w:w="2689" w:type="dxa"/>
            <w:shd w:val="clear" w:color="auto" w:fill="auto"/>
            <w:noWrap/>
            <w:vAlign w:val="center"/>
          </w:tcPr>
          <w:p w14:paraId="0BB86337" w14:textId="77777777" w:rsidR="009D652F" w:rsidRPr="00366A0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3.6 </w:t>
            </w:r>
            <w:r w:rsidRPr="00366A09">
              <w:rPr>
                <w:rFonts w:ascii="Calibri" w:eastAsia="Times New Roman" w:hAnsi="Calibri" w:cs="Calibri"/>
                <w:b/>
                <w:color w:val="000000"/>
                <w:lang w:eastAsia="en-GB"/>
              </w:rPr>
              <w:t>Was the time interval between predictor assessment and outcome determination appropriate?</w:t>
            </w:r>
          </w:p>
        </w:tc>
        <w:tc>
          <w:tcPr>
            <w:tcW w:w="6234" w:type="dxa"/>
          </w:tcPr>
          <w:p w14:paraId="3BC2FD96"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42873DB5" w14:textId="77777777" w:rsidR="009D652F" w:rsidRPr="00196257" w:rsidRDefault="009D652F" w:rsidP="00005CF2">
            <w:pPr>
              <w:pStyle w:val="ListParagraph"/>
              <w:numPr>
                <w:ilvl w:val="0"/>
                <w:numId w:val="31"/>
              </w:numPr>
              <w:spacing w:after="0" w:line="240" w:lineRule="auto"/>
              <w:rPr>
                <w:rFonts w:ascii="Calibri" w:eastAsia="Times New Roman" w:hAnsi="Calibri" w:cs="Calibri"/>
                <w:b/>
                <w:color w:val="000000"/>
                <w:lang w:eastAsia="en-GB"/>
              </w:rPr>
            </w:pPr>
            <w:r>
              <w:t>time interval between predictor assessment and outcome determination was appropriate to enable the correct type and representative number of relevant outcomes to be recorded</w:t>
            </w:r>
          </w:p>
          <w:p w14:paraId="595716E7" w14:textId="77777777" w:rsidR="009D652F" w:rsidRDefault="009D652F" w:rsidP="00005CF2">
            <w:pPr>
              <w:spacing w:after="0" w:line="240" w:lineRule="auto"/>
              <w:rPr>
                <w:rFonts w:ascii="Calibri" w:eastAsia="Times New Roman" w:hAnsi="Calibri" w:cs="Calibri"/>
                <w:b/>
                <w:color w:val="000000"/>
                <w:lang w:eastAsia="en-GB"/>
              </w:rPr>
            </w:pPr>
          </w:p>
          <w:p w14:paraId="7D168710"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64486746" w14:textId="77777777" w:rsidR="009D652F" w:rsidRDefault="009D652F" w:rsidP="00005CF2">
            <w:pPr>
              <w:pStyle w:val="ListParagraph"/>
              <w:numPr>
                <w:ilvl w:val="0"/>
                <w:numId w:val="20"/>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time between predictor assessment and outcome determination is too long/too short</w:t>
            </w:r>
            <w:r>
              <w:t xml:space="preserve"> to enable the correct type and representative number of relevant outcomes </w:t>
            </w:r>
            <w:r>
              <w:rPr>
                <w:rFonts w:ascii="Calibri" w:eastAsia="Times New Roman" w:hAnsi="Calibri" w:cs="Calibri"/>
                <w:color w:val="000000"/>
                <w:lang w:eastAsia="en-GB"/>
              </w:rPr>
              <w:t>– need clinical judgement</w:t>
            </w:r>
          </w:p>
          <w:p w14:paraId="48AEC903" w14:textId="77777777" w:rsidR="009D652F" w:rsidRPr="004C7E3A" w:rsidRDefault="009D652F" w:rsidP="00005CF2">
            <w:pPr>
              <w:pStyle w:val="ListParagraph"/>
              <w:numPr>
                <w:ilvl w:val="0"/>
                <w:numId w:val="20"/>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if the outcome is underrepresented = too short</w:t>
            </w:r>
          </w:p>
        </w:tc>
      </w:tr>
      <w:tr w:rsidR="009D652F" w:rsidRPr="0093141C" w14:paraId="4D102145" w14:textId="77777777" w:rsidTr="00005CF2">
        <w:trPr>
          <w:trHeight w:val="559"/>
        </w:trPr>
        <w:tc>
          <w:tcPr>
            <w:tcW w:w="8923" w:type="dxa"/>
            <w:gridSpan w:val="2"/>
            <w:shd w:val="clear" w:color="auto" w:fill="B4C6E7" w:themeFill="accent1" w:themeFillTint="66"/>
            <w:noWrap/>
            <w:vAlign w:val="center"/>
          </w:tcPr>
          <w:p w14:paraId="7BB44035" w14:textId="77777777" w:rsidR="009D652F" w:rsidRPr="008260F2" w:rsidRDefault="009D652F" w:rsidP="00005CF2">
            <w:pPr>
              <w:spacing w:after="0" w:line="240" w:lineRule="auto"/>
              <w:rPr>
                <w:rFonts w:ascii="Calibri" w:eastAsia="Times New Roman" w:hAnsi="Calibri" w:cs="Calibri"/>
                <w:b/>
                <w:color w:val="000000"/>
                <w:lang w:eastAsia="en-GB"/>
              </w:rPr>
            </w:pPr>
            <w:r w:rsidRPr="008260F2">
              <w:rPr>
                <w:rFonts w:ascii="Calibri" w:eastAsia="Times New Roman" w:hAnsi="Calibri" w:cs="Calibri"/>
                <w:b/>
                <w:color w:val="000000"/>
                <w:lang w:eastAsia="en-GB"/>
              </w:rPr>
              <w:t>Analysis</w:t>
            </w:r>
          </w:p>
        </w:tc>
      </w:tr>
      <w:tr w:rsidR="009D652F" w:rsidRPr="0093141C" w14:paraId="2199E2BD" w14:textId="77777777" w:rsidTr="00005CF2">
        <w:trPr>
          <w:trHeight w:val="559"/>
        </w:trPr>
        <w:tc>
          <w:tcPr>
            <w:tcW w:w="2689" w:type="dxa"/>
            <w:shd w:val="clear" w:color="auto" w:fill="auto"/>
            <w:noWrap/>
            <w:vAlign w:val="center"/>
          </w:tcPr>
          <w:p w14:paraId="7ED9432E" w14:textId="77777777" w:rsidR="009D652F" w:rsidRPr="009F24A5"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4.1 </w:t>
            </w:r>
            <w:r w:rsidRPr="009F24A5">
              <w:rPr>
                <w:rFonts w:ascii="Calibri" w:eastAsia="Times New Roman" w:hAnsi="Calibri" w:cs="Calibri"/>
                <w:b/>
                <w:color w:val="000000"/>
                <w:lang w:eastAsia="en-GB"/>
              </w:rPr>
              <w:t>Were there a reasonable number of participants with the outcome?</w:t>
            </w:r>
          </w:p>
        </w:tc>
        <w:tc>
          <w:tcPr>
            <w:tcW w:w="6234" w:type="dxa"/>
          </w:tcPr>
          <w:p w14:paraId="6FF34A39"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Decreases ROB (Y/PY)</w:t>
            </w:r>
          </w:p>
          <w:p w14:paraId="63735920" w14:textId="77777777" w:rsidR="009D652F" w:rsidRPr="009F24A5" w:rsidRDefault="009D652F" w:rsidP="00005CF2">
            <w:pPr>
              <w:pStyle w:val="ListParagraph"/>
              <w:numPr>
                <w:ilvl w:val="0"/>
                <w:numId w:val="21"/>
              </w:numPr>
              <w:spacing w:after="0" w:line="240" w:lineRule="auto"/>
              <w:rPr>
                <w:rFonts w:ascii="Calibri" w:eastAsia="Times New Roman" w:hAnsi="Calibri" w:cs="Calibri"/>
                <w:color w:val="000000"/>
                <w:lang w:eastAsia="en-GB"/>
              </w:rPr>
            </w:pPr>
            <w:r w:rsidRPr="004E511F">
              <w:rPr>
                <w:i/>
              </w:rPr>
              <w:t>For model development studies,</w:t>
            </w:r>
            <w:r>
              <w:t xml:space="preserve"> if the number of participants with the outcome relative to the number of candidate predictor parameters is ≥20 </w:t>
            </w:r>
            <w:r w:rsidRPr="009F24A5">
              <w:rPr>
                <w:b/>
              </w:rPr>
              <w:t>(EPV ≥20)</w:t>
            </w:r>
            <w:r>
              <w:rPr>
                <w:b/>
              </w:rPr>
              <w:t>*</w:t>
            </w:r>
          </w:p>
          <w:p w14:paraId="5B2F1A88" w14:textId="77777777" w:rsidR="009D652F" w:rsidRPr="009F24A5" w:rsidRDefault="009D652F" w:rsidP="00005CF2">
            <w:pPr>
              <w:pStyle w:val="ListParagraph"/>
              <w:numPr>
                <w:ilvl w:val="0"/>
                <w:numId w:val="21"/>
              </w:numPr>
              <w:spacing w:after="0" w:line="240" w:lineRule="auto"/>
              <w:rPr>
                <w:rFonts w:ascii="Calibri" w:eastAsia="Times New Roman" w:hAnsi="Calibri" w:cs="Calibri"/>
                <w:color w:val="000000"/>
                <w:lang w:eastAsia="en-GB"/>
              </w:rPr>
            </w:pPr>
            <w:r w:rsidRPr="004E511F">
              <w:rPr>
                <w:i/>
              </w:rPr>
              <w:t>For model validation studies,</w:t>
            </w:r>
            <w:r>
              <w:t xml:space="preserve"> if the number of participants with the outcome is </w:t>
            </w:r>
            <w:r w:rsidRPr="009F24A5">
              <w:rPr>
                <w:b/>
              </w:rPr>
              <w:t>≥100</w:t>
            </w:r>
          </w:p>
          <w:p w14:paraId="3919C18D" w14:textId="77777777" w:rsidR="009D652F" w:rsidRDefault="009D652F" w:rsidP="00005CF2">
            <w:pPr>
              <w:spacing w:after="0" w:line="240" w:lineRule="auto"/>
              <w:rPr>
                <w:rFonts w:ascii="Calibri" w:eastAsia="Times New Roman" w:hAnsi="Calibri" w:cs="Calibri"/>
                <w:color w:val="000000"/>
                <w:lang w:eastAsia="en-GB"/>
              </w:rPr>
            </w:pPr>
          </w:p>
          <w:p w14:paraId="2C231883"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59702EB5" w14:textId="77777777" w:rsidR="009D652F" w:rsidRPr="009F24A5" w:rsidRDefault="009D652F" w:rsidP="00005CF2">
            <w:pPr>
              <w:pStyle w:val="ListParagraph"/>
              <w:numPr>
                <w:ilvl w:val="0"/>
                <w:numId w:val="22"/>
              </w:numPr>
              <w:spacing w:after="0" w:line="240" w:lineRule="auto"/>
              <w:rPr>
                <w:rFonts w:ascii="Calibri" w:eastAsia="Times New Roman" w:hAnsi="Calibri" w:cs="Calibri"/>
                <w:color w:val="000000"/>
                <w:lang w:eastAsia="en-GB"/>
              </w:rPr>
            </w:pPr>
            <w:r w:rsidRPr="00607E97">
              <w:rPr>
                <w:i/>
              </w:rPr>
              <w:t>For model development studies,</w:t>
            </w:r>
            <w:r>
              <w:t xml:space="preserve"> if the number of participants with the outcome relative to the number of candidate predictor parameters is </w:t>
            </w:r>
            <w:r w:rsidRPr="009F24A5">
              <w:rPr>
                <w:b/>
              </w:rPr>
              <w:t>&lt;10)*</w:t>
            </w:r>
          </w:p>
          <w:p w14:paraId="3FBCBCC8" w14:textId="77777777" w:rsidR="009D652F" w:rsidRPr="009F24A5" w:rsidRDefault="009D652F" w:rsidP="00005CF2">
            <w:pPr>
              <w:pStyle w:val="ListParagraph"/>
              <w:numPr>
                <w:ilvl w:val="0"/>
                <w:numId w:val="22"/>
              </w:numPr>
              <w:spacing w:after="0" w:line="240" w:lineRule="auto"/>
              <w:rPr>
                <w:rFonts w:ascii="Calibri" w:eastAsia="Times New Roman" w:hAnsi="Calibri" w:cs="Calibri"/>
                <w:color w:val="000000"/>
                <w:lang w:eastAsia="en-GB"/>
              </w:rPr>
            </w:pPr>
            <w:r w:rsidRPr="00607E97">
              <w:rPr>
                <w:i/>
              </w:rPr>
              <w:t>For model validation studies,</w:t>
            </w:r>
            <w:r>
              <w:t xml:space="preserve"> if the number of participants with the outcome is </w:t>
            </w:r>
            <w:r w:rsidRPr="009F24A5">
              <w:rPr>
                <w:b/>
              </w:rPr>
              <w:t>&lt;100</w:t>
            </w:r>
          </w:p>
          <w:p w14:paraId="46A31521" w14:textId="77777777" w:rsidR="009D652F" w:rsidRDefault="009D652F" w:rsidP="00005CF2">
            <w:pPr>
              <w:spacing w:after="0" w:line="240" w:lineRule="auto"/>
              <w:rPr>
                <w:rFonts w:ascii="Calibri" w:eastAsia="Times New Roman" w:hAnsi="Calibri" w:cs="Calibri"/>
                <w:color w:val="000000"/>
                <w:lang w:eastAsia="en-GB"/>
              </w:rPr>
            </w:pPr>
          </w:p>
          <w:p w14:paraId="796E6FF9" w14:textId="77777777" w:rsidR="009D652F" w:rsidRDefault="009D652F" w:rsidP="00005CF2">
            <w:pPr>
              <w:spacing w:after="0" w:line="240" w:lineRule="auto"/>
            </w:pPr>
            <w:r>
              <w:rPr>
                <w:rFonts w:ascii="Calibri" w:eastAsia="Times New Roman" w:hAnsi="Calibri" w:cs="Calibri"/>
                <w:color w:val="000000"/>
                <w:lang w:eastAsia="en-GB"/>
              </w:rPr>
              <w:t>*</w:t>
            </w:r>
            <w:r>
              <w:t>For EPVs between 10 and 20, the item should be rated as either probably yes or probably no, depending on the outcome frequency, overall model performance, and distribution of the predictors in the model</w:t>
            </w:r>
          </w:p>
          <w:p w14:paraId="1CCA8D42" w14:textId="77777777" w:rsidR="009D652F" w:rsidRPr="009F24A5" w:rsidRDefault="009D652F" w:rsidP="00005CF2">
            <w:pPr>
              <w:spacing w:after="0" w:line="240" w:lineRule="auto"/>
              <w:rPr>
                <w:rFonts w:ascii="Calibri" w:eastAsia="Times New Roman" w:hAnsi="Calibri" w:cs="Calibri"/>
                <w:color w:val="000000"/>
                <w:lang w:eastAsia="en-GB"/>
              </w:rPr>
            </w:pPr>
          </w:p>
        </w:tc>
      </w:tr>
      <w:tr w:rsidR="009D652F" w:rsidRPr="0093141C" w14:paraId="413A9B99" w14:textId="77777777" w:rsidTr="00005CF2">
        <w:trPr>
          <w:trHeight w:val="559"/>
        </w:trPr>
        <w:tc>
          <w:tcPr>
            <w:tcW w:w="2689" w:type="dxa"/>
            <w:shd w:val="clear" w:color="auto" w:fill="auto"/>
            <w:noWrap/>
            <w:vAlign w:val="center"/>
          </w:tcPr>
          <w:p w14:paraId="279C2442" w14:textId="77777777" w:rsidR="009D652F" w:rsidRPr="009F24A5"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4.2 </w:t>
            </w:r>
            <w:r w:rsidRPr="009F24A5">
              <w:rPr>
                <w:rFonts w:ascii="Calibri" w:eastAsia="Times New Roman" w:hAnsi="Calibri" w:cs="Calibri"/>
                <w:b/>
                <w:color w:val="000000"/>
                <w:lang w:eastAsia="en-GB"/>
              </w:rPr>
              <w:t>Were continuous and categorical handled appropriately?</w:t>
            </w:r>
          </w:p>
        </w:tc>
        <w:tc>
          <w:tcPr>
            <w:tcW w:w="6234" w:type="dxa"/>
          </w:tcPr>
          <w:p w14:paraId="2C27C946"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Decreases ROB (Y/PY)</w:t>
            </w:r>
          </w:p>
          <w:p w14:paraId="0D615F58" w14:textId="77777777" w:rsidR="009D652F" w:rsidRDefault="009D652F" w:rsidP="00005CF2">
            <w:pPr>
              <w:pStyle w:val="ListParagraph"/>
              <w:numPr>
                <w:ilvl w:val="0"/>
                <w:numId w:val="23"/>
              </w:numPr>
              <w:spacing w:after="0" w:line="240" w:lineRule="auto"/>
              <w:rPr>
                <w:rFonts w:ascii="Calibri" w:eastAsia="Times New Roman" w:hAnsi="Calibri" w:cs="Calibri"/>
                <w:color w:val="000000"/>
                <w:lang w:eastAsia="en-GB"/>
              </w:rPr>
            </w:pPr>
            <w:r w:rsidRPr="009F24A5">
              <w:rPr>
                <w:rFonts w:ascii="Calibri" w:eastAsia="Times New Roman" w:hAnsi="Calibri" w:cs="Calibri"/>
                <w:color w:val="000000"/>
                <w:lang w:eastAsia="en-GB"/>
              </w:rPr>
              <w:t>Continuous kept as continuous predictors</w:t>
            </w:r>
          </w:p>
          <w:p w14:paraId="6B936F6F" w14:textId="77777777" w:rsidR="009D652F" w:rsidRDefault="009D652F" w:rsidP="00005CF2">
            <w:pPr>
              <w:pStyle w:val="ListParagraph"/>
              <w:numPr>
                <w:ilvl w:val="0"/>
                <w:numId w:val="2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Continuous predictors examined for nonlinearity – look for ‘fractional polynomials’ or ‘restricted cubic splines’</w:t>
            </w:r>
          </w:p>
          <w:p w14:paraId="1226E592" w14:textId="77777777" w:rsidR="009D652F" w:rsidRPr="00607E97" w:rsidRDefault="009D652F" w:rsidP="00005CF2">
            <w:pPr>
              <w:pStyle w:val="ListParagraph"/>
              <w:spacing w:after="0" w:line="240" w:lineRule="auto"/>
              <w:ind w:left="360"/>
              <w:rPr>
                <w:rFonts w:ascii="Calibri" w:eastAsia="Times New Roman" w:hAnsi="Calibri" w:cs="Calibri"/>
                <w:color w:val="000000"/>
                <w:lang w:eastAsia="en-GB"/>
              </w:rPr>
            </w:pPr>
          </w:p>
          <w:p w14:paraId="7941C968"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6BD8A3E6" w14:textId="77777777" w:rsidR="009D652F" w:rsidRDefault="009D652F" w:rsidP="00005CF2">
            <w:pPr>
              <w:pStyle w:val="ListParagraph"/>
              <w:numPr>
                <w:ilvl w:val="0"/>
                <w:numId w:val="2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Continuous predictors are dichotomised</w:t>
            </w:r>
          </w:p>
          <w:p w14:paraId="711497FA" w14:textId="77777777" w:rsidR="009D652F" w:rsidRDefault="009D652F" w:rsidP="00005CF2">
            <w:pPr>
              <w:pStyle w:val="ListParagraph"/>
              <w:numPr>
                <w:ilvl w:val="0"/>
                <w:numId w:val="2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Continuous predictors are categorised, especially using widely accepted clinical cut-offs</w:t>
            </w:r>
            <w:r>
              <w:rPr>
                <w:rFonts w:ascii="Calibri" w:eastAsia="Times New Roman" w:hAnsi="Calibri" w:cs="Calibri"/>
                <w:b/>
                <w:color w:val="000000"/>
                <w:lang w:eastAsia="en-GB"/>
              </w:rPr>
              <w:t xml:space="preserve">, </w:t>
            </w:r>
            <w:r w:rsidRPr="009F24A5">
              <w:rPr>
                <w:rFonts w:ascii="Calibri" w:eastAsia="Times New Roman" w:hAnsi="Calibri" w:cs="Calibri"/>
                <w:color w:val="000000"/>
                <w:lang w:eastAsia="en-GB"/>
              </w:rPr>
              <w:t>data</w:t>
            </w:r>
            <w:r>
              <w:rPr>
                <w:rFonts w:ascii="Calibri" w:eastAsia="Times New Roman" w:hAnsi="Calibri" w:cs="Calibri"/>
                <w:color w:val="000000"/>
                <w:lang w:eastAsia="en-GB"/>
              </w:rPr>
              <w:t xml:space="preserve"> driven cut-offs increase the ROB</w:t>
            </w:r>
          </w:p>
          <w:p w14:paraId="3E17418A" w14:textId="77777777" w:rsidR="009D652F" w:rsidRDefault="009D652F" w:rsidP="00005CF2">
            <w:pPr>
              <w:pStyle w:val="ListParagraph"/>
              <w:numPr>
                <w:ilvl w:val="0"/>
                <w:numId w:val="23"/>
              </w:numPr>
              <w:spacing w:after="0" w:line="240" w:lineRule="auto"/>
              <w:rPr>
                <w:rFonts w:ascii="Calibri" w:eastAsia="Times New Roman" w:hAnsi="Calibri" w:cs="Calibri"/>
                <w:color w:val="000000"/>
                <w:lang w:eastAsia="en-GB"/>
              </w:rPr>
            </w:pPr>
            <w:r w:rsidRPr="00607E97">
              <w:rPr>
                <w:rFonts w:ascii="Calibri" w:eastAsia="Times New Roman" w:hAnsi="Calibri" w:cs="Calibri"/>
                <w:i/>
                <w:color w:val="000000"/>
                <w:lang w:eastAsia="en-GB"/>
              </w:rPr>
              <w:t>For validation studies,</w:t>
            </w:r>
            <w:r>
              <w:rPr>
                <w:rFonts w:ascii="Calibri" w:eastAsia="Times New Roman" w:hAnsi="Calibri" w:cs="Calibri"/>
                <w:color w:val="000000"/>
                <w:lang w:eastAsia="en-GB"/>
              </w:rPr>
              <w:t xml:space="preserve"> predictors are collected using different format</w:t>
            </w:r>
          </w:p>
          <w:p w14:paraId="1D3A1E61"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59AC4182"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405A0300"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5831EA9E"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0E02A484"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166E0BC3"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16C5E6F9" w14:textId="77777777" w:rsidR="009D652F" w:rsidRPr="009F24A5"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14C28464" w14:textId="77777777" w:rsidTr="00005CF2">
        <w:trPr>
          <w:trHeight w:val="559"/>
        </w:trPr>
        <w:tc>
          <w:tcPr>
            <w:tcW w:w="2689" w:type="dxa"/>
            <w:shd w:val="clear" w:color="auto" w:fill="auto"/>
            <w:noWrap/>
            <w:vAlign w:val="center"/>
          </w:tcPr>
          <w:p w14:paraId="00701ED1" w14:textId="77777777" w:rsidR="009D652F" w:rsidRPr="00827D01"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4.3 </w:t>
            </w:r>
            <w:r w:rsidRPr="00827D01">
              <w:rPr>
                <w:rFonts w:ascii="Calibri" w:eastAsia="Times New Roman" w:hAnsi="Calibri" w:cs="Calibri"/>
                <w:b/>
                <w:color w:val="000000"/>
                <w:lang w:eastAsia="en-GB"/>
              </w:rPr>
              <w:t>Were enrolled participants included in the analysis?</w:t>
            </w:r>
          </w:p>
        </w:tc>
        <w:tc>
          <w:tcPr>
            <w:tcW w:w="6234" w:type="dxa"/>
          </w:tcPr>
          <w:p w14:paraId="685AF06B"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Decreases ROB (Y/PY)</w:t>
            </w:r>
          </w:p>
          <w:p w14:paraId="03C6376E" w14:textId="77777777" w:rsidR="009D652F" w:rsidRPr="00E55673" w:rsidRDefault="009D652F" w:rsidP="00005CF2">
            <w:pPr>
              <w:pStyle w:val="ListParagraph"/>
              <w:numPr>
                <w:ilvl w:val="0"/>
                <w:numId w:val="24"/>
              </w:numPr>
              <w:spacing w:after="0" w:line="240" w:lineRule="auto"/>
              <w:rPr>
                <w:rFonts w:ascii="Calibri" w:eastAsia="Times New Roman" w:hAnsi="Calibri" w:cs="Calibri"/>
                <w:color w:val="000000"/>
                <w:lang w:eastAsia="en-GB"/>
              </w:rPr>
            </w:pPr>
            <w:r>
              <w:t>all participants enrolled in the study are included in the data analysis, or a low number are excluded</w:t>
            </w:r>
          </w:p>
          <w:p w14:paraId="66492DE2" w14:textId="77777777" w:rsidR="009D652F" w:rsidRDefault="009D652F" w:rsidP="00005CF2">
            <w:pPr>
              <w:spacing w:after="0" w:line="240" w:lineRule="auto"/>
              <w:rPr>
                <w:rFonts w:ascii="Calibri" w:eastAsia="Times New Roman" w:hAnsi="Calibri" w:cs="Calibri"/>
                <w:color w:val="000000"/>
                <w:lang w:eastAsia="en-GB"/>
              </w:rPr>
            </w:pPr>
          </w:p>
          <w:p w14:paraId="2072166A"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53D295C8" w14:textId="77777777" w:rsidR="009D652F" w:rsidRPr="004E511F" w:rsidRDefault="009D652F" w:rsidP="00005CF2">
            <w:pPr>
              <w:pStyle w:val="ListParagraph"/>
              <w:numPr>
                <w:ilvl w:val="0"/>
                <w:numId w:val="24"/>
              </w:numPr>
              <w:spacing w:after="0" w:line="240" w:lineRule="auto"/>
              <w:rPr>
                <w:rFonts w:ascii="Calibri" w:eastAsia="Times New Roman" w:hAnsi="Calibri" w:cs="Calibri"/>
                <w:color w:val="000000"/>
                <w:lang w:eastAsia="en-GB"/>
              </w:rPr>
            </w:pPr>
            <w:r>
              <w:t>some or a subgroup of participants are inappropriately excluded from the analysis, including participants with ‘unclear’ findings, missing data, or outliers</w:t>
            </w:r>
          </w:p>
          <w:p w14:paraId="50C8F91D"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p w14:paraId="4909B71C" w14:textId="77777777" w:rsidR="009D652F"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1A661452" w14:textId="77777777" w:rsidTr="00005CF2">
        <w:trPr>
          <w:trHeight w:val="559"/>
        </w:trPr>
        <w:tc>
          <w:tcPr>
            <w:tcW w:w="2689" w:type="dxa"/>
            <w:shd w:val="clear" w:color="auto" w:fill="auto"/>
            <w:noWrap/>
            <w:vAlign w:val="center"/>
          </w:tcPr>
          <w:p w14:paraId="055DB44B" w14:textId="77777777" w:rsidR="009D652F" w:rsidRPr="00827D01"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4.4 </w:t>
            </w:r>
            <w:r w:rsidRPr="00827D01">
              <w:rPr>
                <w:rFonts w:ascii="Calibri" w:eastAsia="Times New Roman" w:hAnsi="Calibri" w:cs="Calibri"/>
                <w:b/>
                <w:color w:val="000000"/>
                <w:lang w:eastAsia="en-GB"/>
              </w:rPr>
              <w:t>Were participants with missing data handled appropriately?</w:t>
            </w:r>
          </w:p>
          <w:p w14:paraId="76DA4B0E" w14:textId="77777777" w:rsidR="009D652F" w:rsidRDefault="009D652F" w:rsidP="00005CF2">
            <w:pPr>
              <w:spacing w:after="0" w:line="240" w:lineRule="auto"/>
              <w:rPr>
                <w:rFonts w:ascii="Calibri" w:eastAsia="Times New Roman" w:hAnsi="Calibri" w:cs="Calibri"/>
                <w:color w:val="000000"/>
                <w:lang w:eastAsia="en-GB"/>
              </w:rPr>
            </w:pPr>
          </w:p>
          <w:p w14:paraId="2F7E3F90" w14:textId="77777777" w:rsidR="009D652F" w:rsidRPr="008260F2" w:rsidRDefault="009D652F" w:rsidP="00005CF2">
            <w:pPr>
              <w:spacing w:after="0" w:line="240" w:lineRule="auto"/>
              <w:rPr>
                <w:rFonts w:ascii="Calibri" w:eastAsia="Times New Roman" w:hAnsi="Calibri" w:cs="Calibri"/>
                <w:color w:val="000000"/>
                <w:lang w:eastAsia="en-GB"/>
              </w:rPr>
            </w:pPr>
            <w:r w:rsidRPr="00827D01">
              <w:rPr>
                <w:rFonts w:ascii="Calibri" w:eastAsia="Times New Roman" w:hAnsi="Calibri" w:cs="Calibri"/>
                <w:b/>
                <w:color w:val="000000"/>
                <w:lang w:eastAsia="en-GB"/>
              </w:rPr>
              <w:t xml:space="preserve">NB </w:t>
            </w:r>
            <w:r>
              <w:rPr>
                <w:rFonts w:ascii="Calibri" w:eastAsia="Times New Roman" w:hAnsi="Calibri" w:cs="Calibri"/>
                <w:color w:val="000000"/>
                <w:lang w:eastAsia="en-GB"/>
              </w:rPr>
              <w:t>if missing data information not reported then assume complete case analysis was conducted</w:t>
            </w:r>
          </w:p>
        </w:tc>
        <w:tc>
          <w:tcPr>
            <w:tcW w:w="6234" w:type="dxa"/>
          </w:tcPr>
          <w:p w14:paraId="19594B4F"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11AAE0EE" w14:textId="77777777" w:rsidR="009D652F" w:rsidRPr="000655F4" w:rsidRDefault="009D652F" w:rsidP="00005CF2">
            <w:pPr>
              <w:pStyle w:val="ListParagraph"/>
              <w:numPr>
                <w:ilvl w:val="0"/>
                <w:numId w:val="24"/>
              </w:numPr>
              <w:spacing w:after="0" w:line="240" w:lineRule="auto"/>
              <w:rPr>
                <w:rFonts w:ascii="Calibri" w:eastAsia="Times New Roman" w:hAnsi="Calibri" w:cs="Calibri"/>
                <w:color w:val="000000"/>
                <w:lang w:eastAsia="en-GB"/>
              </w:rPr>
            </w:pPr>
            <w:r>
              <w:t>no missing values of predictors or outcomes and the study explicitly reports that participants are not excluded based on missing data</w:t>
            </w:r>
          </w:p>
          <w:p w14:paraId="6383CC05" w14:textId="77777777" w:rsidR="009D652F" w:rsidRPr="00827D01" w:rsidRDefault="009D652F" w:rsidP="00005CF2">
            <w:pPr>
              <w:pStyle w:val="ListParagraph"/>
              <w:numPr>
                <w:ilvl w:val="0"/>
                <w:numId w:val="24"/>
              </w:numPr>
              <w:spacing w:after="0" w:line="240" w:lineRule="auto"/>
              <w:rPr>
                <w:rFonts w:ascii="Calibri" w:eastAsia="Times New Roman" w:hAnsi="Calibri" w:cs="Calibri"/>
                <w:color w:val="000000"/>
                <w:lang w:eastAsia="en-GB"/>
              </w:rPr>
            </w:pPr>
            <w:r>
              <w:t>missing values are handled using multiple imputation</w:t>
            </w:r>
          </w:p>
          <w:p w14:paraId="5236D98C" w14:textId="77777777" w:rsidR="009D652F" w:rsidRPr="000655F4" w:rsidRDefault="009D652F" w:rsidP="00005CF2">
            <w:pPr>
              <w:pStyle w:val="ListParagraph"/>
              <w:numPr>
                <w:ilvl w:val="0"/>
                <w:numId w:val="24"/>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comparing results with and without missing data</w:t>
            </w:r>
          </w:p>
          <w:p w14:paraId="1D44A1C2" w14:textId="77777777" w:rsidR="009D652F" w:rsidRDefault="009D652F" w:rsidP="00005CF2">
            <w:pPr>
              <w:spacing w:after="0" w:line="240" w:lineRule="auto"/>
              <w:rPr>
                <w:rFonts w:ascii="Calibri" w:eastAsia="Times New Roman" w:hAnsi="Calibri" w:cs="Calibri"/>
                <w:color w:val="000000"/>
                <w:lang w:eastAsia="en-GB"/>
              </w:rPr>
            </w:pPr>
          </w:p>
          <w:p w14:paraId="6CFE5768"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746C1901" w14:textId="77777777" w:rsidR="009D652F" w:rsidRPr="000655F4" w:rsidRDefault="009D652F" w:rsidP="00005CF2">
            <w:pPr>
              <w:pStyle w:val="ListParagraph"/>
              <w:numPr>
                <w:ilvl w:val="0"/>
                <w:numId w:val="25"/>
              </w:numPr>
              <w:spacing w:after="0" w:line="240" w:lineRule="auto"/>
              <w:rPr>
                <w:rFonts w:ascii="Calibri" w:eastAsia="Times New Roman" w:hAnsi="Calibri" w:cs="Calibri"/>
                <w:color w:val="000000"/>
                <w:lang w:eastAsia="en-GB"/>
              </w:rPr>
            </w:pPr>
            <w:r>
              <w:t>missing data are omitted from the analysis</w:t>
            </w:r>
          </w:p>
          <w:p w14:paraId="72082EAD" w14:textId="77777777" w:rsidR="009D652F" w:rsidRPr="00827D01" w:rsidRDefault="009D652F" w:rsidP="00005CF2">
            <w:pPr>
              <w:pStyle w:val="ListParagraph"/>
              <w:numPr>
                <w:ilvl w:val="0"/>
                <w:numId w:val="25"/>
              </w:numPr>
              <w:spacing w:after="0" w:line="240" w:lineRule="auto"/>
              <w:rPr>
                <w:rFonts w:ascii="Calibri" w:eastAsia="Times New Roman" w:hAnsi="Calibri" w:cs="Calibri"/>
                <w:color w:val="000000"/>
                <w:lang w:eastAsia="en-GB"/>
              </w:rPr>
            </w:pPr>
            <w:r>
              <w:t>method of handling missing data is clearly flawed, e.g., missing indicator method or inappropriate use of last value carried forward</w:t>
            </w:r>
          </w:p>
          <w:p w14:paraId="3EF391AB" w14:textId="77777777" w:rsidR="009D652F" w:rsidRPr="004E511F" w:rsidRDefault="009D652F" w:rsidP="00005CF2">
            <w:pPr>
              <w:pStyle w:val="ListParagraph"/>
              <w:numPr>
                <w:ilvl w:val="0"/>
                <w:numId w:val="25"/>
              </w:numPr>
              <w:spacing w:after="0" w:line="240" w:lineRule="auto"/>
              <w:rPr>
                <w:rFonts w:ascii="Calibri" w:eastAsia="Times New Roman" w:hAnsi="Calibri" w:cs="Calibri"/>
                <w:color w:val="000000"/>
                <w:lang w:eastAsia="en-GB"/>
              </w:rPr>
            </w:pPr>
            <w:r>
              <w:t>study had no explicit mention of methods to handle missing data</w:t>
            </w:r>
          </w:p>
          <w:p w14:paraId="2128197A" w14:textId="77777777" w:rsidR="009D652F" w:rsidRPr="000655F4"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05BA48D9" w14:textId="77777777" w:rsidTr="00005CF2">
        <w:trPr>
          <w:trHeight w:val="559"/>
        </w:trPr>
        <w:tc>
          <w:tcPr>
            <w:tcW w:w="2689" w:type="dxa"/>
            <w:shd w:val="clear" w:color="auto" w:fill="auto"/>
            <w:noWrap/>
            <w:vAlign w:val="center"/>
          </w:tcPr>
          <w:p w14:paraId="59264DB4" w14:textId="77777777" w:rsidR="009D652F" w:rsidRPr="006B311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4.5 </w:t>
            </w:r>
            <w:r w:rsidRPr="006B3119">
              <w:rPr>
                <w:rFonts w:ascii="Calibri" w:eastAsia="Times New Roman" w:hAnsi="Calibri" w:cs="Calibri"/>
                <w:b/>
                <w:color w:val="000000"/>
                <w:lang w:eastAsia="en-GB"/>
              </w:rPr>
              <w:t>Was selection of predictors based on univariable analysis avoided?</w:t>
            </w:r>
          </w:p>
          <w:p w14:paraId="2D7FC9E9" w14:textId="77777777" w:rsidR="009D652F" w:rsidRDefault="009D652F" w:rsidP="00005CF2">
            <w:pPr>
              <w:spacing w:after="0" w:line="240" w:lineRule="auto"/>
              <w:rPr>
                <w:rFonts w:ascii="Calibri" w:eastAsia="Times New Roman" w:hAnsi="Calibri" w:cs="Calibri"/>
                <w:color w:val="000000"/>
                <w:lang w:eastAsia="en-GB"/>
              </w:rPr>
            </w:pPr>
          </w:p>
          <w:p w14:paraId="1A71A91E" w14:textId="77777777" w:rsidR="009D652F" w:rsidRPr="00827D01"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NB </w:t>
            </w:r>
            <w:r w:rsidRPr="006B3119">
              <w:rPr>
                <w:rFonts w:ascii="Calibri" w:eastAsia="Times New Roman" w:hAnsi="Calibri" w:cs="Calibri"/>
                <w:color w:val="000000"/>
                <w:lang w:eastAsia="en-GB"/>
              </w:rPr>
              <w:t>this question applies for development studies only</w:t>
            </w:r>
          </w:p>
        </w:tc>
        <w:tc>
          <w:tcPr>
            <w:tcW w:w="6234" w:type="dxa"/>
          </w:tcPr>
          <w:p w14:paraId="1571A397"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439D9A78"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predictors are not selected based on univariable analysis prior to multivariable modelling</w:t>
            </w:r>
          </w:p>
          <w:p w14:paraId="103BB36E"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predictors selected on existing knowledge, they are reliable, consistent, applicable, available, and credible</w:t>
            </w:r>
          </w:p>
          <w:p w14:paraId="5D5F4186"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credible/a-priori predictors are forced into the model</w:t>
            </w:r>
          </w:p>
          <w:p w14:paraId="2A61A539" w14:textId="77777777" w:rsidR="009D652F" w:rsidRDefault="009D652F" w:rsidP="00005CF2">
            <w:pPr>
              <w:spacing w:after="0" w:line="240" w:lineRule="auto"/>
              <w:rPr>
                <w:rFonts w:ascii="Calibri" w:eastAsia="Times New Roman" w:hAnsi="Calibri" w:cs="Calibri"/>
                <w:color w:val="000000"/>
                <w:lang w:eastAsia="en-GB"/>
              </w:rPr>
            </w:pPr>
          </w:p>
          <w:p w14:paraId="7F0C32A0"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11FF29CD" w14:textId="77777777" w:rsidR="009D652F" w:rsidRPr="004E511F" w:rsidRDefault="009D652F" w:rsidP="00005CF2">
            <w:pPr>
              <w:pStyle w:val="ListParagraph"/>
              <w:numPr>
                <w:ilvl w:val="0"/>
                <w:numId w:val="26"/>
              </w:numPr>
              <w:spacing w:after="0" w:line="240" w:lineRule="auto"/>
              <w:rPr>
                <w:rFonts w:ascii="Calibri" w:eastAsia="Times New Roman" w:hAnsi="Calibri" w:cs="Calibri"/>
                <w:color w:val="000000"/>
                <w:lang w:eastAsia="en-GB"/>
              </w:rPr>
            </w:pPr>
            <w:r>
              <w:t>predictors are selected based on univariable analysis prior to multivariable modelling</w:t>
            </w:r>
          </w:p>
          <w:p w14:paraId="04F352C0" w14:textId="77777777" w:rsidR="009D652F" w:rsidRPr="00827D01"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5482C631" w14:textId="77777777" w:rsidTr="00005CF2">
        <w:trPr>
          <w:trHeight w:val="559"/>
        </w:trPr>
        <w:tc>
          <w:tcPr>
            <w:tcW w:w="2689" w:type="dxa"/>
            <w:shd w:val="clear" w:color="auto" w:fill="auto"/>
            <w:noWrap/>
            <w:vAlign w:val="center"/>
          </w:tcPr>
          <w:p w14:paraId="5689700B" w14:textId="77777777" w:rsidR="009D652F" w:rsidRPr="006B311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4.6 </w:t>
            </w:r>
            <w:r w:rsidRPr="006B3119">
              <w:rPr>
                <w:rFonts w:ascii="Calibri" w:eastAsia="Times New Roman" w:hAnsi="Calibri" w:cs="Calibri"/>
                <w:b/>
                <w:color w:val="000000"/>
                <w:lang w:eastAsia="en-GB"/>
              </w:rPr>
              <w:t>Were complexities in the data (e.g., censoring, competing risks, sampling of control participants) accounted appropriately?</w:t>
            </w:r>
          </w:p>
          <w:p w14:paraId="719C2D36" w14:textId="77777777" w:rsidR="009D652F" w:rsidRPr="008260F2" w:rsidRDefault="009D652F" w:rsidP="00005CF2">
            <w:pPr>
              <w:spacing w:after="0" w:line="240" w:lineRule="auto"/>
              <w:rPr>
                <w:rFonts w:ascii="Calibri" w:eastAsia="Times New Roman" w:hAnsi="Calibri" w:cs="Calibri"/>
                <w:color w:val="000000"/>
                <w:lang w:eastAsia="en-GB"/>
              </w:rPr>
            </w:pPr>
          </w:p>
        </w:tc>
        <w:tc>
          <w:tcPr>
            <w:tcW w:w="6234" w:type="dxa"/>
          </w:tcPr>
          <w:p w14:paraId="0F7F5AF2"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23D09FCD"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complexities in the data are accounted for appropriately</w:t>
            </w:r>
          </w:p>
          <w:p w14:paraId="158F438E"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clear that any potential data complexities have been identified appropriately as unimportant</w:t>
            </w:r>
          </w:p>
          <w:p w14:paraId="341F6E63"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 xml:space="preserve">Cox regression for time to event outcomes </w:t>
            </w:r>
          </w:p>
          <w:p w14:paraId="34DA909A" w14:textId="77777777" w:rsidR="009D652F" w:rsidRPr="004E511F" w:rsidRDefault="009D652F" w:rsidP="00005CF2">
            <w:pPr>
              <w:pStyle w:val="ListParagraph"/>
              <w:numPr>
                <w:ilvl w:val="0"/>
                <w:numId w:val="26"/>
              </w:numPr>
              <w:spacing w:after="0" w:line="240" w:lineRule="auto"/>
              <w:rPr>
                <w:rFonts w:ascii="Calibri" w:eastAsia="Times New Roman" w:hAnsi="Calibri" w:cs="Calibri"/>
                <w:color w:val="000000"/>
                <w:lang w:eastAsia="en-GB"/>
              </w:rPr>
            </w:pPr>
            <w:r>
              <w:t>Cox regression account for competing risks (e.g., hip replacement is often done in an older population who have a competing risk with death, that is that they might die before having the hip replacement)</w:t>
            </w:r>
          </w:p>
          <w:p w14:paraId="3FEA261B" w14:textId="77777777" w:rsidR="009D652F" w:rsidRPr="00827D01" w:rsidRDefault="009D652F" w:rsidP="00005CF2">
            <w:pPr>
              <w:pStyle w:val="ListParagraph"/>
              <w:numPr>
                <w:ilvl w:val="0"/>
                <w:numId w:val="26"/>
              </w:numPr>
              <w:spacing w:after="0" w:line="240" w:lineRule="auto"/>
              <w:rPr>
                <w:rFonts w:ascii="Calibri" w:eastAsia="Times New Roman" w:hAnsi="Calibri" w:cs="Calibri"/>
                <w:color w:val="000000"/>
                <w:lang w:eastAsia="en-GB"/>
              </w:rPr>
            </w:pPr>
            <w:r>
              <w:t>Multilevel or random effects models for multiple outcome measures</w:t>
            </w:r>
          </w:p>
          <w:p w14:paraId="14C4C290" w14:textId="77777777" w:rsidR="009D652F" w:rsidRDefault="009D652F" w:rsidP="00005CF2">
            <w:pPr>
              <w:spacing w:after="0" w:line="240" w:lineRule="auto"/>
              <w:rPr>
                <w:rFonts w:ascii="Calibri" w:eastAsia="Times New Roman" w:hAnsi="Calibri" w:cs="Calibri"/>
                <w:b/>
                <w:color w:val="000000"/>
                <w:lang w:eastAsia="en-GB"/>
              </w:rPr>
            </w:pPr>
          </w:p>
          <w:p w14:paraId="5B68BF3D"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5C7D7873" w14:textId="77777777" w:rsidR="009D652F" w:rsidRPr="00827D01" w:rsidRDefault="009D652F" w:rsidP="00005CF2">
            <w:pPr>
              <w:pStyle w:val="ListParagraph"/>
              <w:numPr>
                <w:ilvl w:val="0"/>
                <w:numId w:val="27"/>
              </w:numPr>
              <w:spacing w:after="0" w:line="240" w:lineRule="auto"/>
              <w:rPr>
                <w:rFonts w:ascii="Calibri" w:eastAsia="Times New Roman" w:hAnsi="Calibri" w:cs="Calibri"/>
                <w:color w:val="000000"/>
                <w:lang w:eastAsia="en-GB"/>
              </w:rPr>
            </w:pPr>
            <w:r>
              <w:t>complexities in the data that could affect model performance are ignored</w:t>
            </w:r>
          </w:p>
        </w:tc>
      </w:tr>
      <w:tr w:rsidR="009D652F" w:rsidRPr="0093141C" w14:paraId="7B47BB49" w14:textId="77777777" w:rsidTr="00005CF2">
        <w:trPr>
          <w:trHeight w:val="559"/>
        </w:trPr>
        <w:tc>
          <w:tcPr>
            <w:tcW w:w="2689" w:type="dxa"/>
            <w:shd w:val="clear" w:color="auto" w:fill="auto"/>
            <w:noWrap/>
            <w:vAlign w:val="center"/>
          </w:tcPr>
          <w:p w14:paraId="37FA2DA7" w14:textId="77777777" w:rsidR="009D652F" w:rsidRPr="006B311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4.7 </w:t>
            </w:r>
            <w:r w:rsidRPr="006B3119">
              <w:rPr>
                <w:rFonts w:ascii="Calibri" w:eastAsia="Times New Roman" w:hAnsi="Calibri" w:cs="Calibri"/>
                <w:b/>
                <w:color w:val="000000"/>
                <w:lang w:eastAsia="en-GB"/>
              </w:rPr>
              <w:t>Were relevant model performance measures evaluated appropriately?</w:t>
            </w:r>
          </w:p>
          <w:p w14:paraId="13B63012" w14:textId="77777777" w:rsidR="009D652F" w:rsidRPr="008260F2" w:rsidRDefault="009D652F" w:rsidP="00005CF2">
            <w:pPr>
              <w:spacing w:after="0" w:line="240" w:lineRule="auto"/>
              <w:rPr>
                <w:rFonts w:ascii="Calibri" w:eastAsia="Times New Roman" w:hAnsi="Calibri" w:cs="Calibri"/>
                <w:color w:val="000000"/>
                <w:lang w:eastAsia="en-GB"/>
              </w:rPr>
            </w:pPr>
          </w:p>
        </w:tc>
        <w:tc>
          <w:tcPr>
            <w:tcW w:w="6234" w:type="dxa"/>
          </w:tcPr>
          <w:p w14:paraId="4F5ED231"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03B28FB9" w14:textId="77777777" w:rsidR="009D652F" w:rsidRPr="00827D01" w:rsidRDefault="009D652F" w:rsidP="00005CF2">
            <w:pPr>
              <w:pStyle w:val="ListParagraph"/>
              <w:numPr>
                <w:ilvl w:val="0"/>
                <w:numId w:val="27"/>
              </w:numPr>
              <w:spacing w:after="0" w:line="240" w:lineRule="auto"/>
              <w:rPr>
                <w:rFonts w:ascii="Calibri" w:eastAsia="Times New Roman" w:hAnsi="Calibri" w:cs="Calibri"/>
                <w:color w:val="000000"/>
                <w:lang w:eastAsia="en-GB"/>
              </w:rPr>
            </w:pPr>
            <w:r>
              <w:t>both calibration and discrimination are evaluated appropriately (including relevant measures tailored for models predicting survival outcomes)</w:t>
            </w:r>
          </w:p>
          <w:p w14:paraId="74407196" w14:textId="77777777" w:rsidR="009D652F" w:rsidRDefault="009D652F" w:rsidP="00005CF2">
            <w:pPr>
              <w:spacing w:after="0" w:line="240" w:lineRule="auto"/>
              <w:rPr>
                <w:rFonts w:ascii="Calibri" w:eastAsia="Times New Roman" w:hAnsi="Calibri" w:cs="Calibri"/>
                <w:color w:val="000000"/>
                <w:lang w:eastAsia="en-GB"/>
              </w:rPr>
            </w:pPr>
          </w:p>
          <w:p w14:paraId="67528F56"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6551BC38" w14:textId="77777777" w:rsidR="009D652F" w:rsidRDefault="009D652F" w:rsidP="00005CF2">
            <w:pPr>
              <w:pStyle w:val="ListParagraph"/>
              <w:numPr>
                <w:ilvl w:val="0"/>
                <w:numId w:val="27"/>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both </w:t>
            </w:r>
            <w:r>
              <w:t>calibration and discrimination are not evaluated</w:t>
            </w:r>
          </w:p>
          <w:p w14:paraId="0BAE925A" w14:textId="77777777" w:rsidR="009D652F" w:rsidRPr="00827D01" w:rsidRDefault="009D652F" w:rsidP="00005CF2">
            <w:pPr>
              <w:pStyle w:val="ListParagraph"/>
              <w:numPr>
                <w:ilvl w:val="0"/>
                <w:numId w:val="27"/>
              </w:numPr>
              <w:spacing w:after="0" w:line="240" w:lineRule="auto"/>
              <w:rPr>
                <w:rFonts w:ascii="Calibri" w:eastAsia="Times New Roman" w:hAnsi="Calibri" w:cs="Calibri"/>
                <w:color w:val="000000"/>
                <w:lang w:eastAsia="en-GB"/>
              </w:rPr>
            </w:pPr>
            <w:r>
              <w:t>only goodness-of-fit tests, such as the Hosmer–Lemeshow test, are used to evaluate calibration</w:t>
            </w:r>
          </w:p>
          <w:p w14:paraId="433150A6" w14:textId="77777777" w:rsidR="009D652F" w:rsidRPr="006B3119" w:rsidRDefault="009D652F" w:rsidP="00005CF2">
            <w:pPr>
              <w:pStyle w:val="ListParagraph"/>
              <w:numPr>
                <w:ilvl w:val="0"/>
                <w:numId w:val="27"/>
              </w:numPr>
              <w:spacing w:after="0" w:line="240" w:lineRule="auto"/>
              <w:rPr>
                <w:rFonts w:ascii="Calibri" w:eastAsia="Times New Roman" w:hAnsi="Calibri" w:cs="Calibri"/>
                <w:color w:val="000000"/>
                <w:lang w:eastAsia="en-GB"/>
              </w:rPr>
            </w:pPr>
            <w:r>
              <w:t>models predicting survival outcomes performance measures accounting for censoring are not used</w:t>
            </w:r>
          </w:p>
          <w:p w14:paraId="55EFD4DC" w14:textId="77777777" w:rsidR="009D652F" w:rsidRPr="004E511F" w:rsidRDefault="009D652F" w:rsidP="00005CF2">
            <w:pPr>
              <w:pStyle w:val="ListParagraph"/>
              <w:numPr>
                <w:ilvl w:val="0"/>
                <w:numId w:val="27"/>
              </w:numPr>
              <w:spacing w:after="0" w:line="240" w:lineRule="auto"/>
              <w:rPr>
                <w:rFonts w:ascii="Calibri" w:eastAsia="Times New Roman" w:hAnsi="Calibri" w:cs="Calibri"/>
                <w:color w:val="000000"/>
                <w:lang w:eastAsia="en-GB"/>
              </w:rPr>
            </w:pPr>
            <w:r>
              <w:t>if classification measures (like sensitivity, specificity, or predictive values) were presented using predicted probability thresholds derived from the data set at hand/non-clinical cut-offs</w:t>
            </w:r>
          </w:p>
          <w:p w14:paraId="6CC5CC9E" w14:textId="77777777" w:rsidR="009D652F" w:rsidRPr="006B3119"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7E22EC52" w14:textId="77777777" w:rsidTr="00005CF2">
        <w:trPr>
          <w:trHeight w:val="559"/>
        </w:trPr>
        <w:tc>
          <w:tcPr>
            <w:tcW w:w="2689" w:type="dxa"/>
            <w:shd w:val="clear" w:color="auto" w:fill="auto"/>
            <w:noWrap/>
            <w:vAlign w:val="center"/>
          </w:tcPr>
          <w:p w14:paraId="09E8E352" w14:textId="77777777" w:rsidR="009D652F"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4.8 </w:t>
            </w:r>
            <w:r w:rsidRPr="009F24A5">
              <w:rPr>
                <w:rFonts w:ascii="Calibri" w:eastAsia="Times New Roman" w:hAnsi="Calibri" w:cs="Calibri"/>
                <w:b/>
                <w:color w:val="000000"/>
                <w:lang w:eastAsia="en-GB"/>
              </w:rPr>
              <w:t>Was model overfitting, underfitting, and optimism in model performance accounted for?</w:t>
            </w:r>
          </w:p>
          <w:p w14:paraId="466587BF" w14:textId="77777777" w:rsidR="009D652F" w:rsidRDefault="009D652F" w:rsidP="00005CF2">
            <w:pPr>
              <w:spacing w:after="0" w:line="240" w:lineRule="auto"/>
              <w:rPr>
                <w:rFonts w:ascii="Calibri" w:eastAsia="Times New Roman" w:hAnsi="Calibri" w:cs="Calibri"/>
                <w:b/>
                <w:color w:val="000000"/>
                <w:lang w:eastAsia="en-GB"/>
              </w:rPr>
            </w:pPr>
          </w:p>
          <w:p w14:paraId="401584C0" w14:textId="77777777" w:rsidR="009D652F" w:rsidRPr="009F24A5"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NB </w:t>
            </w:r>
            <w:r w:rsidRPr="006B3119">
              <w:rPr>
                <w:rFonts w:ascii="Calibri" w:eastAsia="Times New Roman" w:hAnsi="Calibri" w:cs="Calibri"/>
                <w:color w:val="000000"/>
                <w:lang w:eastAsia="en-GB"/>
              </w:rPr>
              <w:t>this question applies for development studies only</w:t>
            </w:r>
          </w:p>
          <w:p w14:paraId="149295D7" w14:textId="77777777" w:rsidR="009D652F" w:rsidRPr="008260F2" w:rsidRDefault="009D652F" w:rsidP="00005CF2">
            <w:pPr>
              <w:spacing w:after="0" w:line="240" w:lineRule="auto"/>
              <w:rPr>
                <w:rFonts w:ascii="Calibri" w:eastAsia="Times New Roman" w:hAnsi="Calibri" w:cs="Calibri"/>
                <w:color w:val="000000"/>
                <w:lang w:eastAsia="en-GB"/>
              </w:rPr>
            </w:pPr>
          </w:p>
        </w:tc>
        <w:tc>
          <w:tcPr>
            <w:tcW w:w="6234" w:type="dxa"/>
          </w:tcPr>
          <w:p w14:paraId="568B15A5"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30CA5227" w14:textId="77777777" w:rsidR="009D652F" w:rsidRPr="006B3119" w:rsidRDefault="009D652F" w:rsidP="00005CF2">
            <w:pPr>
              <w:pStyle w:val="ListParagraph"/>
              <w:numPr>
                <w:ilvl w:val="0"/>
                <w:numId w:val="28"/>
              </w:numPr>
              <w:spacing w:after="0" w:line="240" w:lineRule="auto"/>
              <w:rPr>
                <w:rFonts w:ascii="Calibri" w:eastAsia="Times New Roman" w:hAnsi="Calibri" w:cs="Calibri"/>
                <w:color w:val="000000"/>
                <w:lang w:eastAsia="en-GB"/>
              </w:rPr>
            </w:pPr>
            <w:r>
              <w:t>internal validation techniques, such as bootstrapping and cross-validation including all model development procedures, have been used to account for any optimism in model fitting, and subsequent adjustment of the model performance estimates have been applied</w:t>
            </w:r>
          </w:p>
          <w:p w14:paraId="5CBE7BA2" w14:textId="77777777" w:rsidR="009D652F" w:rsidRDefault="009D652F" w:rsidP="00005CF2">
            <w:pPr>
              <w:spacing w:after="0" w:line="240" w:lineRule="auto"/>
              <w:rPr>
                <w:rFonts w:ascii="Calibri" w:eastAsia="Times New Roman" w:hAnsi="Calibri" w:cs="Calibri"/>
                <w:color w:val="000000"/>
                <w:lang w:eastAsia="en-GB"/>
              </w:rPr>
            </w:pPr>
          </w:p>
          <w:p w14:paraId="1299CB0C"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310F52FE" w14:textId="77777777" w:rsidR="009D652F" w:rsidRPr="006B3119" w:rsidRDefault="009D652F" w:rsidP="00005CF2">
            <w:pPr>
              <w:pStyle w:val="ListParagraph"/>
              <w:numPr>
                <w:ilvl w:val="0"/>
                <w:numId w:val="28"/>
              </w:numPr>
              <w:spacing w:after="0" w:line="240" w:lineRule="auto"/>
              <w:rPr>
                <w:rFonts w:ascii="Calibri" w:eastAsia="Times New Roman" w:hAnsi="Calibri" w:cs="Calibri"/>
                <w:color w:val="000000"/>
                <w:lang w:eastAsia="en-GB"/>
              </w:rPr>
            </w:pPr>
            <w:r>
              <w:t>no internal validation has been performed, or if internal validation consists only of a single random split-sample of participant data</w:t>
            </w:r>
          </w:p>
          <w:p w14:paraId="33EFA6A0" w14:textId="77777777" w:rsidR="009D652F" w:rsidRPr="004E511F" w:rsidRDefault="009D652F" w:rsidP="00005CF2">
            <w:pPr>
              <w:pStyle w:val="ListParagraph"/>
              <w:numPr>
                <w:ilvl w:val="0"/>
                <w:numId w:val="28"/>
              </w:numPr>
              <w:spacing w:after="0" w:line="240" w:lineRule="auto"/>
              <w:rPr>
                <w:rFonts w:ascii="Calibri" w:eastAsia="Times New Roman" w:hAnsi="Calibri" w:cs="Calibri"/>
                <w:color w:val="000000"/>
                <w:lang w:eastAsia="en-GB"/>
              </w:rPr>
            </w:pPr>
            <w:r>
              <w:t>bootstrapping or cross-validation did not include all model development procedures including any variable selection</w:t>
            </w:r>
          </w:p>
          <w:p w14:paraId="0BD8257D" w14:textId="77777777" w:rsidR="009D652F" w:rsidRPr="006B3119" w:rsidRDefault="009D652F" w:rsidP="00005CF2">
            <w:pPr>
              <w:pStyle w:val="ListParagraph"/>
              <w:spacing w:after="0" w:line="240" w:lineRule="auto"/>
              <w:ind w:left="360"/>
              <w:rPr>
                <w:rFonts w:ascii="Calibri" w:eastAsia="Times New Roman" w:hAnsi="Calibri" w:cs="Calibri"/>
                <w:color w:val="000000"/>
                <w:lang w:eastAsia="en-GB"/>
              </w:rPr>
            </w:pPr>
          </w:p>
        </w:tc>
      </w:tr>
      <w:tr w:rsidR="009D652F" w:rsidRPr="0093141C" w14:paraId="4E092817" w14:textId="77777777" w:rsidTr="00005CF2">
        <w:trPr>
          <w:trHeight w:val="559"/>
        </w:trPr>
        <w:tc>
          <w:tcPr>
            <w:tcW w:w="2689" w:type="dxa"/>
            <w:shd w:val="clear" w:color="auto" w:fill="auto"/>
            <w:noWrap/>
            <w:vAlign w:val="center"/>
          </w:tcPr>
          <w:p w14:paraId="1CD103AC" w14:textId="77777777" w:rsidR="009D652F" w:rsidRPr="006B311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 xml:space="preserve">4.9 </w:t>
            </w:r>
            <w:r w:rsidRPr="006B3119">
              <w:rPr>
                <w:rFonts w:ascii="Calibri" w:eastAsia="Times New Roman" w:hAnsi="Calibri" w:cs="Calibri"/>
                <w:b/>
                <w:color w:val="000000"/>
                <w:lang w:eastAsia="en-GB"/>
              </w:rPr>
              <w:t>Do predictors and their assigned weights in the final model correspond to the results from the reported multivariable analysis?</w:t>
            </w:r>
          </w:p>
        </w:tc>
        <w:tc>
          <w:tcPr>
            <w:tcW w:w="6234" w:type="dxa"/>
          </w:tcPr>
          <w:p w14:paraId="198696F5" w14:textId="77777777" w:rsidR="009D652F" w:rsidRPr="00DC3759" w:rsidRDefault="009D652F" w:rsidP="00005CF2">
            <w:pPr>
              <w:spacing w:after="0" w:line="240" w:lineRule="auto"/>
              <w:rPr>
                <w:rFonts w:ascii="Calibri" w:eastAsia="Times New Roman" w:hAnsi="Calibri" w:cs="Calibri"/>
                <w:b/>
                <w:color w:val="000000"/>
                <w:lang w:eastAsia="en-GB"/>
              </w:rPr>
            </w:pPr>
            <w:r>
              <w:rPr>
                <w:rFonts w:ascii="Calibri" w:eastAsia="Times New Roman" w:hAnsi="Calibri" w:cs="Calibri"/>
                <w:b/>
                <w:color w:val="000000"/>
                <w:lang w:eastAsia="en-GB"/>
              </w:rPr>
              <w:t>Decreases ROB (Y/PY)</w:t>
            </w:r>
          </w:p>
          <w:p w14:paraId="5B59F4B1" w14:textId="77777777" w:rsidR="009D652F" w:rsidRPr="006B3119" w:rsidRDefault="009D652F" w:rsidP="00005CF2">
            <w:pPr>
              <w:pStyle w:val="ListParagraph"/>
              <w:numPr>
                <w:ilvl w:val="0"/>
                <w:numId w:val="28"/>
              </w:numPr>
              <w:spacing w:after="0" w:line="240" w:lineRule="auto"/>
              <w:rPr>
                <w:rFonts w:ascii="Calibri" w:eastAsia="Times New Roman" w:hAnsi="Calibri" w:cs="Calibri"/>
                <w:color w:val="000000"/>
                <w:lang w:eastAsia="en-GB"/>
              </w:rPr>
            </w:pPr>
            <w:r>
              <w:t>predictors and regression coefficients in the final model correspond to reported results from multivariable analysis</w:t>
            </w:r>
          </w:p>
          <w:p w14:paraId="250D1347" w14:textId="77777777" w:rsidR="009D652F" w:rsidRDefault="009D652F" w:rsidP="00005CF2">
            <w:pPr>
              <w:spacing w:after="0" w:line="240" w:lineRule="auto"/>
              <w:rPr>
                <w:rFonts w:ascii="Calibri" w:eastAsia="Times New Roman" w:hAnsi="Calibri" w:cs="Calibri"/>
                <w:color w:val="000000"/>
                <w:lang w:eastAsia="en-GB"/>
              </w:rPr>
            </w:pPr>
          </w:p>
          <w:p w14:paraId="01A950A1" w14:textId="77777777" w:rsidR="009D652F" w:rsidRPr="009F24A5" w:rsidRDefault="009D652F" w:rsidP="00005CF2">
            <w:pPr>
              <w:spacing w:after="0" w:line="240" w:lineRule="auto"/>
              <w:rPr>
                <w:rFonts w:ascii="Calibri" w:eastAsia="Times New Roman" w:hAnsi="Calibri" w:cs="Calibri"/>
                <w:b/>
                <w:color w:val="000000"/>
                <w:lang w:eastAsia="en-GB"/>
              </w:rPr>
            </w:pPr>
            <w:r w:rsidRPr="009F24A5">
              <w:rPr>
                <w:rFonts w:ascii="Calibri" w:eastAsia="Times New Roman" w:hAnsi="Calibri" w:cs="Calibri"/>
                <w:b/>
                <w:color w:val="000000"/>
                <w:lang w:eastAsia="en-GB"/>
              </w:rPr>
              <w:t>Increases ROB (N/PN)</w:t>
            </w:r>
          </w:p>
          <w:p w14:paraId="5786EF0D" w14:textId="77777777" w:rsidR="009D652F" w:rsidRPr="004E511F" w:rsidRDefault="009D652F" w:rsidP="00005CF2">
            <w:pPr>
              <w:pStyle w:val="ListParagraph"/>
              <w:numPr>
                <w:ilvl w:val="0"/>
                <w:numId w:val="28"/>
              </w:numPr>
              <w:spacing w:after="0" w:line="240" w:lineRule="auto"/>
              <w:rPr>
                <w:rFonts w:ascii="Calibri" w:eastAsia="Times New Roman" w:hAnsi="Calibri" w:cs="Calibri"/>
                <w:color w:val="000000"/>
                <w:lang w:eastAsia="en-GB"/>
              </w:rPr>
            </w:pPr>
            <w:r>
              <w:t>predictors and regression coefficients in the final model do not correspond to reported results from multivariable analysis</w:t>
            </w:r>
          </w:p>
          <w:p w14:paraId="6E8DB943" w14:textId="77777777" w:rsidR="009D652F" w:rsidRPr="006B3119" w:rsidRDefault="009D652F" w:rsidP="00005CF2">
            <w:pPr>
              <w:pStyle w:val="ListParagraph"/>
              <w:spacing w:after="0" w:line="240" w:lineRule="auto"/>
              <w:ind w:left="360"/>
              <w:rPr>
                <w:rFonts w:ascii="Calibri" w:eastAsia="Times New Roman" w:hAnsi="Calibri" w:cs="Calibri"/>
                <w:color w:val="000000"/>
                <w:lang w:eastAsia="en-GB"/>
              </w:rPr>
            </w:pPr>
          </w:p>
        </w:tc>
      </w:tr>
    </w:tbl>
    <w:p w14:paraId="5053D1CC" w14:textId="77777777" w:rsidR="009D652F" w:rsidRPr="00DF3A56" w:rsidRDefault="009D652F" w:rsidP="009D652F">
      <w:pPr>
        <w:spacing w:line="360" w:lineRule="auto"/>
        <w:rPr>
          <w:b/>
        </w:rPr>
      </w:pPr>
    </w:p>
    <w:p w14:paraId="67B069A0" w14:textId="77777777" w:rsidR="009D652F" w:rsidRDefault="009D652F" w:rsidP="009D652F"/>
    <w:p w14:paraId="6D75E731" w14:textId="77777777" w:rsidR="00B07567" w:rsidRDefault="00B07567" w:rsidP="009D652F"/>
    <w:p w14:paraId="4BACD9F9" w14:textId="77777777" w:rsidR="00B07567" w:rsidRDefault="00B07567" w:rsidP="009D652F"/>
    <w:p w14:paraId="5D956B7A" w14:textId="77777777" w:rsidR="00B07567" w:rsidRDefault="00B07567" w:rsidP="009D652F"/>
    <w:p w14:paraId="35C69C29" w14:textId="77777777" w:rsidR="00B07567" w:rsidRDefault="00B07567" w:rsidP="009D652F"/>
    <w:p w14:paraId="7E41FE19" w14:textId="63E0EAC8" w:rsidR="00B07567" w:rsidRPr="00B07567" w:rsidRDefault="00B07567" w:rsidP="009D652F">
      <w:pPr>
        <w:rPr>
          <w:b/>
          <w:bCs/>
        </w:rPr>
      </w:pPr>
      <w:r w:rsidRPr="00B07567">
        <w:rPr>
          <w:b/>
          <w:bCs/>
        </w:rPr>
        <w:t>Supplementary table 5</w:t>
      </w:r>
      <w:r>
        <w:rPr>
          <w:b/>
          <w:bCs/>
        </w:rPr>
        <w:t>.</w:t>
      </w:r>
      <w:r w:rsidRPr="00B07567">
        <w:rPr>
          <w:b/>
          <w:bCs/>
        </w:rPr>
        <w:t xml:space="preserve"> List of all studies and their study designs</w:t>
      </w:r>
    </w:p>
    <w:tbl>
      <w:tblPr>
        <w:tblStyle w:val="TableGrid"/>
        <w:tblW w:w="4310" w:type="pct"/>
        <w:jc w:val="center"/>
        <w:tblLayout w:type="fixed"/>
        <w:tblLook w:val="04A0" w:firstRow="1" w:lastRow="0" w:firstColumn="1" w:lastColumn="0" w:noHBand="0" w:noVBand="1"/>
      </w:tblPr>
      <w:tblGrid>
        <w:gridCol w:w="5949"/>
        <w:gridCol w:w="1823"/>
      </w:tblGrid>
      <w:tr w:rsidR="00D729CC" w:rsidRPr="00990F39" w14:paraId="0E4123AE" w14:textId="77777777" w:rsidTr="00D729CC">
        <w:trPr>
          <w:trHeight w:val="300"/>
          <w:jc w:val="center"/>
        </w:trPr>
        <w:tc>
          <w:tcPr>
            <w:tcW w:w="3827" w:type="pct"/>
            <w:shd w:val="clear" w:color="auto" w:fill="B4C6E7" w:themeFill="accent1" w:themeFillTint="66"/>
            <w:vAlign w:val="center"/>
            <w:hideMark/>
          </w:tcPr>
          <w:p w14:paraId="4564356F" w14:textId="77777777" w:rsidR="00D729CC" w:rsidRPr="00A80A7B" w:rsidRDefault="00D729CC" w:rsidP="00005CF2">
            <w:pPr>
              <w:jc w:val="center"/>
              <w:rPr>
                <w:rFonts w:ascii="Calibri" w:eastAsia="Times New Roman" w:hAnsi="Calibri" w:cs="Calibri"/>
                <w:b/>
                <w:bCs/>
                <w:color w:val="000000"/>
                <w:lang w:eastAsia="en-GB"/>
              </w:rPr>
            </w:pPr>
            <w:r w:rsidRPr="00A80A7B">
              <w:rPr>
                <w:rFonts w:ascii="Calibri" w:eastAsia="Times New Roman" w:hAnsi="Calibri" w:cs="Calibri"/>
                <w:b/>
                <w:bCs/>
                <w:color w:val="000000"/>
                <w:lang w:eastAsia="en-GB"/>
              </w:rPr>
              <w:t>Title</w:t>
            </w:r>
          </w:p>
        </w:tc>
        <w:tc>
          <w:tcPr>
            <w:tcW w:w="1173" w:type="pct"/>
            <w:shd w:val="clear" w:color="auto" w:fill="B4C6E7" w:themeFill="accent1" w:themeFillTint="66"/>
            <w:noWrap/>
            <w:vAlign w:val="center"/>
            <w:hideMark/>
          </w:tcPr>
          <w:p w14:paraId="3062ACCB" w14:textId="77777777" w:rsidR="00D729CC" w:rsidRPr="00A80A7B" w:rsidRDefault="00D729CC" w:rsidP="00005CF2">
            <w:pPr>
              <w:jc w:val="center"/>
              <w:rPr>
                <w:rFonts w:ascii="Calibri" w:eastAsia="Times New Roman" w:hAnsi="Calibri" w:cs="Calibri"/>
                <w:b/>
                <w:bCs/>
                <w:color w:val="000000"/>
                <w:lang w:eastAsia="en-GB"/>
              </w:rPr>
            </w:pPr>
            <w:r w:rsidRPr="00A80A7B">
              <w:rPr>
                <w:rFonts w:ascii="Calibri" w:eastAsia="Times New Roman" w:hAnsi="Calibri" w:cs="Calibri"/>
                <w:b/>
                <w:bCs/>
                <w:color w:val="000000"/>
                <w:lang w:eastAsia="en-GB"/>
              </w:rPr>
              <w:t>Study Design</w:t>
            </w:r>
          </w:p>
        </w:tc>
      </w:tr>
      <w:tr w:rsidR="00D729CC" w:rsidRPr="00990F39" w14:paraId="74FBA0EB" w14:textId="77777777" w:rsidTr="00D729CC">
        <w:trPr>
          <w:trHeight w:val="600"/>
          <w:jc w:val="center"/>
        </w:trPr>
        <w:tc>
          <w:tcPr>
            <w:tcW w:w="3827" w:type="pct"/>
            <w:shd w:val="clear" w:color="auto" w:fill="auto"/>
            <w:vAlign w:val="center"/>
            <w:hideMark/>
          </w:tcPr>
          <w:p w14:paraId="74027E0F"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 xml:space="preserve">Accuracy Enhanced Lung Cancer Prognosis for Improving </w:t>
            </w:r>
            <w:r w:rsidRPr="008963F2">
              <w:rPr>
                <w:rFonts w:ascii="Calibri" w:eastAsia="Times New Roman" w:hAnsi="Calibri" w:cs="Calibri"/>
                <w:color w:val="000000"/>
                <w:lang w:eastAsia="en-GB"/>
              </w:rPr>
              <w:t>Patient Survivability</w:t>
            </w:r>
            <w:r w:rsidRPr="00990F39">
              <w:rPr>
                <w:rFonts w:ascii="Calibri" w:eastAsia="Times New Roman" w:hAnsi="Calibri" w:cs="Calibri"/>
                <w:color w:val="000000"/>
                <w:lang w:eastAsia="en-GB"/>
              </w:rPr>
              <w:t xml:space="preserve"> Using Proposed Gaussian Classifier System</w:t>
            </w:r>
            <w:r w:rsidRPr="008963F2">
              <w:rPr>
                <w:rFonts w:ascii="Calibri" w:eastAsia="Times New Roman" w:hAnsi="Calibri" w:cs="Calibri"/>
                <w:color w:val="000000"/>
                <w:lang w:eastAsia="en-GB"/>
              </w:rPr>
              <w:t xml:space="preserve"> </w:t>
            </w:r>
            <w:r w:rsidRPr="008963F2">
              <w:rPr>
                <w:rFonts w:ascii="Calibri" w:hAnsi="Calibri" w:cs="Calibri"/>
              </w:rPr>
              <w:t>[1]</w:t>
            </w:r>
          </w:p>
        </w:tc>
        <w:tc>
          <w:tcPr>
            <w:tcW w:w="1173" w:type="pct"/>
            <w:noWrap/>
            <w:vAlign w:val="center"/>
            <w:hideMark/>
          </w:tcPr>
          <w:p w14:paraId="1EAAF9F7"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58EBBA20" w14:textId="77777777" w:rsidTr="00D729CC">
        <w:trPr>
          <w:trHeight w:val="600"/>
          <w:jc w:val="center"/>
        </w:trPr>
        <w:tc>
          <w:tcPr>
            <w:tcW w:w="3827" w:type="pct"/>
            <w:shd w:val="clear" w:color="auto" w:fill="auto"/>
            <w:vAlign w:val="center"/>
            <w:hideMark/>
          </w:tcPr>
          <w:p w14:paraId="74595A1E"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Analysis of survival for lung cancer resections cases with fuzzy and soft set theory in surgical decision making</w:t>
            </w:r>
            <w:r w:rsidRPr="008963F2">
              <w:rPr>
                <w:rFonts w:ascii="Calibri" w:eastAsia="Times New Roman" w:hAnsi="Calibri" w:cs="Calibri"/>
                <w:color w:val="000000"/>
                <w:lang w:eastAsia="en-GB"/>
              </w:rPr>
              <w:t xml:space="preserve"> </w:t>
            </w:r>
            <w:r w:rsidRPr="008963F2">
              <w:rPr>
                <w:rFonts w:ascii="Calibri" w:hAnsi="Calibri" w:cs="Calibri"/>
              </w:rPr>
              <w:t>[2]</w:t>
            </w:r>
          </w:p>
        </w:tc>
        <w:tc>
          <w:tcPr>
            <w:tcW w:w="1173" w:type="pct"/>
            <w:noWrap/>
            <w:vAlign w:val="center"/>
            <w:hideMark/>
          </w:tcPr>
          <w:p w14:paraId="22E32FC1"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F6FFD2E" w14:textId="77777777" w:rsidTr="00D729CC">
        <w:trPr>
          <w:trHeight w:val="600"/>
          <w:jc w:val="center"/>
        </w:trPr>
        <w:tc>
          <w:tcPr>
            <w:tcW w:w="3827" w:type="pct"/>
            <w:shd w:val="clear" w:color="auto" w:fill="auto"/>
            <w:vAlign w:val="center"/>
            <w:hideMark/>
          </w:tcPr>
          <w:p w14:paraId="6650475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Application of machine learning techniques to analyze anastomosis integrity after Total gastrectomy for prediction of clinical leakage</w:t>
            </w:r>
            <w:r w:rsidRPr="008963F2">
              <w:rPr>
                <w:rFonts w:ascii="Calibri" w:eastAsia="Times New Roman" w:hAnsi="Calibri" w:cs="Calibri"/>
                <w:color w:val="000000"/>
                <w:lang w:eastAsia="en-GB"/>
              </w:rPr>
              <w:t xml:space="preserve"> </w:t>
            </w:r>
            <w:r w:rsidRPr="008963F2">
              <w:rPr>
                <w:rFonts w:ascii="Calibri" w:hAnsi="Calibri" w:cs="Calibri"/>
              </w:rPr>
              <w:t>[3]</w:t>
            </w:r>
          </w:p>
        </w:tc>
        <w:tc>
          <w:tcPr>
            <w:tcW w:w="1173" w:type="pct"/>
            <w:noWrap/>
            <w:vAlign w:val="center"/>
            <w:hideMark/>
          </w:tcPr>
          <w:p w14:paraId="30CE11F3"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4173897" w14:textId="77777777" w:rsidTr="00D729CC">
        <w:trPr>
          <w:trHeight w:val="600"/>
          <w:jc w:val="center"/>
        </w:trPr>
        <w:tc>
          <w:tcPr>
            <w:tcW w:w="3827" w:type="pct"/>
            <w:shd w:val="clear" w:color="auto" w:fill="auto"/>
            <w:vAlign w:val="center"/>
            <w:hideMark/>
          </w:tcPr>
          <w:p w14:paraId="3650C12D"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Artificial neural network models to predict nodal status in clinically node-negative breast cancer</w:t>
            </w:r>
            <w:r>
              <w:rPr>
                <w:rFonts w:ascii="Calibri" w:eastAsia="Times New Roman" w:hAnsi="Calibri" w:cs="Calibri"/>
                <w:color w:val="000000"/>
                <w:lang w:eastAsia="en-GB"/>
              </w:rPr>
              <w:t xml:space="preserve"> </w:t>
            </w:r>
            <w:r w:rsidRPr="008963F2">
              <w:rPr>
                <w:rFonts w:ascii="Calibri" w:hAnsi="Calibri" w:cs="Calibri"/>
              </w:rPr>
              <w:t>[4]</w:t>
            </w:r>
          </w:p>
        </w:tc>
        <w:tc>
          <w:tcPr>
            <w:tcW w:w="1173" w:type="pct"/>
            <w:noWrap/>
            <w:vAlign w:val="center"/>
            <w:hideMark/>
          </w:tcPr>
          <w:p w14:paraId="530FB1BD"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C55069C" w14:textId="77777777" w:rsidTr="00D729CC">
        <w:trPr>
          <w:trHeight w:val="900"/>
          <w:jc w:val="center"/>
        </w:trPr>
        <w:tc>
          <w:tcPr>
            <w:tcW w:w="3827" w:type="pct"/>
            <w:shd w:val="clear" w:color="auto" w:fill="auto"/>
            <w:vAlign w:val="center"/>
            <w:hideMark/>
          </w:tcPr>
          <w:p w14:paraId="39E2DC36"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askMUSIC: Leveraging a Clinical Registry to Develop a New Machine Learning Model to Inform Patients of Prostate Cancer Treatments Chosen by Similar Men</w:t>
            </w:r>
            <w:r>
              <w:rPr>
                <w:rFonts w:ascii="Calibri" w:eastAsia="Times New Roman" w:hAnsi="Calibri" w:cs="Calibri"/>
                <w:color w:val="000000"/>
                <w:lang w:eastAsia="en-GB"/>
              </w:rPr>
              <w:t xml:space="preserve"> </w:t>
            </w:r>
            <w:r w:rsidRPr="008963F2">
              <w:rPr>
                <w:rFonts w:ascii="Calibri" w:hAnsi="Calibri" w:cs="Calibri"/>
              </w:rPr>
              <w:t>[5]</w:t>
            </w:r>
          </w:p>
        </w:tc>
        <w:tc>
          <w:tcPr>
            <w:tcW w:w="1173" w:type="pct"/>
            <w:noWrap/>
            <w:vAlign w:val="center"/>
            <w:hideMark/>
          </w:tcPr>
          <w:p w14:paraId="4F26D810"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680AD8D" w14:textId="77777777" w:rsidTr="00D729CC">
        <w:trPr>
          <w:trHeight w:val="900"/>
          <w:jc w:val="center"/>
        </w:trPr>
        <w:tc>
          <w:tcPr>
            <w:tcW w:w="3827" w:type="pct"/>
            <w:shd w:val="clear" w:color="auto" w:fill="auto"/>
            <w:vAlign w:val="center"/>
            <w:hideMark/>
          </w:tcPr>
          <w:p w14:paraId="54EB684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Assessment of Deep Learning Using Nonimaging Information and Sequential Medical Records to Develop a Prediction Model for Nonmelanoma Skin Cancer</w:t>
            </w:r>
            <w:r>
              <w:rPr>
                <w:rFonts w:ascii="Calibri" w:eastAsia="Times New Roman" w:hAnsi="Calibri" w:cs="Calibri"/>
                <w:color w:val="000000"/>
                <w:lang w:eastAsia="en-GB"/>
              </w:rPr>
              <w:t xml:space="preserve"> </w:t>
            </w:r>
            <w:r w:rsidRPr="008963F2">
              <w:rPr>
                <w:rFonts w:ascii="Calibri" w:hAnsi="Calibri" w:cs="Calibri"/>
              </w:rPr>
              <w:t>[6]</w:t>
            </w:r>
          </w:p>
        </w:tc>
        <w:tc>
          <w:tcPr>
            <w:tcW w:w="1173" w:type="pct"/>
            <w:noWrap/>
            <w:vAlign w:val="center"/>
            <w:hideMark/>
          </w:tcPr>
          <w:p w14:paraId="660C9BA6"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51D12662" w14:textId="77777777" w:rsidTr="00D729CC">
        <w:trPr>
          <w:trHeight w:val="600"/>
          <w:jc w:val="center"/>
        </w:trPr>
        <w:tc>
          <w:tcPr>
            <w:tcW w:w="3827" w:type="pct"/>
            <w:shd w:val="clear" w:color="auto" w:fill="auto"/>
            <w:vAlign w:val="center"/>
            <w:hideMark/>
          </w:tcPr>
          <w:p w14:paraId="318ED08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Automated data extraction and ensemble methods for predictive modeling of breast cancer outcomes after radiation therapy</w:t>
            </w:r>
            <w:r>
              <w:rPr>
                <w:rFonts w:ascii="Calibri" w:eastAsia="Times New Roman" w:hAnsi="Calibri" w:cs="Calibri"/>
                <w:color w:val="000000"/>
                <w:lang w:eastAsia="en-GB"/>
              </w:rPr>
              <w:t xml:space="preserve"> </w:t>
            </w:r>
            <w:r w:rsidRPr="00640D3B">
              <w:rPr>
                <w:rFonts w:ascii="Calibri" w:hAnsi="Calibri" w:cs="Calibri"/>
              </w:rPr>
              <w:t>[7]</w:t>
            </w:r>
          </w:p>
        </w:tc>
        <w:tc>
          <w:tcPr>
            <w:tcW w:w="1173" w:type="pct"/>
            <w:noWrap/>
            <w:vAlign w:val="center"/>
            <w:hideMark/>
          </w:tcPr>
          <w:p w14:paraId="4EE32190"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51841389" w14:textId="77777777" w:rsidTr="00D729CC">
        <w:trPr>
          <w:trHeight w:val="300"/>
          <w:jc w:val="center"/>
        </w:trPr>
        <w:tc>
          <w:tcPr>
            <w:tcW w:w="3827" w:type="pct"/>
            <w:shd w:val="clear" w:color="auto" w:fill="auto"/>
            <w:vAlign w:val="center"/>
            <w:hideMark/>
          </w:tcPr>
          <w:p w14:paraId="5FBA557E"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Can machine learning predict resecability of a peritoneal carcinomatosis?</w:t>
            </w:r>
            <w:r>
              <w:rPr>
                <w:rFonts w:ascii="Calibri" w:eastAsia="Times New Roman" w:hAnsi="Calibri" w:cs="Calibri"/>
                <w:color w:val="000000"/>
                <w:lang w:eastAsia="en-GB"/>
              </w:rPr>
              <w:t xml:space="preserve"> </w:t>
            </w:r>
            <w:r w:rsidRPr="00640D3B">
              <w:rPr>
                <w:rFonts w:ascii="Calibri" w:hAnsi="Calibri" w:cs="Calibri"/>
              </w:rPr>
              <w:t>[8]</w:t>
            </w:r>
          </w:p>
        </w:tc>
        <w:tc>
          <w:tcPr>
            <w:tcW w:w="1173" w:type="pct"/>
            <w:noWrap/>
            <w:vAlign w:val="center"/>
            <w:hideMark/>
          </w:tcPr>
          <w:p w14:paraId="0A6E9F17"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71DA8AC" w14:textId="77777777" w:rsidTr="00D729CC">
        <w:trPr>
          <w:trHeight w:val="600"/>
          <w:jc w:val="center"/>
        </w:trPr>
        <w:tc>
          <w:tcPr>
            <w:tcW w:w="3827" w:type="pct"/>
            <w:shd w:val="clear" w:color="auto" w:fill="auto"/>
            <w:vAlign w:val="center"/>
            <w:hideMark/>
          </w:tcPr>
          <w:p w14:paraId="52EE495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Characteristics and long-term outcomes of advanced pleural mesothelioma in Latin America (MeSO-CLICaP)</w:t>
            </w:r>
            <w:r>
              <w:rPr>
                <w:rFonts w:ascii="Calibri" w:eastAsia="Times New Roman" w:hAnsi="Calibri" w:cs="Calibri"/>
                <w:color w:val="000000"/>
                <w:lang w:eastAsia="en-GB"/>
              </w:rPr>
              <w:t xml:space="preserve"> </w:t>
            </w:r>
            <w:r w:rsidRPr="00640D3B">
              <w:rPr>
                <w:rFonts w:ascii="Calibri" w:hAnsi="Calibri" w:cs="Calibri"/>
              </w:rPr>
              <w:t>[9]</w:t>
            </w:r>
          </w:p>
        </w:tc>
        <w:tc>
          <w:tcPr>
            <w:tcW w:w="1173" w:type="pct"/>
            <w:noWrap/>
            <w:vAlign w:val="center"/>
            <w:hideMark/>
          </w:tcPr>
          <w:p w14:paraId="1A81190E"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8810782" w14:textId="77777777" w:rsidTr="00D729CC">
        <w:trPr>
          <w:trHeight w:val="600"/>
          <w:jc w:val="center"/>
        </w:trPr>
        <w:tc>
          <w:tcPr>
            <w:tcW w:w="3827" w:type="pct"/>
            <w:shd w:val="clear" w:color="auto" w:fill="auto"/>
            <w:vAlign w:val="center"/>
            <w:hideMark/>
          </w:tcPr>
          <w:p w14:paraId="77DCC3BE"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Clinical characteristics and disease specific prognostic nomogram  for primary gliosarcoma: a SEER  population-based analysis</w:t>
            </w:r>
            <w:r>
              <w:rPr>
                <w:rFonts w:ascii="Calibri" w:eastAsia="Times New Roman" w:hAnsi="Calibri" w:cs="Calibri"/>
                <w:color w:val="000000"/>
                <w:lang w:eastAsia="en-GB"/>
              </w:rPr>
              <w:t xml:space="preserve"> </w:t>
            </w:r>
            <w:r w:rsidRPr="00640D3B">
              <w:rPr>
                <w:rFonts w:ascii="Calibri" w:hAnsi="Calibri" w:cs="Calibri"/>
              </w:rPr>
              <w:t>[10]</w:t>
            </w:r>
          </w:p>
        </w:tc>
        <w:tc>
          <w:tcPr>
            <w:tcW w:w="1173" w:type="pct"/>
            <w:noWrap/>
            <w:vAlign w:val="center"/>
            <w:hideMark/>
          </w:tcPr>
          <w:p w14:paraId="6B4E5A7D"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1285AA71" w14:textId="77777777" w:rsidTr="00D729CC">
        <w:trPr>
          <w:trHeight w:val="600"/>
          <w:jc w:val="center"/>
        </w:trPr>
        <w:tc>
          <w:tcPr>
            <w:tcW w:w="3827" w:type="pct"/>
            <w:shd w:val="clear" w:color="auto" w:fill="auto"/>
            <w:vAlign w:val="center"/>
            <w:hideMark/>
          </w:tcPr>
          <w:p w14:paraId="3909E862"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Creating Prognostic Systems for Well-Differentiated Thyroid Cancer Using Machine Learning</w:t>
            </w:r>
            <w:r>
              <w:rPr>
                <w:rFonts w:ascii="Calibri" w:eastAsia="Times New Roman" w:hAnsi="Calibri" w:cs="Calibri"/>
                <w:color w:val="000000"/>
                <w:lang w:eastAsia="en-GB"/>
              </w:rPr>
              <w:t xml:space="preserve"> </w:t>
            </w:r>
            <w:r w:rsidRPr="00640D3B">
              <w:rPr>
                <w:rFonts w:ascii="Calibri" w:hAnsi="Calibri" w:cs="Calibri"/>
              </w:rPr>
              <w:t>[11]</w:t>
            </w:r>
          </w:p>
        </w:tc>
        <w:tc>
          <w:tcPr>
            <w:tcW w:w="1173" w:type="pct"/>
            <w:noWrap/>
            <w:vAlign w:val="center"/>
            <w:hideMark/>
          </w:tcPr>
          <w:p w14:paraId="4C24CF7E"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130C843" w14:textId="77777777" w:rsidTr="00D729CC">
        <w:trPr>
          <w:trHeight w:val="300"/>
          <w:jc w:val="center"/>
        </w:trPr>
        <w:tc>
          <w:tcPr>
            <w:tcW w:w="3827" w:type="pct"/>
            <w:shd w:val="clear" w:color="auto" w:fill="auto"/>
            <w:vAlign w:val="center"/>
            <w:hideMark/>
          </w:tcPr>
          <w:p w14:paraId="2CE8758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Deep learning-based survival  prediction of oral cancer patients</w:t>
            </w:r>
            <w:r>
              <w:rPr>
                <w:rFonts w:ascii="Calibri" w:eastAsia="Times New Roman" w:hAnsi="Calibri" w:cs="Calibri"/>
                <w:color w:val="000000"/>
                <w:lang w:eastAsia="en-GB"/>
              </w:rPr>
              <w:t xml:space="preserve"> </w:t>
            </w:r>
            <w:r w:rsidRPr="00640D3B">
              <w:rPr>
                <w:rFonts w:ascii="Calibri" w:hAnsi="Calibri" w:cs="Calibri"/>
              </w:rPr>
              <w:t>[12]</w:t>
            </w:r>
          </w:p>
        </w:tc>
        <w:tc>
          <w:tcPr>
            <w:tcW w:w="1173" w:type="pct"/>
            <w:noWrap/>
            <w:vAlign w:val="center"/>
            <w:hideMark/>
          </w:tcPr>
          <w:p w14:paraId="6CF1E35B"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316C6B07" w14:textId="77777777" w:rsidTr="00D729CC">
        <w:trPr>
          <w:trHeight w:val="600"/>
          <w:jc w:val="center"/>
        </w:trPr>
        <w:tc>
          <w:tcPr>
            <w:tcW w:w="3827" w:type="pct"/>
            <w:shd w:val="clear" w:color="auto" w:fill="auto"/>
            <w:vAlign w:val="center"/>
            <w:hideMark/>
          </w:tcPr>
          <w:p w14:paraId="277FAAAD"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Deep stacked sparse auto-encoders for prediction of postoperative survival expectancy in thoracic lung cancer surgery</w:t>
            </w:r>
            <w:r>
              <w:rPr>
                <w:rFonts w:ascii="Calibri" w:eastAsia="Times New Roman" w:hAnsi="Calibri" w:cs="Calibri"/>
                <w:color w:val="000000"/>
                <w:lang w:eastAsia="en-GB"/>
              </w:rPr>
              <w:t xml:space="preserve"> </w:t>
            </w:r>
            <w:r w:rsidRPr="00640D3B">
              <w:rPr>
                <w:rFonts w:ascii="Calibri" w:hAnsi="Calibri" w:cs="Calibri"/>
              </w:rPr>
              <w:t>[13]</w:t>
            </w:r>
          </w:p>
        </w:tc>
        <w:tc>
          <w:tcPr>
            <w:tcW w:w="1173" w:type="pct"/>
            <w:noWrap/>
            <w:vAlign w:val="center"/>
            <w:hideMark/>
          </w:tcPr>
          <w:p w14:paraId="67C37DB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3E94CAE2" w14:textId="77777777" w:rsidTr="00D729CC">
        <w:trPr>
          <w:trHeight w:val="600"/>
          <w:jc w:val="center"/>
        </w:trPr>
        <w:tc>
          <w:tcPr>
            <w:tcW w:w="3827" w:type="pct"/>
            <w:shd w:val="clear" w:color="auto" w:fill="auto"/>
            <w:vAlign w:val="center"/>
            <w:hideMark/>
          </w:tcPr>
          <w:p w14:paraId="2752A970"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Developing case-finding algorithms for second events of oropharyngeal cancer using administrative data: A population-based validation study</w:t>
            </w:r>
            <w:r>
              <w:rPr>
                <w:rFonts w:ascii="Calibri" w:eastAsia="Times New Roman" w:hAnsi="Calibri" w:cs="Calibri"/>
                <w:color w:val="000000"/>
                <w:lang w:eastAsia="en-GB"/>
              </w:rPr>
              <w:t xml:space="preserve"> </w:t>
            </w:r>
            <w:r w:rsidRPr="00640D3B">
              <w:rPr>
                <w:rFonts w:ascii="Calibri" w:hAnsi="Calibri" w:cs="Calibri"/>
              </w:rPr>
              <w:t>[14]</w:t>
            </w:r>
          </w:p>
        </w:tc>
        <w:tc>
          <w:tcPr>
            <w:tcW w:w="1173" w:type="pct"/>
            <w:noWrap/>
            <w:vAlign w:val="center"/>
            <w:hideMark/>
          </w:tcPr>
          <w:p w14:paraId="293AE283"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3CF8800" w14:textId="77777777" w:rsidTr="00D729CC">
        <w:trPr>
          <w:trHeight w:val="600"/>
          <w:jc w:val="center"/>
        </w:trPr>
        <w:tc>
          <w:tcPr>
            <w:tcW w:w="3827" w:type="pct"/>
            <w:shd w:val="clear" w:color="auto" w:fill="auto"/>
            <w:vAlign w:val="center"/>
            <w:hideMark/>
          </w:tcPr>
          <w:p w14:paraId="6D381511"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 Assessment of a Machine Learning Model to Help Predict Survival Among Patients With Oral Squamous Cell Carcinoma</w:t>
            </w:r>
            <w:r>
              <w:rPr>
                <w:rFonts w:ascii="Calibri" w:eastAsia="Times New Roman" w:hAnsi="Calibri" w:cs="Calibri"/>
                <w:color w:val="000000"/>
                <w:lang w:eastAsia="en-GB"/>
              </w:rPr>
              <w:t xml:space="preserve"> </w:t>
            </w:r>
            <w:r w:rsidRPr="00640D3B">
              <w:rPr>
                <w:rFonts w:ascii="Calibri" w:hAnsi="Calibri" w:cs="Calibri"/>
              </w:rPr>
              <w:t>[15]</w:t>
            </w:r>
            <w:r>
              <w:rPr>
                <w:rFonts w:ascii="Calibri" w:eastAsia="Times New Roman" w:hAnsi="Calibri" w:cs="Calibri"/>
                <w:color w:val="000000"/>
                <w:lang w:eastAsia="en-GB"/>
              </w:rPr>
              <w:t xml:space="preserve"> </w:t>
            </w:r>
          </w:p>
        </w:tc>
        <w:tc>
          <w:tcPr>
            <w:tcW w:w="1173" w:type="pct"/>
            <w:noWrap/>
            <w:vAlign w:val="center"/>
            <w:hideMark/>
          </w:tcPr>
          <w:p w14:paraId="1B8D2CA2"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A7CC7D2" w14:textId="77777777" w:rsidTr="00D729CC">
        <w:trPr>
          <w:trHeight w:val="600"/>
          <w:jc w:val="center"/>
        </w:trPr>
        <w:tc>
          <w:tcPr>
            <w:tcW w:w="3827" w:type="pct"/>
            <w:shd w:val="clear" w:color="auto" w:fill="auto"/>
            <w:vAlign w:val="center"/>
            <w:hideMark/>
          </w:tcPr>
          <w:p w14:paraId="6BA12E5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 validation of case-finding algorithms for recurrence of breast cancer using routinely collected administrative data</w:t>
            </w:r>
            <w:r>
              <w:rPr>
                <w:rFonts w:ascii="Calibri" w:eastAsia="Times New Roman" w:hAnsi="Calibri" w:cs="Calibri"/>
                <w:color w:val="000000"/>
                <w:lang w:eastAsia="en-GB"/>
              </w:rPr>
              <w:t xml:space="preserve"> </w:t>
            </w:r>
            <w:r w:rsidRPr="00640D3B">
              <w:rPr>
                <w:rFonts w:ascii="Calibri" w:hAnsi="Calibri" w:cs="Calibri"/>
              </w:rPr>
              <w:t>[16]</w:t>
            </w:r>
          </w:p>
        </w:tc>
        <w:tc>
          <w:tcPr>
            <w:tcW w:w="1173" w:type="pct"/>
            <w:noWrap/>
            <w:vAlign w:val="center"/>
            <w:hideMark/>
          </w:tcPr>
          <w:p w14:paraId="217C4867"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0DCD2DA" w14:textId="77777777" w:rsidTr="00D729CC">
        <w:trPr>
          <w:trHeight w:val="600"/>
          <w:jc w:val="center"/>
        </w:trPr>
        <w:tc>
          <w:tcPr>
            <w:tcW w:w="3827" w:type="pct"/>
            <w:shd w:val="clear" w:color="auto" w:fill="auto"/>
            <w:vAlign w:val="center"/>
            <w:hideMark/>
          </w:tcPr>
          <w:p w14:paraId="500AA811"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of a Novel Prognostic Risk Score for Predicting Complications of Penectomy in the Surgical Management of Penile Cancer</w:t>
            </w:r>
            <w:r>
              <w:rPr>
                <w:rFonts w:ascii="Calibri" w:eastAsia="Times New Roman" w:hAnsi="Calibri" w:cs="Calibri"/>
                <w:color w:val="000000"/>
                <w:lang w:eastAsia="en-GB"/>
              </w:rPr>
              <w:t xml:space="preserve"> </w:t>
            </w:r>
            <w:r w:rsidRPr="00640D3B">
              <w:rPr>
                <w:rFonts w:ascii="Calibri" w:hAnsi="Calibri" w:cs="Calibri"/>
              </w:rPr>
              <w:t>[17]</w:t>
            </w:r>
          </w:p>
        </w:tc>
        <w:tc>
          <w:tcPr>
            <w:tcW w:w="1173" w:type="pct"/>
            <w:noWrap/>
            <w:vAlign w:val="center"/>
            <w:hideMark/>
          </w:tcPr>
          <w:p w14:paraId="43DE79C7"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59BCDEE2" w14:textId="77777777" w:rsidTr="00D729CC">
        <w:trPr>
          <w:trHeight w:val="600"/>
          <w:jc w:val="center"/>
        </w:trPr>
        <w:tc>
          <w:tcPr>
            <w:tcW w:w="3827" w:type="pct"/>
            <w:shd w:val="clear" w:color="auto" w:fill="auto"/>
            <w:vAlign w:val="center"/>
            <w:hideMark/>
          </w:tcPr>
          <w:p w14:paraId="5291B183"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of Deep Learning Algorithm for Detection of Colorectal Cancer in EHR Data</w:t>
            </w:r>
            <w:r>
              <w:rPr>
                <w:rFonts w:ascii="Calibri" w:eastAsia="Times New Roman" w:hAnsi="Calibri" w:cs="Calibri"/>
                <w:color w:val="000000"/>
                <w:lang w:eastAsia="en-GB"/>
              </w:rPr>
              <w:t xml:space="preserve"> </w:t>
            </w:r>
            <w:r w:rsidRPr="00640D3B">
              <w:rPr>
                <w:rFonts w:ascii="Calibri" w:hAnsi="Calibri" w:cs="Calibri"/>
              </w:rPr>
              <w:t>[18]</w:t>
            </w:r>
          </w:p>
        </w:tc>
        <w:tc>
          <w:tcPr>
            <w:tcW w:w="1173" w:type="pct"/>
            <w:noWrap/>
            <w:vAlign w:val="center"/>
            <w:hideMark/>
          </w:tcPr>
          <w:p w14:paraId="3A53D0E5"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0E29CC85" w14:textId="77777777" w:rsidTr="00D729CC">
        <w:trPr>
          <w:trHeight w:val="600"/>
          <w:jc w:val="center"/>
        </w:trPr>
        <w:tc>
          <w:tcPr>
            <w:tcW w:w="3827" w:type="pct"/>
            <w:shd w:val="clear" w:color="auto" w:fill="auto"/>
            <w:vAlign w:val="center"/>
            <w:hideMark/>
          </w:tcPr>
          <w:p w14:paraId="3DBF7CA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of Machine Learning Algorithms for Prediction of 30-Day Mortality After Surgery for Spinal Metastasis</w:t>
            </w:r>
            <w:r>
              <w:rPr>
                <w:rFonts w:ascii="Calibri" w:eastAsia="Times New Roman" w:hAnsi="Calibri" w:cs="Calibri"/>
                <w:color w:val="000000"/>
                <w:lang w:eastAsia="en-GB"/>
              </w:rPr>
              <w:t xml:space="preserve"> </w:t>
            </w:r>
            <w:r w:rsidRPr="00640D3B">
              <w:rPr>
                <w:rFonts w:ascii="Calibri" w:hAnsi="Calibri" w:cs="Calibri"/>
              </w:rPr>
              <w:t>[19]</w:t>
            </w:r>
          </w:p>
        </w:tc>
        <w:tc>
          <w:tcPr>
            <w:tcW w:w="1173" w:type="pct"/>
            <w:noWrap/>
            <w:vAlign w:val="center"/>
            <w:hideMark/>
          </w:tcPr>
          <w:p w14:paraId="761E4332"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064D0787" w14:textId="77777777" w:rsidTr="00D729CC">
        <w:trPr>
          <w:trHeight w:val="600"/>
          <w:jc w:val="center"/>
        </w:trPr>
        <w:tc>
          <w:tcPr>
            <w:tcW w:w="3827" w:type="pct"/>
            <w:vAlign w:val="center"/>
            <w:hideMark/>
          </w:tcPr>
          <w:p w14:paraId="7497C49C"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Extent of Resection in Meningioma:  Predictive Factors and Clinical Implications</w:t>
            </w:r>
            <w:r>
              <w:rPr>
                <w:rFonts w:ascii="Calibri" w:eastAsia="Times New Roman" w:hAnsi="Calibri" w:cs="Calibri"/>
                <w:color w:val="000000"/>
                <w:lang w:eastAsia="en-GB"/>
              </w:rPr>
              <w:t xml:space="preserve"> </w:t>
            </w:r>
            <w:r w:rsidRPr="004E2269">
              <w:rPr>
                <w:rFonts w:ascii="Calibri" w:hAnsi="Calibri" w:cs="Calibri"/>
              </w:rPr>
              <w:t>[20]</w:t>
            </w:r>
          </w:p>
        </w:tc>
        <w:tc>
          <w:tcPr>
            <w:tcW w:w="1173" w:type="pct"/>
            <w:noWrap/>
            <w:vAlign w:val="center"/>
            <w:hideMark/>
          </w:tcPr>
          <w:p w14:paraId="7D5E91A6"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58A22D8" w14:textId="77777777" w:rsidTr="00D729CC">
        <w:trPr>
          <w:trHeight w:val="600"/>
          <w:jc w:val="center"/>
        </w:trPr>
        <w:tc>
          <w:tcPr>
            <w:tcW w:w="3827" w:type="pct"/>
            <w:vAlign w:val="center"/>
            <w:hideMark/>
          </w:tcPr>
          <w:p w14:paraId="54268B20"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Gait speed and survival of older surgical patient with cancer: Prediction after machine learning</w:t>
            </w:r>
            <w:r>
              <w:rPr>
                <w:rFonts w:ascii="Calibri" w:eastAsia="Times New Roman" w:hAnsi="Calibri" w:cs="Calibri"/>
                <w:color w:val="000000"/>
                <w:lang w:eastAsia="en-GB"/>
              </w:rPr>
              <w:t xml:space="preserve"> </w:t>
            </w:r>
            <w:r w:rsidRPr="004E2269">
              <w:rPr>
                <w:rFonts w:ascii="Calibri" w:hAnsi="Calibri" w:cs="Calibri"/>
              </w:rPr>
              <w:t>[21]</w:t>
            </w:r>
          </w:p>
        </w:tc>
        <w:tc>
          <w:tcPr>
            <w:tcW w:w="1173" w:type="pct"/>
            <w:noWrap/>
            <w:vAlign w:val="center"/>
            <w:hideMark/>
          </w:tcPr>
          <w:p w14:paraId="65B43698"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408C106" w14:textId="77777777" w:rsidTr="00D729CC">
        <w:trPr>
          <w:trHeight w:val="900"/>
          <w:jc w:val="center"/>
        </w:trPr>
        <w:tc>
          <w:tcPr>
            <w:tcW w:w="3827" w:type="pct"/>
            <w:vAlign w:val="center"/>
            <w:hideMark/>
          </w:tcPr>
          <w:p w14:paraId="4F67BAFE"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Machine Learning Algorithm Identifies Patients at High Risk for Early Complications After Intracranial Tumor Surgery: Registry-Based Cohort Study</w:t>
            </w:r>
            <w:r>
              <w:rPr>
                <w:rFonts w:ascii="Calibri" w:eastAsia="Times New Roman" w:hAnsi="Calibri" w:cs="Calibri"/>
                <w:color w:val="000000"/>
                <w:lang w:eastAsia="en-GB"/>
              </w:rPr>
              <w:t xml:space="preserve"> </w:t>
            </w:r>
            <w:r w:rsidRPr="004E2269">
              <w:rPr>
                <w:rFonts w:ascii="Calibri" w:hAnsi="Calibri" w:cs="Calibri"/>
              </w:rPr>
              <w:t>[22]</w:t>
            </w:r>
          </w:p>
        </w:tc>
        <w:tc>
          <w:tcPr>
            <w:tcW w:w="1173" w:type="pct"/>
            <w:noWrap/>
            <w:vAlign w:val="center"/>
            <w:hideMark/>
          </w:tcPr>
          <w:p w14:paraId="597D8C4C"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4E7ED871" w14:textId="77777777" w:rsidTr="00D729CC">
        <w:trPr>
          <w:trHeight w:val="600"/>
          <w:jc w:val="center"/>
        </w:trPr>
        <w:tc>
          <w:tcPr>
            <w:tcW w:w="3827" w:type="pct"/>
            <w:vAlign w:val="center"/>
            <w:hideMark/>
          </w:tcPr>
          <w:p w14:paraId="0EE1FBF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Machine learning methods applied to audit of surgical outcomes after treatment for cancer of the head and neck</w:t>
            </w:r>
            <w:r>
              <w:rPr>
                <w:rFonts w:ascii="Calibri" w:eastAsia="Times New Roman" w:hAnsi="Calibri" w:cs="Calibri"/>
                <w:color w:val="000000"/>
                <w:lang w:eastAsia="en-GB"/>
              </w:rPr>
              <w:t xml:space="preserve"> </w:t>
            </w:r>
            <w:r w:rsidRPr="004E2269">
              <w:rPr>
                <w:rFonts w:ascii="Calibri" w:hAnsi="Calibri" w:cs="Calibri"/>
              </w:rPr>
              <w:t>[23]</w:t>
            </w:r>
          </w:p>
        </w:tc>
        <w:tc>
          <w:tcPr>
            <w:tcW w:w="1173" w:type="pct"/>
            <w:noWrap/>
            <w:vAlign w:val="center"/>
            <w:hideMark/>
          </w:tcPr>
          <w:p w14:paraId="0E8C0514"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D78B2EE" w14:textId="77777777" w:rsidTr="00D729CC">
        <w:trPr>
          <w:trHeight w:val="600"/>
          <w:jc w:val="center"/>
        </w:trPr>
        <w:tc>
          <w:tcPr>
            <w:tcW w:w="3827" w:type="pct"/>
            <w:vAlign w:val="center"/>
            <w:hideMark/>
          </w:tcPr>
          <w:p w14:paraId="7342362C"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Machine Learning to Predict Delays in Adjuvant Radiation following Surgery for Head and Neck Cancer</w:t>
            </w:r>
            <w:r>
              <w:rPr>
                <w:rFonts w:ascii="Calibri" w:eastAsia="Times New Roman" w:hAnsi="Calibri" w:cs="Calibri"/>
                <w:color w:val="000000"/>
                <w:lang w:eastAsia="en-GB"/>
              </w:rPr>
              <w:t xml:space="preserve"> </w:t>
            </w:r>
            <w:r w:rsidRPr="004E2269">
              <w:rPr>
                <w:rFonts w:ascii="Calibri" w:hAnsi="Calibri" w:cs="Calibri"/>
              </w:rPr>
              <w:t>[24]</w:t>
            </w:r>
          </w:p>
        </w:tc>
        <w:tc>
          <w:tcPr>
            <w:tcW w:w="1173" w:type="pct"/>
            <w:noWrap/>
            <w:vAlign w:val="center"/>
            <w:hideMark/>
          </w:tcPr>
          <w:p w14:paraId="4E252EFE"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110A8704" w14:textId="77777777" w:rsidTr="00D729CC">
        <w:trPr>
          <w:trHeight w:val="600"/>
          <w:jc w:val="center"/>
        </w:trPr>
        <w:tc>
          <w:tcPr>
            <w:tcW w:w="3827" w:type="pct"/>
            <w:vAlign w:val="center"/>
            <w:hideMark/>
          </w:tcPr>
          <w:p w14:paraId="0A7520F7"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 machine-learning</w:t>
            </w:r>
            <w:r>
              <w:rPr>
                <w:rFonts w:ascii="Calibri" w:eastAsia="Times New Roman" w:hAnsi="Calibri" w:cs="Calibri"/>
                <w:color w:val="000000"/>
                <w:lang w:eastAsia="en-GB"/>
              </w:rPr>
              <w:t xml:space="preserve"> </w:t>
            </w:r>
            <w:r w:rsidRPr="00990F39">
              <w:rPr>
                <w:rFonts w:ascii="Calibri" w:eastAsia="Times New Roman" w:hAnsi="Calibri" w:cs="Calibri"/>
                <w:color w:val="000000"/>
                <w:lang w:eastAsia="en-GB"/>
              </w:rPr>
              <w:t>based prediction model of fistula formation after interstitial brachytherapy for locally advanced gynecological malignancies</w:t>
            </w:r>
            <w:r>
              <w:rPr>
                <w:rFonts w:ascii="Calibri" w:eastAsia="Times New Roman" w:hAnsi="Calibri" w:cs="Calibri"/>
                <w:color w:val="000000"/>
                <w:lang w:eastAsia="en-GB"/>
              </w:rPr>
              <w:t xml:space="preserve"> </w:t>
            </w:r>
            <w:r w:rsidRPr="004E2269">
              <w:rPr>
                <w:rFonts w:ascii="Calibri" w:hAnsi="Calibri" w:cs="Calibri"/>
              </w:rPr>
              <w:t>[25]</w:t>
            </w:r>
            <w:r>
              <w:rPr>
                <w:rFonts w:ascii="Calibri" w:eastAsia="Times New Roman" w:hAnsi="Calibri" w:cs="Calibri"/>
                <w:color w:val="000000"/>
                <w:lang w:eastAsia="en-GB"/>
              </w:rPr>
              <w:t xml:space="preserve"> </w:t>
            </w:r>
          </w:p>
        </w:tc>
        <w:tc>
          <w:tcPr>
            <w:tcW w:w="1173" w:type="pct"/>
            <w:noWrap/>
            <w:vAlign w:val="center"/>
            <w:hideMark/>
          </w:tcPr>
          <w:p w14:paraId="4A7E68AA"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300920D1" w14:textId="77777777" w:rsidTr="00D729CC">
        <w:trPr>
          <w:trHeight w:val="600"/>
          <w:jc w:val="center"/>
        </w:trPr>
        <w:tc>
          <w:tcPr>
            <w:tcW w:w="3827" w:type="pct"/>
            <w:vAlign w:val="center"/>
            <w:hideMark/>
          </w:tcPr>
          <w:p w14:paraId="5BEA5707"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 novel prediction method for lymph node involvement in endometrial cancer: machine learning</w:t>
            </w:r>
            <w:r>
              <w:rPr>
                <w:rFonts w:ascii="Calibri" w:eastAsia="Times New Roman" w:hAnsi="Calibri" w:cs="Calibri"/>
                <w:color w:val="000000"/>
                <w:lang w:eastAsia="en-GB"/>
              </w:rPr>
              <w:t xml:space="preserve"> </w:t>
            </w:r>
            <w:r w:rsidRPr="004E2269">
              <w:rPr>
                <w:rFonts w:ascii="Calibri" w:hAnsi="Calibri" w:cs="Calibri"/>
              </w:rPr>
              <w:t>[26]</w:t>
            </w:r>
          </w:p>
        </w:tc>
        <w:tc>
          <w:tcPr>
            <w:tcW w:w="1173" w:type="pct"/>
            <w:noWrap/>
            <w:vAlign w:val="center"/>
            <w:hideMark/>
          </w:tcPr>
          <w:p w14:paraId="481998A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458FBADA" w14:textId="77777777" w:rsidTr="00D729CC">
        <w:trPr>
          <w:trHeight w:val="600"/>
          <w:jc w:val="center"/>
        </w:trPr>
        <w:tc>
          <w:tcPr>
            <w:tcW w:w="3827" w:type="pct"/>
            <w:vAlign w:val="center"/>
            <w:hideMark/>
          </w:tcPr>
          <w:p w14:paraId="693CC193"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Posterior fossa meningiomas: perioperative predictors of extent of resection, overall survival and progression-free survival</w:t>
            </w:r>
            <w:r>
              <w:rPr>
                <w:rFonts w:ascii="Calibri" w:eastAsia="Times New Roman" w:hAnsi="Calibri" w:cs="Calibri"/>
                <w:color w:val="000000"/>
                <w:lang w:eastAsia="en-GB"/>
              </w:rPr>
              <w:t xml:space="preserve"> </w:t>
            </w:r>
            <w:r w:rsidRPr="004E2269">
              <w:rPr>
                <w:rFonts w:ascii="Calibri" w:hAnsi="Calibri" w:cs="Calibri"/>
              </w:rPr>
              <w:t>[27]</w:t>
            </w:r>
          </w:p>
        </w:tc>
        <w:tc>
          <w:tcPr>
            <w:tcW w:w="1173" w:type="pct"/>
            <w:noWrap/>
            <w:vAlign w:val="center"/>
            <w:hideMark/>
          </w:tcPr>
          <w:p w14:paraId="5ADB0176"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47A82F2" w14:textId="77777777" w:rsidTr="00D729CC">
        <w:trPr>
          <w:trHeight w:val="600"/>
          <w:jc w:val="center"/>
        </w:trPr>
        <w:tc>
          <w:tcPr>
            <w:tcW w:w="3827" w:type="pct"/>
            <w:vAlign w:val="center"/>
            <w:hideMark/>
          </w:tcPr>
          <w:p w14:paraId="36001B8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90-Day and 1-Year Mortality in Spinal Metastatic Disease: Development and Internal Validation</w:t>
            </w:r>
            <w:r>
              <w:rPr>
                <w:rFonts w:ascii="Calibri" w:eastAsia="Times New Roman" w:hAnsi="Calibri" w:cs="Calibri"/>
                <w:color w:val="000000"/>
                <w:lang w:eastAsia="en-GB"/>
              </w:rPr>
              <w:t xml:space="preserve"> </w:t>
            </w:r>
            <w:r w:rsidRPr="004E2269">
              <w:rPr>
                <w:rFonts w:ascii="Calibri" w:hAnsi="Calibri" w:cs="Calibri"/>
              </w:rPr>
              <w:t>[28]</w:t>
            </w:r>
          </w:p>
        </w:tc>
        <w:tc>
          <w:tcPr>
            <w:tcW w:w="1173" w:type="pct"/>
            <w:noWrap/>
            <w:vAlign w:val="center"/>
            <w:hideMark/>
          </w:tcPr>
          <w:p w14:paraId="3D2CFE2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1AAB5BF7" w14:textId="77777777" w:rsidTr="00D729CC">
        <w:trPr>
          <w:trHeight w:val="600"/>
          <w:jc w:val="center"/>
        </w:trPr>
        <w:tc>
          <w:tcPr>
            <w:tcW w:w="3827" w:type="pct"/>
            <w:vAlign w:val="center"/>
            <w:hideMark/>
          </w:tcPr>
          <w:p w14:paraId="0AFE3631"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breast cancer metastasis by using serum biomarkers and clinicopathological data with machine learning technologies</w:t>
            </w:r>
            <w:r>
              <w:rPr>
                <w:rFonts w:ascii="Calibri" w:eastAsia="Times New Roman" w:hAnsi="Calibri" w:cs="Calibri"/>
                <w:color w:val="000000"/>
                <w:lang w:eastAsia="en-GB"/>
              </w:rPr>
              <w:t xml:space="preserve"> </w:t>
            </w:r>
            <w:r w:rsidRPr="004E2269">
              <w:rPr>
                <w:rFonts w:ascii="Calibri" w:hAnsi="Calibri" w:cs="Calibri"/>
              </w:rPr>
              <w:t>[29]</w:t>
            </w:r>
          </w:p>
        </w:tc>
        <w:tc>
          <w:tcPr>
            <w:tcW w:w="1173" w:type="pct"/>
            <w:noWrap/>
            <w:vAlign w:val="center"/>
            <w:hideMark/>
          </w:tcPr>
          <w:p w14:paraId="5571A9BA"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45D5C11B" w14:textId="77777777" w:rsidTr="00D729CC">
        <w:trPr>
          <w:trHeight w:val="600"/>
          <w:jc w:val="center"/>
        </w:trPr>
        <w:tc>
          <w:tcPr>
            <w:tcW w:w="3827" w:type="pct"/>
            <w:vAlign w:val="center"/>
            <w:hideMark/>
          </w:tcPr>
          <w:p w14:paraId="3AF3E334"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Predictors of the therapeutic effect of corticosteroids on radiation-induced optic neuropathy following nasopharyngeal carcinoma</w:t>
            </w:r>
            <w:r>
              <w:rPr>
                <w:rFonts w:ascii="Calibri" w:eastAsia="Times New Roman" w:hAnsi="Calibri" w:cs="Calibri"/>
                <w:color w:val="000000"/>
                <w:lang w:eastAsia="en-GB"/>
              </w:rPr>
              <w:t xml:space="preserve"> </w:t>
            </w:r>
            <w:r w:rsidRPr="004E2269">
              <w:rPr>
                <w:rFonts w:ascii="Calibri" w:hAnsi="Calibri" w:cs="Calibri"/>
              </w:rPr>
              <w:t>[30]</w:t>
            </w:r>
          </w:p>
        </w:tc>
        <w:tc>
          <w:tcPr>
            <w:tcW w:w="1173" w:type="pct"/>
            <w:noWrap/>
            <w:vAlign w:val="center"/>
            <w:hideMark/>
          </w:tcPr>
          <w:p w14:paraId="39601EE1"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A4C33FE" w14:textId="77777777" w:rsidTr="00D729CC">
        <w:trPr>
          <w:trHeight w:val="600"/>
          <w:jc w:val="center"/>
        </w:trPr>
        <w:tc>
          <w:tcPr>
            <w:tcW w:w="3827" w:type="pct"/>
            <w:vAlign w:val="center"/>
            <w:hideMark/>
          </w:tcPr>
          <w:p w14:paraId="345E06C5"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Predictive model algorithms identifying early and advanced stage ER+/HER2</w:t>
            </w:r>
            <w:r>
              <w:rPr>
                <w:rFonts w:ascii="Calibri" w:eastAsia="Times New Roman" w:hAnsi="Calibri" w:cs="Calibri"/>
                <w:color w:val="000000"/>
                <w:lang w:eastAsia="en-GB"/>
              </w:rPr>
              <w:t>-</w:t>
            </w:r>
            <w:r w:rsidRPr="00990F39">
              <w:rPr>
                <w:rFonts w:ascii="Calibri" w:eastAsia="Times New Roman" w:hAnsi="Calibri" w:cs="Calibri"/>
                <w:color w:val="000000"/>
                <w:lang w:eastAsia="en-GB"/>
              </w:rPr>
              <w:t xml:space="preserve"> breast cancer in claims data</w:t>
            </w:r>
            <w:r>
              <w:rPr>
                <w:rFonts w:ascii="Calibri" w:eastAsia="Times New Roman" w:hAnsi="Calibri" w:cs="Calibri"/>
                <w:color w:val="000000"/>
                <w:lang w:eastAsia="en-GB"/>
              </w:rPr>
              <w:t xml:space="preserve"> </w:t>
            </w:r>
            <w:r w:rsidRPr="004E2269">
              <w:rPr>
                <w:rFonts w:ascii="Calibri" w:hAnsi="Calibri" w:cs="Calibri"/>
              </w:rPr>
              <w:t>[31]</w:t>
            </w:r>
          </w:p>
        </w:tc>
        <w:tc>
          <w:tcPr>
            <w:tcW w:w="1173" w:type="pct"/>
            <w:noWrap/>
            <w:vAlign w:val="center"/>
            <w:hideMark/>
          </w:tcPr>
          <w:p w14:paraId="163684DE"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0E629994" w14:textId="77777777" w:rsidTr="00D729CC">
        <w:trPr>
          <w:trHeight w:val="600"/>
          <w:jc w:val="center"/>
        </w:trPr>
        <w:tc>
          <w:tcPr>
            <w:tcW w:w="3827" w:type="pct"/>
            <w:vAlign w:val="center"/>
            <w:hideMark/>
          </w:tcPr>
          <w:p w14:paraId="58738784"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cervical cancer screening among sexual minority women using Classification and Regression Tree analysis</w:t>
            </w:r>
            <w:r>
              <w:rPr>
                <w:rFonts w:ascii="Calibri" w:eastAsia="Times New Roman" w:hAnsi="Calibri" w:cs="Calibri"/>
                <w:color w:val="000000"/>
                <w:lang w:eastAsia="en-GB"/>
              </w:rPr>
              <w:t xml:space="preserve"> </w:t>
            </w:r>
            <w:r w:rsidRPr="004E2269">
              <w:rPr>
                <w:rFonts w:ascii="Calibri" w:hAnsi="Calibri" w:cs="Calibri"/>
              </w:rPr>
              <w:t>[32]</w:t>
            </w:r>
          </w:p>
        </w:tc>
        <w:tc>
          <w:tcPr>
            <w:tcW w:w="1173" w:type="pct"/>
            <w:noWrap/>
            <w:vAlign w:val="center"/>
            <w:hideMark/>
          </w:tcPr>
          <w:p w14:paraId="6322B0B0"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104BBFFA" w14:textId="77777777" w:rsidTr="00D729CC">
        <w:trPr>
          <w:trHeight w:val="900"/>
          <w:jc w:val="center"/>
        </w:trPr>
        <w:tc>
          <w:tcPr>
            <w:tcW w:w="3827" w:type="pct"/>
            <w:vAlign w:val="center"/>
            <w:hideMark/>
          </w:tcPr>
          <w:p w14:paraId="77AA7E1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Disease-Free Lung Cancer Survival Using Patient Reported Outcome (PRO) Measurements with Comparisons of Five Machine Learning Techniques (MLT)</w:t>
            </w:r>
            <w:r>
              <w:rPr>
                <w:rFonts w:ascii="Calibri" w:eastAsia="Times New Roman" w:hAnsi="Calibri" w:cs="Calibri"/>
                <w:color w:val="000000"/>
                <w:lang w:eastAsia="en-GB"/>
              </w:rPr>
              <w:t xml:space="preserve"> </w:t>
            </w:r>
            <w:r w:rsidRPr="004E2269">
              <w:rPr>
                <w:rFonts w:ascii="Calibri" w:hAnsi="Calibri" w:cs="Calibri"/>
              </w:rPr>
              <w:t>[33]</w:t>
            </w:r>
          </w:p>
        </w:tc>
        <w:tc>
          <w:tcPr>
            <w:tcW w:w="1173" w:type="pct"/>
            <w:noWrap/>
            <w:vAlign w:val="center"/>
            <w:hideMark/>
          </w:tcPr>
          <w:p w14:paraId="62B4CC9D"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43D3252" w14:textId="77777777" w:rsidTr="00D729CC">
        <w:trPr>
          <w:trHeight w:val="600"/>
          <w:jc w:val="center"/>
        </w:trPr>
        <w:tc>
          <w:tcPr>
            <w:tcW w:w="3827" w:type="pct"/>
            <w:vAlign w:val="center"/>
            <w:hideMark/>
          </w:tcPr>
          <w:p w14:paraId="451088F3"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Prediction of 10-year Overall Survival in Patients with Operable Cervical Cancer using a Probabilistic Neural Network</w:t>
            </w:r>
            <w:r>
              <w:rPr>
                <w:rFonts w:ascii="Calibri" w:eastAsia="Times New Roman" w:hAnsi="Calibri" w:cs="Calibri"/>
                <w:color w:val="000000"/>
                <w:lang w:eastAsia="en-GB"/>
              </w:rPr>
              <w:t xml:space="preserve"> </w:t>
            </w:r>
            <w:r w:rsidRPr="004E2269">
              <w:rPr>
                <w:rFonts w:ascii="Calibri" w:hAnsi="Calibri" w:cs="Calibri"/>
              </w:rPr>
              <w:t>[34]</w:t>
            </w:r>
          </w:p>
        </w:tc>
        <w:tc>
          <w:tcPr>
            <w:tcW w:w="1173" w:type="pct"/>
            <w:noWrap/>
            <w:vAlign w:val="center"/>
            <w:hideMark/>
          </w:tcPr>
          <w:p w14:paraId="2662B5C9"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0590B19" w14:textId="77777777" w:rsidTr="00D729CC">
        <w:trPr>
          <w:trHeight w:val="600"/>
          <w:jc w:val="center"/>
        </w:trPr>
        <w:tc>
          <w:tcPr>
            <w:tcW w:w="3827" w:type="pct"/>
            <w:vAlign w:val="center"/>
            <w:hideMark/>
          </w:tcPr>
          <w:p w14:paraId="1AC0725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radiation pneumonitis in locally advanced stage II-III non-small cell lung cancer using machine learning</w:t>
            </w:r>
            <w:r>
              <w:rPr>
                <w:rFonts w:ascii="Calibri" w:eastAsia="Times New Roman" w:hAnsi="Calibri" w:cs="Calibri"/>
                <w:color w:val="000000"/>
                <w:lang w:eastAsia="en-GB"/>
              </w:rPr>
              <w:t xml:space="preserve"> </w:t>
            </w:r>
            <w:r w:rsidRPr="004E2269">
              <w:rPr>
                <w:rFonts w:ascii="Calibri" w:hAnsi="Calibri" w:cs="Calibri"/>
              </w:rPr>
              <w:t>[35]</w:t>
            </w:r>
          </w:p>
        </w:tc>
        <w:tc>
          <w:tcPr>
            <w:tcW w:w="1173" w:type="pct"/>
            <w:noWrap/>
            <w:vAlign w:val="center"/>
            <w:hideMark/>
          </w:tcPr>
          <w:p w14:paraId="63EF6BCA"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1E0B413B" w14:textId="77777777" w:rsidTr="00D729CC">
        <w:trPr>
          <w:trHeight w:val="600"/>
          <w:jc w:val="center"/>
        </w:trPr>
        <w:tc>
          <w:tcPr>
            <w:tcW w:w="3827" w:type="pct"/>
            <w:vAlign w:val="center"/>
            <w:hideMark/>
          </w:tcPr>
          <w:p w14:paraId="230BB11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Survival of Patients with Spinal</w:t>
            </w:r>
            <w:r>
              <w:rPr>
                <w:rFonts w:ascii="Calibri" w:eastAsia="Times New Roman" w:hAnsi="Calibri" w:cs="Calibri"/>
                <w:color w:val="000000"/>
                <w:lang w:eastAsia="en-GB"/>
              </w:rPr>
              <w:t xml:space="preserve"> </w:t>
            </w:r>
            <w:r w:rsidRPr="00990F39">
              <w:rPr>
                <w:rFonts w:ascii="Calibri" w:eastAsia="Times New Roman" w:hAnsi="Calibri" w:cs="Calibri"/>
                <w:color w:val="000000"/>
                <w:lang w:eastAsia="en-GB"/>
              </w:rPr>
              <w:t>Ependymoma Using Machine Learning Algorithms with the SEER Database</w:t>
            </w:r>
            <w:r>
              <w:rPr>
                <w:rFonts w:ascii="Calibri" w:eastAsia="Times New Roman" w:hAnsi="Calibri" w:cs="Calibri"/>
                <w:color w:val="000000"/>
                <w:lang w:eastAsia="en-GB"/>
              </w:rPr>
              <w:t xml:space="preserve"> </w:t>
            </w:r>
            <w:r w:rsidRPr="004E2269">
              <w:rPr>
                <w:rFonts w:ascii="Calibri" w:hAnsi="Calibri" w:cs="Calibri"/>
              </w:rPr>
              <w:t>[36]</w:t>
            </w:r>
          </w:p>
        </w:tc>
        <w:tc>
          <w:tcPr>
            <w:tcW w:w="1173" w:type="pct"/>
            <w:noWrap/>
            <w:vAlign w:val="center"/>
            <w:hideMark/>
          </w:tcPr>
          <w:p w14:paraId="1295DF08"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0F6D2E16" w14:textId="77777777" w:rsidTr="00D729CC">
        <w:trPr>
          <w:trHeight w:val="600"/>
          <w:jc w:val="center"/>
        </w:trPr>
        <w:tc>
          <w:tcPr>
            <w:tcW w:w="3827" w:type="pct"/>
            <w:vAlign w:val="center"/>
            <w:hideMark/>
          </w:tcPr>
          <w:p w14:paraId="30D2468E"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Prediction of future gastric cancer risk using a machine learning algorithm and comprehensive medical check-up data: A case-control study</w:t>
            </w:r>
            <w:r>
              <w:rPr>
                <w:rFonts w:ascii="Calibri" w:eastAsia="Times New Roman" w:hAnsi="Calibri" w:cs="Calibri"/>
                <w:color w:val="000000"/>
                <w:lang w:eastAsia="en-GB"/>
              </w:rPr>
              <w:t xml:space="preserve"> </w:t>
            </w:r>
            <w:r w:rsidRPr="004E2269">
              <w:rPr>
                <w:rFonts w:ascii="Calibri" w:hAnsi="Calibri" w:cs="Calibri"/>
              </w:rPr>
              <w:t>[37]</w:t>
            </w:r>
          </w:p>
        </w:tc>
        <w:tc>
          <w:tcPr>
            <w:tcW w:w="1173" w:type="pct"/>
            <w:noWrap/>
            <w:vAlign w:val="center"/>
            <w:hideMark/>
          </w:tcPr>
          <w:p w14:paraId="0DE9926D"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709A011" w14:textId="77777777" w:rsidTr="00D729CC">
        <w:trPr>
          <w:trHeight w:val="600"/>
          <w:jc w:val="center"/>
        </w:trPr>
        <w:tc>
          <w:tcPr>
            <w:tcW w:w="3827" w:type="pct"/>
            <w:vAlign w:val="center"/>
            <w:hideMark/>
          </w:tcPr>
          <w:p w14:paraId="6A8DB8D6"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Prediction of irinotecan toxicity in metastatic colorectal cancer patients based on machine learning models with pharmacokinetic parameters</w:t>
            </w:r>
            <w:r>
              <w:rPr>
                <w:rFonts w:ascii="Calibri" w:eastAsia="Times New Roman" w:hAnsi="Calibri" w:cs="Calibri"/>
                <w:color w:val="000000"/>
                <w:lang w:eastAsia="en-GB"/>
              </w:rPr>
              <w:t xml:space="preserve"> </w:t>
            </w:r>
            <w:r w:rsidRPr="004E2269">
              <w:rPr>
                <w:rFonts w:ascii="Calibri" w:hAnsi="Calibri" w:cs="Calibri"/>
              </w:rPr>
              <w:t>[38]</w:t>
            </w:r>
          </w:p>
        </w:tc>
        <w:tc>
          <w:tcPr>
            <w:tcW w:w="1173" w:type="pct"/>
            <w:noWrap/>
            <w:vAlign w:val="center"/>
            <w:hideMark/>
          </w:tcPr>
          <w:p w14:paraId="59F8E872"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8545DA8" w14:textId="77777777" w:rsidTr="00D729CC">
        <w:trPr>
          <w:trHeight w:val="600"/>
          <w:jc w:val="center"/>
        </w:trPr>
        <w:tc>
          <w:tcPr>
            <w:tcW w:w="3827" w:type="pct"/>
            <w:vAlign w:val="center"/>
            <w:hideMark/>
          </w:tcPr>
          <w:p w14:paraId="774E9945"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 Predictive Model for Postembolization Syndrome after Transarterial Hepatic Chemoembolization of Hepatocellular Carcinoma</w:t>
            </w:r>
            <w:r>
              <w:rPr>
                <w:rFonts w:ascii="Calibri" w:eastAsia="Times New Roman" w:hAnsi="Calibri" w:cs="Calibri"/>
                <w:color w:val="000000"/>
                <w:lang w:eastAsia="en-GB"/>
              </w:rPr>
              <w:t xml:space="preserve"> </w:t>
            </w:r>
            <w:r w:rsidRPr="00BB3150">
              <w:rPr>
                <w:rFonts w:ascii="Calibri" w:hAnsi="Calibri" w:cs="Calibri"/>
              </w:rPr>
              <w:t>[39]</w:t>
            </w:r>
          </w:p>
        </w:tc>
        <w:tc>
          <w:tcPr>
            <w:tcW w:w="1173" w:type="pct"/>
            <w:noWrap/>
            <w:vAlign w:val="center"/>
            <w:hideMark/>
          </w:tcPr>
          <w:p w14:paraId="1D5AD7E4"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1625ADC6" w14:textId="77777777" w:rsidTr="00D729CC">
        <w:trPr>
          <w:trHeight w:val="600"/>
          <w:jc w:val="center"/>
        </w:trPr>
        <w:tc>
          <w:tcPr>
            <w:tcW w:w="3827" w:type="pct"/>
            <w:vAlign w:val="center"/>
            <w:hideMark/>
          </w:tcPr>
          <w:p w14:paraId="5799F3AF"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 prospective study examining cachexia predictors in patients with incurable cancer</w:t>
            </w:r>
            <w:r>
              <w:rPr>
                <w:rFonts w:ascii="Calibri" w:eastAsia="Times New Roman" w:hAnsi="Calibri" w:cs="Calibri"/>
                <w:color w:val="000000"/>
                <w:lang w:eastAsia="en-GB"/>
              </w:rPr>
              <w:t xml:space="preserve"> </w:t>
            </w:r>
            <w:r w:rsidRPr="00BB3150">
              <w:rPr>
                <w:rFonts w:ascii="Calibri" w:hAnsi="Calibri" w:cs="Calibri"/>
              </w:rPr>
              <w:t>[40]</w:t>
            </w:r>
          </w:p>
        </w:tc>
        <w:tc>
          <w:tcPr>
            <w:tcW w:w="1173" w:type="pct"/>
            <w:noWrap/>
            <w:vAlign w:val="center"/>
            <w:hideMark/>
          </w:tcPr>
          <w:p w14:paraId="482671F1"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498DAD19" w14:textId="77777777" w:rsidTr="00D729CC">
        <w:trPr>
          <w:trHeight w:val="900"/>
          <w:jc w:val="center"/>
        </w:trPr>
        <w:tc>
          <w:tcPr>
            <w:tcW w:w="3827" w:type="pct"/>
            <w:vAlign w:val="center"/>
            <w:hideMark/>
          </w:tcPr>
          <w:p w14:paraId="3E882F57"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Using Machine Learning to Predict Progression in the Gastric Precancerous Process in a Population from a Developing Country Who Underwent a Gastroscopy for Dyspeptic Symptoms</w:t>
            </w:r>
            <w:r>
              <w:rPr>
                <w:rFonts w:ascii="Calibri" w:eastAsia="Times New Roman" w:hAnsi="Calibri" w:cs="Calibri"/>
                <w:color w:val="000000"/>
                <w:lang w:eastAsia="en-GB"/>
              </w:rPr>
              <w:t xml:space="preserve"> </w:t>
            </w:r>
            <w:r w:rsidRPr="00BB3150">
              <w:rPr>
                <w:rFonts w:ascii="Calibri" w:hAnsi="Calibri" w:cs="Calibri"/>
              </w:rPr>
              <w:t>[41]</w:t>
            </w:r>
          </w:p>
        </w:tc>
        <w:tc>
          <w:tcPr>
            <w:tcW w:w="1173" w:type="pct"/>
            <w:noWrap/>
            <w:vAlign w:val="center"/>
            <w:hideMark/>
          </w:tcPr>
          <w:p w14:paraId="098CEF1B"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9687A71" w14:textId="77777777" w:rsidTr="00D729CC">
        <w:trPr>
          <w:trHeight w:val="900"/>
          <w:jc w:val="center"/>
        </w:trPr>
        <w:tc>
          <w:tcPr>
            <w:tcW w:w="3827" w:type="pct"/>
            <w:vAlign w:val="center"/>
            <w:hideMark/>
          </w:tcPr>
          <w:p w14:paraId="5B366807"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Recursive Partitioning Analysis (RPA) of Prognostic Factors for Overall Survival in Patients with Spinal Metastasis: A New System for Stratified Treatment</w:t>
            </w:r>
            <w:r>
              <w:rPr>
                <w:rFonts w:ascii="Calibri" w:eastAsia="Times New Roman" w:hAnsi="Calibri" w:cs="Calibri"/>
                <w:color w:val="000000"/>
                <w:lang w:eastAsia="en-GB"/>
              </w:rPr>
              <w:t xml:space="preserve"> </w:t>
            </w:r>
            <w:r w:rsidRPr="00BB3150">
              <w:rPr>
                <w:rFonts w:ascii="Calibri" w:hAnsi="Calibri" w:cs="Calibri"/>
              </w:rPr>
              <w:t>[42]</w:t>
            </w:r>
          </w:p>
        </w:tc>
        <w:tc>
          <w:tcPr>
            <w:tcW w:w="1173" w:type="pct"/>
            <w:noWrap/>
            <w:vAlign w:val="center"/>
            <w:hideMark/>
          </w:tcPr>
          <w:p w14:paraId="5141CD7A"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307A2FEB" w14:textId="77777777" w:rsidTr="00D729CC">
        <w:trPr>
          <w:trHeight w:val="600"/>
          <w:jc w:val="center"/>
        </w:trPr>
        <w:tc>
          <w:tcPr>
            <w:tcW w:w="3827" w:type="pct"/>
            <w:vAlign w:val="center"/>
            <w:hideMark/>
          </w:tcPr>
          <w:p w14:paraId="682E37A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Response to repeat echoendoscopic celiac plexus neurolysis in pancreatic cancer patients: A machine learning approach</w:t>
            </w:r>
            <w:r>
              <w:rPr>
                <w:rFonts w:ascii="Calibri" w:eastAsia="Times New Roman" w:hAnsi="Calibri" w:cs="Calibri"/>
                <w:color w:val="000000"/>
                <w:lang w:eastAsia="en-GB"/>
              </w:rPr>
              <w:t xml:space="preserve"> </w:t>
            </w:r>
            <w:r w:rsidRPr="00BB3150">
              <w:rPr>
                <w:rFonts w:ascii="Calibri" w:hAnsi="Calibri" w:cs="Calibri"/>
              </w:rPr>
              <w:t>[43]</w:t>
            </w:r>
          </w:p>
        </w:tc>
        <w:tc>
          <w:tcPr>
            <w:tcW w:w="1173" w:type="pct"/>
            <w:noWrap/>
            <w:vAlign w:val="center"/>
            <w:hideMark/>
          </w:tcPr>
          <w:p w14:paraId="501A3CD7"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2D8820A8" w14:textId="77777777" w:rsidTr="00D729CC">
        <w:trPr>
          <w:trHeight w:val="900"/>
          <w:jc w:val="center"/>
        </w:trPr>
        <w:tc>
          <w:tcPr>
            <w:tcW w:w="3827" w:type="pct"/>
            <w:vAlign w:val="center"/>
            <w:hideMark/>
          </w:tcPr>
          <w:p w14:paraId="5A8D0C8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Risk Factors for Local Relapse and Inferior Disease-free Survival After Breast-conserving Management of Breast Cancer: Recursive Partitioning Analysis of 2161 Patients</w:t>
            </w:r>
            <w:r>
              <w:rPr>
                <w:rFonts w:ascii="Calibri" w:eastAsia="Times New Roman" w:hAnsi="Calibri" w:cs="Calibri"/>
                <w:color w:val="000000"/>
                <w:lang w:eastAsia="en-GB"/>
              </w:rPr>
              <w:t xml:space="preserve"> </w:t>
            </w:r>
            <w:r w:rsidRPr="00BB3150">
              <w:rPr>
                <w:rFonts w:ascii="Calibri" w:hAnsi="Calibri" w:cs="Calibri"/>
              </w:rPr>
              <w:t>[44]</w:t>
            </w:r>
          </w:p>
        </w:tc>
        <w:tc>
          <w:tcPr>
            <w:tcW w:w="1173" w:type="pct"/>
            <w:noWrap/>
            <w:vAlign w:val="center"/>
            <w:hideMark/>
          </w:tcPr>
          <w:p w14:paraId="7026A627"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5F83380" w14:textId="77777777" w:rsidTr="00D729CC">
        <w:trPr>
          <w:trHeight w:val="300"/>
          <w:jc w:val="center"/>
        </w:trPr>
        <w:tc>
          <w:tcPr>
            <w:tcW w:w="3827" w:type="pct"/>
            <w:vAlign w:val="center"/>
            <w:hideMark/>
          </w:tcPr>
          <w:p w14:paraId="5A59A00D"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Survivability prediction of colon cancer patients using neural networks</w:t>
            </w:r>
            <w:r>
              <w:rPr>
                <w:rFonts w:ascii="Calibri" w:eastAsia="Times New Roman" w:hAnsi="Calibri" w:cs="Calibri"/>
                <w:color w:val="000000"/>
                <w:lang w:eastAsia="en-GB"/>
              </w:rPr>
              <w:t xml:space="preserve"> </w:t>
            </w:r>
            <w:r w:rsidRPr="00BB3150">
              <w:rPr>
                <w:rFonts w:ascii="Calibri" w:hAnsi="Calibri" w:cs="Calibri"/>
              </w:rPr>
              <w:t>[45]</w:t>
            </w:r>
          </w:p>
        </w:tc>
        <w:tc>
          <w:tcPr>
            <w:tcW w:w="1173" w:type="pct"/>
            <w:noWrap/>
            <w:vAlign w:val="center"/>
            <w:hideMark/>
          </w:tcPr>
          <w:p w14:paraId="3B5DF674"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5B736B2" w14:textId="77777777" w:rsidTr="00D729CC">
        <w:trPr>
          <w:trHeight w:val="600"/>
          <w:jc w:val="center"/>
        </w:trPr>
        <w:tc>
          <w:tcPr>
            <w:tcW w:w="3827" w:type="pct"/>
            <w:vAlign w:val="center"/>
            <w:hideMark/>
          </w:tcPr>
          <w:p w14:paraId="4DDCB52D"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Survival outcome prediction in cervical cancer: Cox models vs deep-learning model</w:t>
            </w:r>
            <w:r>
              <w:rPr>
                <w:rFonts w:ascii="Calibri" w:eastAsia="Times New Roman" w:hAnsi="Calibri" w:cs="Calibri"/>
                <w:color w:val="000000"/>
                <w:lang w:eastAsia="en-GB"/>
              </w:rPr>
              <w:t xml:space="preserve"> </w:t>
            </w:r>
            <w:r w:rsidRPr="00BB3150">
              <w:rPr>
                <w:rFonts w:ascii="Calibri" w:hAnsi="Calibri" w:cs="Calibri"/>
              </w:rPr>
              <w:t>[46]</w:t>
            </w:r>
          </w:p>
        </w:tc>
        <w:tc>
          <w:tcPr>
            <w:tcW w:w="1173" w:type="pct"/>
            <w:noWrap/>
            <w:vAlign w:val="center"/>
            <w:hideMark/>
          </w:tcPr>
          <w:p w14:paraId="271F6CF8"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7CFC36E9" w14:textId="77777777" w:rsidTr="00D729CC">
        <w:trPr>
          <w:trHeight w:val="600"/>
          <w:jc w:val="center"/>
        </w:trPr>
        <w:tc>
          <w:tcPr>
            <w:tcW w:w="3827" w:type="pct"/>
            <w:vAlign w:val="center"/>
            <w:hideMark/>
          </w:tcPr>
          <w:p w14:paraId="40BA2F25"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Use of Machine Learning for Prediction of Patient Risk of Postoperative Complications After Liver, Pancreatic, and Colorectal Surgery</w:t>
            </w:r>
            <w:r>
              <w:rPr>
                <w:rFonts w:ascii="Calibri" w:eastAsia="Times New Roman" w:hAnsi="Calibri" w:cs="Calibri"/>
                <w:color w:val="000000"/>
                <w:lang w:eastAsia="en-GB"/>
              </w:rPr>
              <w:t xml:space="preserve"> </w:t>
            </w:r>
            <w:r w:rsidRPr="00BB3150">
              <w:rPr>
                <w:rFonts w:ascii="Calibri" w:hAnsi="Calibri" w:cs="Calibri"/>
              </w:rPr>
              <w:t>[47]</w:t>
            </w:r>
          </w:p>
        </w:tc>
        <w:tc>
          <w:tcPr>
            <w:tcW w:w="1173" w:type="pct"/>
            <w:noWrap/>
            <w:vAlign w:val="center"/>
            <w:hideMark/>
          </w:tcPr>
          <w:p w14:paraId="41AF682C"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6B4FE2FD" w14:textId="77777777" w:rsidTr="00D729CC">
        <w:trPr>
          <w:trHeight w:val="600"/>
          <w:jc w:val="center"/>
        </w:trPr>
        <w:tc>
          <w:tcPr>
            <w:tcW w:w="3827" w:type="pct"/>
            <w:vAlign w:val="center"/>
            <w:hideMark/>
          </w:tcPr>
          <w:p w14:paraId="72D3796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Use of machine learning to predict early biochemical recurrence after robot-assisted prostatectomy</w:t>
            </w:r>
            <w:r>
              <w:rPr>
                <w:rFonts w:ascii="Calibri" w:eastAsia="Times New Roman" w:hAnsi="Calibri" w:cs="Calibri"/>
                <w:color w:val="000000"/>
                <w:lang w:eastAsia="en-GB"/>
              </w:rPr>
              <w:t xml:space="preserve"> </w:t>
            </w:r>
            <w:r w:rsidRPr="00BB3150">
              <w:rPr>
                <w:rFonts w:ascii="Calibri" w:hAnsi="Calibri" w:cs="Calibri"/>
              </w:rPr>
              <w:t>[48]</w:t>
            </w:r>
          </w:p>
        </w:tc>
        <w:tc>
          <w:tcPr>
            <w:tcW w:w="1173" w:type="pct"/>
            <w:noWrap/>
            <w:vAlign w:val="center"/>
            <w:hideMark/>
          </w:tcPr>
          <w:p w14:paraId="35E5A4C3"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only study</w:t>
            </w:r>
          </w:p>
        </w:tc>
      </w:tr>
      <w:tr w:rsidR="00D729CC" w:rsidRPr="00990F39" w14:paraId="3F602FE0" w14:textId="77777777" w:rsidTr="00D729CC">
        <w:trPr>
          <w:trHeight w:val="600"/>
          <w:jc w:val="center"/>
        </w:trPr>
        <w:tc>
          <w:tcPr>
            <w:tcW w:w="3827" w:type="pct"/>
            <w:vAlign w:val="center"/>
            <w:hideMark/>
          </w:tcPr>
          <w:p w14:paraId="72C40229"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Age and Lymphovascular Invasion Accurately Predict Sentinel Lymph Node Metastasis in T2 Melanoma Patients</w:t>
            </w:r>
            <w:r>
              <w:rPr>
                <w:rFonts w:ascii="Calibri" w:eastAsia="Times New Roman" w:hAnsi="Calibri" w:cs="Calibri"/>
                <w:color w:val="000000"/>
                <w:lang w:eastAsia="en-GB"/>
              </w:rPr>
              <w:t xml:space="preserve"> </w:t>
            </w:r>
            <w:r w:rsidRPr="00BB3150">
              <w:rPr>
                <w:rFonts w:ascii="Calibri" w:hAnsi="Calibri" w:cs="Calibri"/>
              </w:rPr>
              <w:t>[49]</w:t>
            </w:r>
          </w:p>
        </w:tc>
        <w:tc>
          <w:tcPr>
            <w:tcW w:w="1173" w:type="pct"/>
            <w:noWrap/>
            <w:vAlign w:val="center"/>
            <w:hideMark/>
          </w:tcPr>
          <w:p w14:paraId="6493E1A4"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18444F6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115E5D33" w14:textId="77777777" w:rsidTr="00D729CC">
        <w:trPr>
          <w:trHeight w:val="600"/>
          <w:jc w:val="center"/>
        </w:trPr>
        <w:tc>
          <w:tcPr>
            <w:tcW w:w="3827" w:type="pct"/>
            <w:vAlign w:val="center"/>
            <w:hideMark/>
          </w:tcPr>
          <w:p w14:paraId="68196BD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Early Warning Models to Estimate the 30-Day Mortality Risk After Stent Placement for Patients with Malignant Biliary Obstruction</w:t>
            </w:r>
            <w:r>
              <w:rPr>
                <w:rFonts w:ascii="Calibri" w:eastAsia="Times New Roman" w:hAnsi="Calibri" w:cs="Calibri"/>
                <w:color w:val="000000"/>
                <w:lang w:eastAsia="en-GB"/>
              </w:rPr>
              <w:t xml:space="preserve"> </w:t>
            </w:r>
            <w:r w:rsidRPr="00BB3150">
              <w:rPr>
                <w:rFonts w:ascii="Calibri" w:hAnsi="Calibri" w:cs="Calibri"/>
              </w:rPr>
              <w:t>[50]</w:t>
            </w:r>
          </w:p>
        </w:tc>
        <w:tc>
          <w:tcPr>
            <w:tcW w:w="1173" w:type="pct"/>
            <w:noWrap/>
            <w:vAlign w:val="center"/>
            <w:hideMark/>
          </w:tcPr>
          <w:p w14:paraId="324B9557"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18ACE9D9"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28C3ED0F" w14:textId="77777777" w:rsidTr="00D729CC">
        <w:trPr>
          <w:trHeight w:val="600"/>
          <w:jc w:val="center"/>
        </w:trPr>
        <w:tc>
          <w:tcPr>
            <w:tcW w:w="3827" w:type="pct"/>
            <w:vAlign w:val="center"/>
            <w:hideMark/>
          </w:tcPr>
          <w:p w14:paraId="6C2A29D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Machine learning application for prediction of locoregional recurrences in early oral tongue cancer: a Web-based prognostic tool</w:t>
            </w:r>
            <w:r>
              <w:rPr>
                <w:rFonts w:ascii="Calibri" w:eastAsia="Times New Roman" w:hAnsi="Calibri" w:cs="Calibri"/>
                <w:color w:val="000000"/>
                <w:lang w:eastAsia="en-GB"/>
              </w:rPr>
              <w:t xml:space="preserve"> </w:t>
            </w:r>
            <w:r w:rsidRPr="00BB3150">
              <w:rPr>
                <w:rFonts w:ascii="Calibri" w:hAnsi="Calibri" w:cs="Calibri"/>
              </w:rPr>
              <w:t>[51]</w:t>
            </w:r>
          </w:p>
        </w:tc>
        <w:tc>
          <w:tcPr>
            <w:tcW w:w="1173" w:type="pct"/>
            <w:noWrap/>
            <w:vAlign w:val="center"/>
            <w:hideMark/>
          </w:tcPr>
          <w:p w14:paraId="289425C7"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567A02C2"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5CAAB44D" w14:textId="77777777" w:rsidTr="00D729CC">
        <w:trPr>
          <w:trHeight w:val="900"/>
          <w:jc w:val="center"/>
        </w:trPr>
        <w:tc>
          <w:tcPr>
            <w:tcW w:w="3827" w:type="pct"/>
            <w:vAlign w:val="center"/>
            <w:hideMark/>
          </w:tcPr>
          <w:p w14:paraId="7F6A15E3"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Nomograms for predicting the overall and cause</w:t>
            </w:r>
            <w:r>
              <w:rPr>
                <w:rFonts w:ascii="Calibri" w:eastAsia="Times New Roman" w:hAnsi="Calibri" w:cs="Calibri"/>
                <w:color w:val="000000"/>
                <w:lang w:eastAsia="en-GB"/>
              </w:rPr>
              <w:t>-</w:t>
            </w:r>
            <w:r w:rsidRPr="00990F39">
              <w:rPr>
                <w:rFonts w:ascii="Calibri" w:eastAsia="Times New Roman" w:hAnsi="Calibri" w:cs="Calibri"/>
                <w:color w:val="000000"/>
                <w:lang w:eastAsia="en-GB"/>
              </w:rPr>
              <w:t>specific survival in patients with malignant peripheral nerve sheath tumor: a population</w:t>
            </w:r>
            <w:r>
              <w:rPr>
                <w:rFonts w:ascii="Calibri" w:eastAsia="Times New Roman" w:hAnsi="Calibri" w:cs="Calibri"/>
                <w:color w:val="000000"/>
                <w:lang w:eastAsia="en-GB"/>
              </w:rPr>
              <w:t>-</w:t>
            </w:r>
            <w:r w:rsidRPr="00990F39">
              <w:rPr>
                <w:rFonts w:ascii="Calibri" w:eastAsia="Times New Roman" w:hAnsi="Calibri" w:cs="Calibri"/>
                <w:color w:val="000000"/>
                <w:lang w:eastAsia="en-GB"/>
              </w:rPr>
              <w:t>based study</w:t>
            </w:r>
            <w:r>
              <w:rPr>
                <w:rFonts w:ascii="Calibri" w:eastAsia="Times New Roman" w:hAnsi="Calibri" w:cs="Calibri"/>
                <w:color w:val="000000"/>
                <w:lang w:eastAsia="en-GB"/>
              </w:rPr>
              <w:t xml:space="preserve"> </w:t>
            </w:r>
            <w:r w:rsidRPr="00BB3150">
              <w:rPr>
                <w:rFonts w:ascii="Calibri" w:hAnsi="Calibri" w:cs="Calibri"/>
              </w:rPr>
              <w:t>[52]</w:t>
            </w:r>
          </w:p>
        </w:tc>
        <w:tc>
          <w:tcPr>
            <w:tcW w:w="1173" w:type="pct"/>
            <w:noWrap/>
            <w:vAlign w:val="center"/>
            <w:hideMark/>
          </w:tcPr>
          <w:p w14:paraId="23D6A392"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7C4DE67C"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12F74D5E" w14:textId="77777777" w:rsidTr="00D729CC">
        <w:trPr>
          <w:trHeight w:val="900"/>
          <w:jc w:val="center"/>
        </w:trPr>
        <w:tc>
          <w:tcPr>
            <w:tcW w:w="3827" w:type="pct"/>
            <w:vAlign w:val="center"/>
            <w:hideMark/>
          </w:tcPr>
          <w:p w14:paraId="1BD3DDE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Patient</w:t>
            </w:r>
            <w:r>
              <w:rPr>
                <w:rFonts w:ascii="Calibri" w:eastAsia="Times New Roman" w:hAnsi="Calibri" w:cs="Calibri"/>
                <w:color w:val="000000"/>
                <w:lang w:eastAsia="en-GB"/>
              </w:rPr>
              <w:t>-</w:t>
            </w:r>
            <w:r w:rsidRPr="00990F39">
              <w:rPr>
                <w:rFonts w:ascii="Calibri" w:eastAsia="Times New Roman" w:hAnsi="Calibri" w:cs="Calibri"/>
                <w:color w:val="000000"/>
                <w:lang w:eastAsia="en-GB"/>
              </w:rPr>
              <w:t>based prediction algorithm of relapse after allo</w:t>
            </w:r>
            <w:r>
              <w:rPr>
                <w:rFonts w:ascii="Calibri" w:eastAsia="Times New Roman" w:hAnsi="Calibri" w:cs="Calibri"/>
                <w:color w:val="000000"/>
                <w:lang w:eastAsia="en-GB"/>
              </w:rPr>
              <w:t>-</w:t>
            </w:r>
            <w:r w:rsidRPr="00990F39">
              <w:rPr>
                <w:rFonts w:ascii="Calibri" w:eastAsia="Times New Roman" w:hAnsi="Calibri" w:cs="Calibri"/>
                <w:color w:val="000000"/>
                <w:lang w:eastAsia="en-GB"/>
              </w:rPr>
              <w:t>HSCT for acute Leukemia and its usefulness in the decision</w:t>
            </w:r>
            <w:r>
              <w:rPr>
                <w:rFonts w:ascii="Calibri" w:eastAsia="Times New Roman" w:hAnsi="Calibri" w:cs="Calibri"/>
                <w:color w:val="000000"/>
                <w:lang w:eastAsia="en-GB"/>
              </w:rPr>
              <w:t>-</w:t>
            </w:r>
            <w:r w:rsidRPr="00990F39">
              <w:rPr>
                <w:rFonts w:ascii="Calibri" w:eastAsia="Times New Roman" w:hAnsi="Calibri" w:cs="Calibri"/>
                <w:color w:val="000000"/>
                <w:lang w:eastAsia="en-GB"/>
              </w:rPr>
              <w:t>making process using a machine learning approach</w:t>
            </w:r>
            <w:r>
              <w:rPr>
                <w:rFonts w:ascii="Calibri" w:eastAsia="Times New Roman" w:hAnsi="Calibri" w:cs="Calibri"/>
                <w:color w:val="000000"/>
                <w:lang w:eastAsia="en-GB"/>
              </w:rPr>
              <w:t xml:space="preserve"> </w:t>
            </w:r>
            <w:r w:rsidRPr="00BB3150">
              <w:rPr>
                <w:rFonts w:ascii="Calibri" w:hAnsi="Calibri" w:cs="Calibri"/>
              </w:rPr>
              <w:t>[53]</w:t>
            </w:r>
          </w:p>
        </w:tc>
        <w:tc>
          <w:tcPr>
            <w:tcW w:w="1173" w:type="pct"/>
            <w:noWrap/>
            <w:vAlign w:val="center"/>
            <w:hideMark/>
          </w:tcPr>
          <w:p w14:paraId="29F54216"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40F504E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1763057D" w14:textId="77777777" w:rsidTr="00D729CC">
        <w:trPr>
          <w:trHeight w:val="600"/>
          <w:jc w:val="center"/>
        </w:trPr>
        <w:tc>
          <w:tcPr>
            <w:tcW w:w="3827" w:type="pct"/>
            <w:vAlign w:val="center"/>
            <w:hideMark/>
          </w:tcPr>
          <w:p w14:paraId="345FC9F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 predictive model of overall survival in patients with metastatic castration-resistant prostate cancer</w:t>
            </w:r>
            <w:r>
              <w:rPr>
                <w:rFonts w:ascii="Calibri" w:eastAsia="Times New Roman" w:hAnsi="Calibri" w:cs="Calibri"/>
                <w:color w:val="000000"/>
                <w:lang w:eastAsia="en-GB"/>
              </w:rPr>
              <w:t xml:space="preserve"> </w:t>
            </w:r>
            <w:r w:rsidRPr="00BB3150">
              <w:rPr>
                <w:rFonts w:ascii="Calibri" w:hAnsi="Calibri" w:cs="Calibri"/>
              </w:rPr>
              <w:t>[54]</w:t>
            </w:r>
          </w:p>
        </w:tc>
        <w:tc>
          <w:tcPr>
            <w:tcW w:w="1173" w:type="pct"/>
            <w:noWrap/>
            <w:vAlign w:val="center"/>
            <w:hideMark/>
          </w:tcPr>
          <w:p w14:paraId="59D3F91F"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340905C9"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4B73A364" w14:textId="77777777" w:rsidTr="00D729CC">
        <w:trPr>
          <w:trHeight w:val="600"/>
          <w:jc w:val="center"/>
        </w:trPr>
        <w:tc>
          <w:tcPr>
            <w:tcW w:w="3827" w:type="pct"/>
            <w:vAlign w:val="center"/>
            <w:hideMark/>
          </w:tcPr>
          <w:p w14:paraId="4CD63FF6"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Inpatient Length of Stay After Brain Tumor Surgery: Developing Machine Learning Ensembles to Improve Predictive Performance</w:t>
            </w:r>
            <w:r>
              <w:rPr>
                <w:rFonts w:ascii="Calibri" w:eastAsia="Times New Roman" w:hAnsi="Calibri" w:cs="Calibri"/>
                <w:color w:val="000000"/>
                <w:lang w:eastAsia="en-GB"/>
              </w:rPr>
              <w:t xml:space="preserve"> </w:t>
            </w:r>
            <w:r w:rsidRPr="00BB3150">
              <w:rPr>
                <w:rFonts w:ascii="Calibri" w:hAnsi="Calibri" w:cs="Calibri"/>
              </w:rPr>
              <w:t>[55]</w:t>
            </w:r>
          </w:p>
        </w:tc>
        <w:tc>
          <w:tcPr>
            <w:tcW w:w="1173" w:type="pct"/>
            <w:noWrap/>
            <w:vAlign w:val="center"/>
            <w:hideMark/>
          </w:tcPr>
          <w:p w14:paraId="52609902"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5EDAB6FE"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40871AFE" w14:textId="77777777" w:rsidTr="00D729CC">
        <w:trPr>
          <w:trHeight w:val="600"/>
          <w:jc w:val="center"/>
        </w:trPr>
        <w:tc>
          <w:tcPr>
            <w:tcW w:w="3827" w:type="pct"/>
            <w:vAlign w:val="center"/>
            <w:hideMark/>
          </w:tcPr>
          <w:p w14:paraId="2E501111"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Predicting Overall Survival in Patients with Metastatic Rectal Cancer: a Machine Learning Approach</w:t>
            </w:r>
            <w:r>
              <w:rPr>
                <w:rFonts w:ascii="Calibri" w:eastAsia="Times New Roman" w:hAnsi="Calibri" w:cs="Calibri"/>
                <w:color w:val="000000"/>
                <w:lang w:eastAsia="en-GB"/>
              </w:rPr>
              <w:t xml:space="preserve"> </w:t>
            </w:r>
            <w:r w:rsidRPr="00F838C0">
              <w:rPr>
                <w:rFonts w:ascii="Calibri" w:hAnsi="Calibri" w:cs="Calibri"/>
              </w:rPr>
              <w:t>[56]</w:t>
            </w:r>
          </w:p>
        </w:tc>
        <w:tc>
          <w:tcPr>
            <w:tcW w:w="1173" w:type="pct"/>
            <w:noWrap/>
            <w:vAlign w:val="center"/>
            <w:hideMark/>
          </w:tcPr>
          <w:p w14:paraId="50AB7591"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5CCA24F3"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1FC4D365" w14:textId="77777777" w:rsidTr="00D729CC">
        <w:trPr>
          <w:trHeight w:val="600"/>
          <w:jc w:val="center"/>
        </w:trPr>
        <w:tc>
          <w:tcPr>
            <w:tcW w:w="3827" w:type="pct"/>
            <w:vAlign w:val="center"/>
            <w:hideMark/>
          </w:tcPr>
          <w:p w14:paraId="1A2350F3"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Prediction of survival outcomes in patients with epithelial ovarian cancer using machine learning methods</w:t>
            </w:r>
            <w:r>
              <w:rPr>
                <w:rFonts w:ascii="Calibri" w:eastAsia="Times New Roman" w:hAnsi="Calibri" w:cs="Calibri"/>
                <w:color w:val="000000"/>
                <w:lang w:eastAsia="en-GB"/>
              </w:rPr>
              <w:t xml:space="preserve"> </w:t>
            </w:r>
            <w:r w:rsidRPr="00F838C0">
              <w:rPr>
                <w:rFonts w:ascii="Calibri" w:hAnsi="Calibri" w:cs="Calibri"/>
              </w:rPr>
              <w:t>[57]</w:t>
            </w:r>
          </w:p>
        </w:tc>
        <w:tc>
          <w:tcPr>
            <w:tcW w:w="1173" w:type="pct"/>
            <w:noWrap/>
            <w:vAlign w:val="center"/>
            <w:hideMark/>
          </w:tcPr>
          <w:p w14:paraId="57E5497A"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1240A6F0"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11248427" w14:textId="77777777" w:rsidTr="00D729CC">
        <w:trPr>
          <w:trHeight w:val="600"/>
          <w:jc w:val="center"/>
        </w:trPr>
        <w:tc>
          <w:tcPr>
            <w:tcW w:w="3827" w:type="pct"/>
            <w:vAlign w:val="center"/>
            <w:hideMark/>
          </w:tcPr>
          <w:p w14:paraId="5CEE96CB"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Prediction of the 1-Year Risk of Incident Lung Cancer: Prospective Study Using Electronic Health Records from the State of Maine</w:t>
            </w:r>
            <w:r>
              <w:rPr>
                <w:rFonts w:ascii="Calibri" w:eastAsia="Times New Roman" w:hAnsi="Calibri" w:cs="Calibri"/>
                <w:color w:val="000000"/>
                <w:lang w:eastAsia="en-GB"/>
              </w:rPr>
              <w:t xml:space="preserve"> </w:t>
            </w:r>
            <w:r w:rsidRPr="00F838C0">
              <w:rPr>
                <w:rFonts w:ascii="Calibri" w:hAnsi="Calibri" w:cs="Calibri"/>
              </w:rPr>
              <w:t>[58]</w:t>
            </w:r>
          </w:p>
        </w:tc>
        <w:tc>
          <w:tcPr>
            <w:tcW w:w="1173" w:type="pct"/>
            <w:noWrap/>
            <w:vAlign w:val="center"/>
            <w:hideMark/>
          </w:tcPr>
          <w:p w14:paraId="481BC010"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6BA4093D"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756BAB12" w14:textId="77777777" w:rsidTr="00D729CC">
        <w:trPr>
          <w:trHeight w:val="900"/>
          <w:jc w:val="center"/>
        </w:trPr>
        <w:tc>
          <w:tcPr>
            <w:tcW w:w="3827" w:type="pct"/>
            <w:vAlign w:val="center"/>
            <w:hideMark/>
          </w:tcPr>
          <w:p w14:paraId="40EE8B8F"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A Proposal to Reflect Survival Difference and Modify the Staging System for Lung Adenocarcinoma and Squamous Cell Carcinoma: Based on the Machine Learning</w:t>
            </w:r>
            <w:r>
              <w:rPr>
                <w:rFonts w:ascii="Calibri" w:eastAsia="Times New Roman" w:hAnsi="Calibri" w:cs="Calibri"/>
                <w:color w:val="000000"/>
                <w:lang w:eastAsia="en-GB"/>
              </w:rPr>
              <w:t xml:space="preserve"> </w:t>
            </w:r>
            <w:r w:rsidRPr="00F838C0">
              <w:rPr>
                <w:rFonts w:ascii="Calibri" w:hAnsi="Calibri" w:cs="Calibri"/>
              </w:rPr>
              <w:t>[59]</w:t>
            </w:r>
          </w:p>
        </w:tc>
        <w:tc>
          <w:tcPr>
            <w:tcW w:w="1173" w:type="pct"/>
            <w:noWrap/>
            <w:vAlign w:val="center"/>
            <w:hideMark/>
          </w:tcPr>
          <w:p w14:paraId="1A6CBA0E"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582A5B0A"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49459EC6" w14:textId="77777777" w:rsidTr="00D729CC">
        <w:trPr>
          <w:trHeight w:val="600"/>
          <w:jc w:val="center"/>
        </w:trPr>
        <w:tc>
          <w:tcPr>
            <w:tcW w:w="3827" w:type="pct"/>
            <w:vAlign w:val="center"/>
            <w:hideMark/>
          </w:tcPr>
          <w:p w14:paraId="3E8EDB08"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Scoring colorectal cancer risk with an artificial neural network based on self-reportable personal health data</w:t>
            </w:r>
            <w:r>
              <w:rPr>
                <w:rFonts w:ascii="Calibri" w:eastAsia="Times New Roman" w:hAnsi="Calibri" w:cs="Calibri"/>
                <w:color w:val="000000"/>
                <w:lang w:eastAsia="en-GB"/>
              </w:rPr>
              <w:t xml:space="preserve"> </w:t>
            </w:r>
            <w:r w:rsidRPr="00F838C0">
              <w:rPr>
                <w:rFonts w:ascii="Calibri" w:hAnsi="Calibri" w:cs="Calibri"/>
              </w:rPr>
              <w:t>[60]</w:t>
            </w:r>
          </w:p>
        </w:tc>
        <w:tc>
          <w:tcPr>
            <w:tcW w:w="1173" w:type="pct"/>
            <w:noWrap/>
            <w:vAlign w:val="center"/>
            <w:hideMark/>
          </w:tcPr>
          <w:p w14:paraId="0975A7BD"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01B0AB5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16649CDA" w14:textId="77777777" w:rsidTr="00D729CC">
        <w:trPr>
          <w:trHeight w:val="600"/>
          <w:jc w:val="center"/>
        </w:trPr>
        <w:tc>
          <w:tcPr>
            <w:tcW w:w="3827" w:type="pct"/>
            <w:vAlign w:val="center"/>
            <w:hideMark/>
          </w:tcPr>
          <w:p w14:paraId="0EE900C0"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Semi-supervised learning to improve generalizability of risk prediction models</w:t>
            </w:r>
            <w:r>
              <w:rPr>
                <w:rFonts w:ascii="Calibri" w:eastAsia="Times New Roman" w:hAnsi="Calibri" w:cs="Calibri"/>
                <w:color w:val="000000"/>
                <w:lang w:eastAsia="en-GB"/>
              </w:rPr>
              <w:t xml:space="preserve"> </w:t>
            </w:r>
            <w:r w:rsidRPr="00F838C0">
              <w:rPr>
                <w:rFonts w:ascii="Calibri" w:hAnsi="Calibri" w:cs="Calibri"/>
              </w:rPr>
              <w:t>[61]</w:t>
            </w:r>
            <w:r>
              <w:rPr>
                <w:rFonts w:ascii="Calibri" w:eastAsia="Times New Roman" w:hAnsi="Calibri" w:cs="Calibri"/>
                <w:color w:val="000000"/>
                <w:lang w:eastAsia="en-GB"/>
              </w:rPr>
              <w:t xml:space="preserve"> </w:t>
            </w:r>
          </w:p>
        </w:tc>
        <w:tc>
          <w:tcPr>
            <w:tcW w:w="1173" w:type="pct"/>
            <w:noWrap/>
            <w:vAlign w:val="center"/>
            <w:hideMark/>
          </w:tcPr>
          <w:p w14:paraId="1BCE9208"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5EC4ECEF"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r w:rsidR="00D729CC" w:rsidRPr="00990F39" w14:paraId="4C75110E" w14:textId="77777777" w:rsidTr="00D729CC">
        <w:trPr>
          <w:trHeight w:val="600"/>
          <w:jc w:val="center"/>
        </w:trPr>
        <w:tc>
          <w:tcPr>
            <w:tcW w:w="3827" w:type="pct"/>
            <w:vAlign w:val="center"/>
            <w:hideMark/>
          </w:tcPr>
          <w:p w14:paraId="2CE21430" w14:textId="77777777" w:rsidR="00D729CC" w:rsidRPr="00990F39" w:rsidRDefault="00D729CC" w:rsidP="00005CF2">
            <w:pPr>
              <w:rPr>
                <w:rFonts w:ascii="Calibri" w:eastAsia="Times New Roman" w:hAnsi="Calibri" w:cs="Calibri"/>
                <w:color w:val="000000"/>
                <w:lang w:eastAsia="en-GB"/>
              </w:rPr>
            </w:pPr>
            <w:r w:rsidRPr="00990F39">
              <w:rPr>
                <w:rFonts w:ascii="Calibri" w:eastAsia="Times New Roman" w:hAnsi="Calibri" w:cs="Calibri"/>
                <w:color w:val="000000"/>
                <w:lang w:eastAsia="en-GB"/>
              </w:rPr>
              <w:t>Use of Machine-Learning Algorithms in Intensified Preoperative Therapy of Pancreatic Cancer to Predict Individual Risk of Relapse</w:t>
            </w:r>
            <w:r>
              <w:rPr>
                <w:rFonts w:ascii="Calibri" w:eastAsia="Times New Roman" w:hAnsi="Calibri" w:cs="Calibri"/>
                <w:color w:val="000000"/>
                <w:lang w:eastAsia="en-GB"/>
              </w:rPr>
              <w:t xml:space="preserve"> </w:t>
            </w:r>
            <w:r w:rsidRPr="00F838C0">
              <w:rPr>
                <w:rFonts w:ascii="Calibri" w:hAnsi="Calibri" w:cs="Calibri"/>
              </w:rPr>
              <w:t>[62]</w:t>
            </w:r>
          </w:p>
        </w:tc>
        <w:tc>
          <w:tcPr>
            <w:tcW w:w="1173" w:type="pct"/>
            <w:noWrap/>
            <w:vAlign w:val="center"/>
            <w:hideMark/>
          </w:tcPr>
          <w:p w14:paraId="782D49BB" w14:textId="77777777" w:rsidR="00D729CC"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Development and</w:t>
            </w:r>
          </w:p>
          <w:p w14:paraId="7C727208" w14:textId="77777777" w:rsidR="00D729CC" w:rsidRPr="00990F39" w:rsidRDefault="00D729CC" w:rsidP="00005CF2">
            <w:pPr>
              <w:jc w:val="center"/>
              <w:rPr>
                <w:rFonts w:ascii="Calibri" w:eastAsia="Times New Roman" w:hAnsi="Calibri" w:cs="Calibri"/>
                <w:color w:val="000000"/>
                <w:lang w:eastAsia="en-GB"/>
              </w:rPr>
            </w:pPr>
            <w:r w:rsidRPr="00990F39">
              <w:rPr>
                <w:rFonts w:ascii="Calibri" w:eastAsia="Times New Roman" w:hAnsi="Calibri" w:cs="Calibri"/>
                <w:color w:val="000000"/>
                <w:lang w:eastAsia="en-GB"/>
              </w:rPr>
              <w:t>validation study</w:t>
            </w:r>
          </w:p>
        </w:tc>
      </w:tr>
    </w:tbl>
    <w:p w14:paraId="6F116D76" w14:textId="77777777" w:rsidR="00D729CC" w:rsidRDefault="00D729CC" w:rsidP="009D652F">
      <w:pPr>
        <w:spacing w:after="0" w:line="360" w:lineRule="auto"/>
        <w:rPr>
          <w:b/>
          <w:bCs/>
        </w:rPr>
      </w:pPr>
    </w:p>
    <w:p w14:paraId="67E0D1A9" w14:textId="36D8373B" w:rsidR="00D729CC" w:rsidRDefault="00D729CC" w:rsidP="009D652F">
      <w:pPr>
        <w:spacing w:after="0" w:line="360" w:lineRule="auto"/>
        <w:rPr>
          <w:b/>
          <w:bCs/>
        </w:rPr>
      </w:pPr>
    </w:p>
    <w:p w14:paraId="1FCBAF6C" w14:textId="641585AB" w:rsidR="00D729CC" w:rsidRDefault="00D729CC" w:rsidP="009D652F">
      <w:pPr>
        <w:spacing w:after="0" w:line="360" w:lineRule="auto"/>
        <w:rPr>
          <w:b/>
          <w:bCs/>
        </w:rPr>
      </w:pPr>
    </w:p>
    <w:p w14:paraId="5A0F7358" w14:textId="77777777" w:rsidR="00D729CC" w:rsidRDefault="00D729CC" w:rsidP="009D652F">
      <w:pPr>
        <w:spacing w:after="0" w:line="360" w:lineRule="auto"/>
        <w:rPr>
          <w:b/>
          <w:bCs/>
        </w:rPr>
        <w:sectPr w:rsidR="00D729CC" w:rsidSect="00005CF2">
          <w:pgSz w:w="11906" w:h="16838"/>
          <w:pgMar w:top="1440" w:right="1440" w:bottom="1440" w:left="1440" w:header="708" w:footer="708" w:gutter="0"/>
          <w:cols w:space="708"/>
          <w:docGrid w:linePitch="360"/>
        </w:sectPr>
      </w:pPr>
    </w:p>
    <w:p w14:paraId="4DCFD5A1" w14:textId="0AA14500" w:rsidR="009D652F" w:rsidRDefault="009D652F" w:rsidP="009D652F">
      <w:pPr>
        <w:spacing w:after="0" w:line="360" w:lineRule="auto"/>
      </w:pPr>
      <w:r>
        <w:rPr>
          <w:b/>
          <w:bCs/>
        </w:rPr>
        <w:t>Supplementary t</w:t>
      </w:r>
      <w:r w:rsidRPr="008A6386">
        <w:rPr>
          <w:b/>
          <w:bCs/>
        </w:rPr>
        <w:t xml:space="preserve">able </w:t>
      </w:r>
      <w:r w:rsidR="00D729CC">
        <w:rPr>
          <w:b/>
          <w:bCs/>
        </w:rPr>
        <w:t>6</w:t>
      </w:r>
      <w:r w:rsidRPr="008A6386">
        <w:rPr>
          <w:b/>
          <w:bCs/>
        </w:rPr>
        <w:t>.</w:t>
      </w:r>
      <w:r>
        <w:t xml:space="preserve"> Model characteristics developed in the 62 included publications. </w:t>
      </w:r>
    </w:p>
    <w:tbl>
      <w:tblPr>
        <w:tblW w:w="5181" w:type="pct"/>
        <w:jc w:val="center"/>
        <w:tblLayout w:type="fixed"/>
        <w:tblLook w:val="04A0" w:firstRow="1" w:lastRow="0" w:firstColumn="1" w:lastColumn="0" w:noHBand="0" w:noVBand="1"/>
      </w:tblPr>
      <w:tblGrid>
        <w:gridCol w:w="4964"/>
        <w:gridCol w:w="1383"/>
        <w:gridCol w:w="1472"/>
        <w:gridCol w:w="1523"/>
      </w:tblGrid>
      <w:tr w:rsidR="009D652F" w:rsidRPr="000A36C5" w14:paraId="085665F9" w14:textId="77777777" w:rsidTr="00005CF2">
        <w:trPr>
          <w:trHeight w:val="1115"/>
          <w:jc w:val="center"/>
        </w:trPr>
        <w:tc>
          <w:tcPr>
            <w:tcW w:w="2657" w:type="pct"/>
            <w:vMerge w:val="restart"/>
            <w:tcBorders>
              <w:top w:val="single" w:sz="4" w:space="0" w:color="auto"/>
              <w:left w:val="single" w:sz="4" w:space="0" w:color="auto"/>
              <w:bottom w:val="single" w:sz="4" w:space="0" w:color="000000"/>
              <w:right w:val="single" w:sz="4" w:space="0" w:color="auto"/>
            </w:tcBorders>
            <w:shd w:val="clear" w:color="auto" w:fill="B4C6E7" w:themeFill="accent1" w:themeFillTint="66"/>
            <w:noWrap/>
            <w:vAlign w:val="center"/>
            <w:hideMark/>
          </w:tcPr>
          <w:p w14:paraId="39436A17" w14:textId="77777777" w:rsidR="009D652F" w:rsidRPr="000A36C5" w:rsidRDefault="009D652F" w:rsidP="00005CF2">
            <w:pPr>
              <w:spacing w:after="0" w:line="240" w:lineRule="auto"/>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Model characteristics</w:t>
            </w:r>
          </w:p>
        </w:tc>
        <w:tc>
          <w:tcPr>
            <w:tcW w:w="740" w:type="pct"/>
            <w:tcBorders>
              <w:top w:val="single" w:sz="4" w:space="0" w:color="auto"/>
              <w:left w:val="nil"/>
              <w:bottom w:val="single" w:sz="4" w:space="0" w:color="auto"/>
              <w:right w:val="single" w:sz="4" w:space="0" w:color="auto"/>
            </w:tcBorders>
            <w:shd w:val="clear" w:color="auto" w:fill="B4C6E7" w:themeFill="accent1" w:themeFillTint="66"/>
            <w:vAlign w:val="center"/>
          </w:tcPr>
          <w:p w14:paraId="6A49BDB5" w14:textId="77777777" w:rsidR="009D652F" w:rsidRPr="000A36C5" w:rsidRDefault="009D652F" w:rsidP="00005CF2">
            <w:pPr>
              <w:spacing w:after="0" w:line="240" w:lineRule="auto"/>
              <w:jc w:val="center"/>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All (n=152 models)</w:t>
            </w:r>
          </w:p>
        </w:tc>
        <w:tc>
          <w:tcPr>
            <w:tcW w:w="788" w:type="pct"/>
            <w:tcBorders>
              <w:top w:val="single" w:sz="4" w:space="0" w:color="auto"/>
              <w:left w:val="single" w:sz="4" w:space="0" w:color="auto"/>
              <w:bottom w:val="single" w:sz="4" w:space="0" w:color="auto"/>
              <w:right w:val="nil"/>
            </w:tcBorders>
            <w:shd w:val="clear" w:color="auto" w:fill="B4C6E7" w:themeFill="accent1" w:themeFillTint="66"/>
            <w:noWrap/>
            <w:vAlign w:val="center"/>
            <w:hideMark/>
          </w:tcPr>
          <w:p w14:paraId="29FFC24A" w14:textId="77777777" w:rsidR="009D652F" w:rsidRPr="000A36C5" w:rsidRDefault="009D652F" w:rsidP="00005CF2">
            <w:pPr>
              <w:spacing w:after="0" w:line="240" w:lineRule="auto"/>
              <w:jc w:val="center"/>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Development only (n=115)</w:t>
            </w:r>
          </w:p>
        </w:tc>
        <w:tc>
          <w:tcPr>
            <w:tcW w:w="815"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53CD5C2F" w14:textId="77777777" w:rsidR="009D652F" w:rsidRPr="000A36C5" w:rsidRDefault="009D652F" w:rsidP="00005CF2">
            <w:pPr>
              <w:spacing w:after="0" w:line="240" w:lineRule="auto"/>
              <w:jc w:val="center"/>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Development and external validation (n=37)</w:t>
            </w:r>
          </w:p>
        </w:tc>
      </w:tr>
      <w:tr w:rsidR="009D652F" w:rsidRPr="000A36C5" w14:paraId="3688FA21" w14:textId="77777777" w:rsidTr="00005CF2">
        <w:trPr>
          <w:trHeight w:val="259"/>
          <w:jc w:val="center"/>
        </w:trPr>
        <w:tc>
          <w:tcPr>
            <w:tcW w:w="2657" w:type="pct"/>
            <w:vMerge/>
            <w:tcBorders>
              <w:top w:val="single" w:sz="4" w:space="0" w:color="auto"/>
              <w:left w:val="single" w:sz="4" w:space="0" w:color="auto"/>
              <w:bottom w:val="single" w:sz="4" w:space="0" w:color="000000"/>
              <w:right w:val="single" w:sz="4" w:space="0" w:color="auto"/>
            </w:tcBorders>
            <w:shd w:val="clear" w:color="auto" w:fill="B4C6E7" w:themeFill="accent1" w:themeFillTint="66"/>
            <w:vAlign w:val="center"/>
            <w:hideMark/>
          </w:tcPr>
          <w:p w14:paraId="7592AE56" w14:textId="77777777" w:rsidR="009D652F" w:rsidRPr="000A36C5" w:rsidRDefault="009D652F" w:rsidP="00005CF2">
            <w:pPr>
              <w:spacing w:after="0" w:line="240" w:lineRule="auto"/>
              <w:rPr>
                <w:rFonts w:ascii="Calibri" w:eastAsia="Times New Roman" w:hAnsi="Calibri" w:cs="Calibri"/>
                <w:b/>
                <w:bCs/>
                <w:color w:val="000000"/>
                <w:lang w:eastAsia="en-GB"/>
              </w:rPr>
            </w:pPr>
          </w:p>
        </w:tc>
        <w:tc>
          <w:tcPr>
            <w:tcW w:w="740" w:type="pct"/>
            <w:tcBorders>
              <w:top w:val="single" w:sz="4" w:space="0" w:color="auto"/>
              <w:left w:val="nil"/>
              <w:bottom w:val="single" w:sz="4" w:space="0" w:color="auto"/>
              <w:right w:val="single" w:sz="4" w:space="0" w:color="auto"/>
            </w:tcBorders>
            <w:shd w:val="clear" w:color="auto" w:fill="B4C6E7" w:themeFill="accent1" w:themeFillTint="66"/>
            <w:vAlign w:val="center"/>
          </w:tcPr>
          <w:p w14:paraId="173711E1" w14:textId="77777777" w:rsidR="009D652F" w:rsidRPr="000A36C5" w:rsidRDefault="009D652F" w:rsidP="00005CF2">
            <w:pPr>
              <w:spacing w:after="0" w:line="240" w:lineRule="auto"/>
              <w:jc w:val="center"/>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n (%)</w:t>
            </w:r>
          </w:p>
        </w:tc>
        <w:tc>
          <w:tcPr>
            <w:tcW w:w="788" w:type="pct"/>
            <w:tcBorders>
              <w:top w:val="single" w:sz="4" w:space="0" w:color="auto"/>
              <w:left w:val="single" w:sz="4" w:space="0" w:color="auto"/>
              <w:bottom w:val="single" w:sz="4" w:space="0" w:color="auto"/>
              <w:right w:val="nil"/>
            </w:tcBorders>
            <w:shd w:val="clear" w:color="auto" w:fill="B4C6E7" w:themeFill="accent1" w:themeFillTint="66"/>
            <w:noWrap/>
            <w:vAlign w:val="center"/>
            <w:hideMark/>
          </w:tcPr>
          <w:p w14:paraId="36B5A94C" w14:textId="77777777" w:rsidR="009D652F" w:rsidRPr="000A36C5" w:rsidRDefault="009D652F" w:rsidP="00005CF2">
            <w:pPr>
              <w:spacing w:after="0" w:line="240" w:lineRule="auto"/>
              <w:jc w:val="center"/>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n (%)</w:t>
            </w:r>
          </w:p>
        </w:tc>
        <w:tc>
          <w:tcPr>
            <w:tcW w:w="815"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722CAA2A" w14:textId="77777777" w:rsidR="009D652F" w:rsidRPr="000A36C5" w:rsidRDefault="009D652F" w:rsidP="00005CF2">
            <w:pPr>
              <w:spacing w:after="0" w:line="240" w:lineRule="auto"/>
              <w:jc w:val="center"/>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n (%)</w:t>
            </w:r>
          </w:p>
        </w:tc>
      </w:tr>
      <w:tr w:rsidR="009D652F" w:rsidRPr="000A36C5" w14:paraId="2BE57CC1"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3FF09AFB" w14:textId="77777777" w:rsidR="009D652F" w:rsidRPr="000A36C5" w:rsidRDefault="009D652F" w:rsidP="00005CF2">
            <w:pPr>
              <w:spacing w:after="0" w:line="240" w:lineRule="auto"/>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Regression-based</w:t>
            </w:r>
            <w:r>
              <w:rPr>
                <w:rFonts w:ascii="Calibri" w:eastAsia="Times New Roman" w:hAnsi="Calibri" w:cs="Calibri"/>
                <w:b/>
                <w:bCs/>
                <w:color w:val="000000"/>
                <w:lang w:eastAsia="en-GB"/>
              </w:rPr>
              <w:t xml:space="preserve"> machine learning</w:t>
            </w:r>
            <w:r w:rsidRPr="000A36C5">
              <w:rPr>
                <w:rFonts w:ascii="Calibri" w:eastAsia="Times New Roman" w:hAnsi="Calibri" w:cs="Calibri"/>
                <w:b/>
                <w:bCs/>
                <w:color w:val="000000"/>
                <w:lang w:eastAsia="en-GB"/>
              </w:rPr>
              <w:t xml:space="preserve"> models</w:t>
            </w:r>
          </w:p>
        </w:tc>
        <w:tc>
          <w:tcPr>
            <w:tcW w:w="740" w:type="pct"/>
            <w:tcBorders>
              <w:top w:val="nil"/>
              <w:left w:val="nil"/>
              <w:bottom w:val="nil"/>
              <w:right w:val="single" w:sz="4" w:space="0" w:color="auto"/>
            </w:tcBorders>
            <w:vAlign w:val="center"/>
          </w:tcPr>
          <w:p w14:paraId="0C76649B"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42 (27.6)</w:t>
            </w:r>
          </w:p>
        </w:tc>
        <w:tc>
          <w:tcPr>
            <w:tcW w:w="788" w:type="pct"/>
            <w:tcBorders>
              <w:top w:val="nil"/>
              <w:left w:val="single" w:sz="4" w:space="0" w:color="auto"/>
              <w:bottom w:val="nil"/>
              <w:right w:val="nil"/>
            </w:tcBorders>
            <w:shd w:val="clear" w:color="auto" w:fill="auto"/>
            <w:noWrap/>
            <w:vAlign w:val="center"/>
            <w:hideMark/>
          </w:tcPr>
          <w:p w14:paraId="34FE447C"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30 (26.1)</w:t>
            </w:r>
          </w:p>
        </w:tc>
        <w:tc>
          <w:tcPr>
            <w:tcW w:w="815" w:type="pct"/>
            <w:tcBorders>
              <w:top w:val="nil"/>
              <w:left w:val="single" w:sz="4" w:space="0" w:color="auto"/>
              <w:bottom w:val="nil"/>
              <w:right w:val="single" w:sz="4" w:space="0" w:color="auto"/>
            </w:tcBorders>
            <w:shd w:val="clear" w:color="auto" w:fill="auto"/>
            <w:noWrap/>
            <w:vAlign w:val="center"/>
            <w:hideMark/>
          </w:tcPr>
          <w:p w14:paraId="1996090A"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12 (32.4)</w:t>
            </w:r>
          </w:p>
        </w:tc>
      </w:tr>
      <w:tr w:rsidR="009D652F" w:rsidRPr="000A36C5" w14:paraId="4CCCEB20"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1DEFD3D4"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Logistic regression</w:t>
            </w:r>
          </w:p>
        </w:tc>
        <w:tc>
          <w:tcPr>
            <w:tcW w:w="740" w:type="pct"/>
            <w:tcBorders>
              <w:top w:val="nil"/>
              <w:left w:val="nil"/>
              <w:bottom w:val="nil"/>
              <w:right w:val="single" w:sz="4" w:space="0" w:color="auto"/>
            </w:tcBorders>
            <w:vAlign w:val="center"/>
          </w:tcPr>
          <w:p w14:paraId="149E2C15"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27</w:t>
            </w:r>
          </w:p>
        </w:tc>
        <w:tc>
          <w:tcPr>
            <w:tcW w:w="788" w:type="pct"/>
            <w:tcBorders>
              <w:top w:val="nil"/>
              <w:left w:val="single" w:sz="4" w:space="0" w:color="auto"/>
              <w:bottom w:val="nil"/>
              <w:right w:val="nil"/>
            </w:tcBorders>
            <w:shd w:val="clear" w:color="auto" w:fill="auto"/>
            <w:noWrap/>
            <w:vAlign w:val="center"/>
            <w:hideMark/>
          </w:tcPr>
          <w:p w14:paraId="130DE0B9"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19</w:t>
            </w:r>
          </w:p>
        </w:tc>
        <w:tc>
          <w:tcPr>
            <w:tcW w:w="815" w:type="pct"/>
            <w:tcBorders>
              <w:top w:val="nil"/>
              <w:left w:val="single" w:sz="4" w:space="0" w:color="auto"/>
              <w:bottom w:val="nil"/>
              <w:right w:val="single" w:sz="4" w:space="0" w:color="auto"/>
            </w:tcBorders>
            <w:shd w:val="clear" w:color="auto" w:fill="auto"/>
            <w:noWrap/>
            <w:vAlign w:val="center"/>
            <w:hideMark/>
          </w:tcPr>
          <w:p w14:paraId="1672CA70"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8</w:t>
            </w:r>
          </w:p>
        </w:tc>
      </w:tr>
      <w:tr w:rsidR="009D652F" w:rsidRPr="000A36C5" w14:paraId="5E63645A"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6C650C8E"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Cox regression</w:t>
            </w:r>
          </w:p>
        </w:tc>
        <w:tc>
          <w:tcPr>
            <w:tcW w:w="740" w:type="pct"/>
            <w:tcBorders>
              <w:top w:val="nil"/>
              <w:left w:val="nil"/>
              <w:bottom w:val="nil"/>
              <w:right w:val="single" w:sz="4" w:space="0" w:color="auto"/>
            </w:tcBorders>
            <w:vAlign w:val="center"/>
          </w:tcPr>
          <w:p w14:paraId="7B9F8CEF"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8</w:t>
            </w:r>
          </w:p>
        </w:tc>
        <w:tc>
          <w:tcPr>
            <w:tcW w:w="788" w:type="pct"/>
            <w:tcBorders>
              <w:top w:val="nil"/>
              <w:left w:val="single" w:sz="4" w:space="0" w:color="auto"/>
              <w:bottom w:val="nil"/>
              <w:right w:val="nil"/>
            </w:tcBorders>
            <w:shd w:val="clear" w:color="auto" w:fill="auto"/>
            <w:noWrap/>
            <w:vAlign w:val="center"/>
            <w:hideMark/>
          </w:tcPr>
          <w:p w14:paraId="32EE95A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5</w:t>
            </w:r>
          </w:p>
        </w:tc>
        <w:tc>
          <w:tcPr>
            <w:tcW w:w="815" w:type="pct"/>
            <w:tcBorders>
              <w:top w:val="nil"/>
              <w:left w:val="single" w:sz="4" w:space="0" w:color="auto"/>
              <w:bottom w:val="nil"/>
              <w:right w:val="single" w:sz="4" w:space="0" w:color="auto"/>
            </w:tcBorders>
            <w:shd w:val="clear" w:color="auto" w:fill="auto"/>
            <w:noWrap/>
            <w:vAlign w:val="center"/>
            <w:hideMark/>
          </w:tcPr>
          <w:p w14:paraId="05EFDFA5"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r>
      <w:tr w:rsidR="009D652F" w:rsidRPr="000A36C5" w14:paraId="51666812"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260DBF5E"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Linear regression</w:t>
            </w:r>
          </w:p>
        </w:tc>
        <w:tc>
          <w:tcPr>
            <w:tcW w:w="740" w:type="pct"/>
            <w:tcBorders>
              <w:top w:val="nil"/>
              <w:left w:val="nil"/>
              <w:bottom w:val="nil"/>
              <w:right w:val="single" w:sz="4" w:space="0" w:color="auto"/>
            </w:tcBorders>
            <w:vAlign w:val="center"/>
          </w:tcPr>
          <w:p w14:paraId="7873377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c>
          <w:tcPr>
            <w:tcW w:w="788" w:type="pct"/>
            <w:tcBorders>
              <w:top w:val="nil"/>
              <w:left w:val="single" w:sz="4" w:space="0" w:color="auto"/>
              <w:bottom w:val="nil"/>
              <w:right w:val="nil"/>
            </w:tcBorders>
            <w:shd w:val="clear" w:color="auto" w:fill="auto"/>
            <w:noWrap/>
            <w:vAlign w:val="center"/>
            <w:hideMark/>
          </w:tcPr>
          <w:p w14:paraId="7724950B"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c>
          <w:tcPr>
            <w:tcW w:w="815" w:type="pct"/>
            <w:tcBorders>
              <w:top w:val="nil"/>
              <w:left w:val="single" w:sz="4" w:space="0" w:color="auto"/>
              <w:bottom w:val="nil"/>
              <w:right w:val="single" w:sz="4" w:space="0" w:color="auto"/>
            </w:tcBorders>
            <w:shd w:val="clear" w:color="auto" w:fill="auto"/>
            <w:noWrap/>
            <w:vAlign w:val="center"/>
            <w:hideMark/>
          </w:tcPr>
          <w:p w14:paraId="5176B0B8"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4FDA00DF"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60B36396"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LASSO</w:t>
            </w:r>
          </w:p>
        </w:tc>
        <w:tc>
          <w:tcPr>
            <w:tcW w:w="740" w:type="pct"/>
            <w:tcBorders>
              <w:top w:val="nil"/>
              <w:left w:val="nil"/>
              <w:bottom w:val="nil"/>
              <w:right w:val="single" w:sz="4" w:space="0" w:color="auto"/>
            </w:tcBorders>
            <w:vAlign w:val="center"/>
          </w:tcPr>
          <w:p w14:paraId="5D0064A8"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c>
          <w:tcPr>
            <w:tcW w:w="788" w:type="pct"/>
            <w:tcBorders>
              <w:top w:val="nil"/>
              <w:left w:val="single" w:sz="4" w:space="0" w:color="auto"/>
              <w:bottom w:val="nil"/>
              <w:right w:val="nil"/>
            </w:tcBorders>
            <w:shd w:val="clear" w:color="auto" w:fill="auto"/>
            <w:noWrap/>
            <w:vAlign w:val="center"/>
            <w:hideMark/>
          </w:tcPr>
          <w:p w14:paraId="732261D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w:t>
            </w:r>
          </w:p>
        </w:tc>
        <w:tc>
          <w:tcPr>
            <w:tcW w:w="815" w:type="pct"/>
            <w:tcBorders>
              <w:top w:val="nil"/>
              <w:left w:val="single" w:sz="4" w:space="0" w:color="auto"/>
              <w:bottom w:val="nil"/>
              <w:right w:val="single" w:sz="4" w:space="0" w:color="auto"/>
            </w:tcBorders>
            <w:shd w:val="clear" w:color="auto" w:fill="auto"/>
            <w:noWrap/>
            <w:vAlign w:val="center"/>
            <w:hideMark/>
          </w:tcPr>
          <w:p w14:paraId="091042A9"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r>
      <w:tr w:rsidR="009D652F" w:rsidRPr="000A36C5" w14:paraId="07ADD138"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79603CAE"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Other*</w:t>
            </w:r>
          </w:p>
        </w:tc>
        <w:tc>
          <w:tcPr>
            <w:tcW w:w="740" w:type="pct"/>
            <w:tcBorders>
              <w:top w:val="nil"/>
              <w:left w:val="nil"/>
              <w:bottom w:val="nil"/>
              <w:right w:val="single" w:sz="4" w:space="0" w:color="auto"/>
            </w:tcBorders>
            <w:vAlign w:val="center"/>
          </w:tcPr>
          <w:p w14:paraId="7C04DEF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c>
          <w:tcPr>
            <w:tcW w:w="788" w:type="pct"/>
            <w:tcBorders>
              <w:top w:val="nil"/>
              <w:left w:val="single" w:sz="4" w:space="0" w:color="auto"/>
              <w:bottom w:val="nil"/>
              <w:right w:val="nil"/>
            </w:tcBorders>
            <w:shd w:val="clear" w:color="auto" w:fill="auto"/>
            <w:noWrap/>
            <w:vAlign w:val="center"/>
            <w:hideMark/>
          </w:tcPr>
          <w:p w14:paraId="61EA7807"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c>
          <w:tcPr>
            <w:tcW w:w="815" w:type="pct"/>
            <w:tcBorders>
              <w:top w:val="nil"/>
              <w:left w:val="single" w:sz="4" w:space="0" w:color="auto"/>
              <w:bottom w:val="nil"/>
              <w:right w:val="single" w:sz="4" w:space="0" w:color="auto"/>
            </w:tcBorders>
            <w:shd w:val="clear" w:color="auto" w:fill="auto"/>
            <w:noWrap/>
            <w:vAlign w:val="center"/>
            <w:hideMark/>
          </w:tcPr>
          <w:p w14:paraId="7B0B9DB3"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3F6DC061" w14:textId="77777777" w:rsidTr="00005CF2">
        <w:trPr>
          <w:trHeight w:val="259"/>
          <w:jc w:val="center"/>
        </w:trPr>
        <w:tc>
          <w:tcPr>
            <w:tcW w:w="2657" w:type="pct"/>
            <w:tcBorders>
              <w:top w:val="single" w:sz="4" w:space="0" w:color="auto"/>
              <w:left w:val="single" w:sz="4" w:space="0" w:color="auto"/>
              <w:bottom w:val="nil"/>
              <w:right w:val="single" w:sz="4" w:space="0" w:color="auto"/>
            </w:tcBorders>
            <w:shd w:val="clear" w:color="auto" w:fill="auto"/>
            <w:noWrap/>
            <w:vAlign w:val="center"/>
            <w:hideMark/>
          </w:tcPr>
          <w:p w14:paraId="3240081E" w14:textId="77777777" w:rsidR="009D652F" w:rsidRPr="000A36C5" w:rsidRDefault="009D652F" w:rsidP="00005CF2">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Flexible</w:t>
            </w:r>
            <w:r w:rsidRPr="000A36C5">
              <w:rPr>
                <w:rFonts w:ascii="Calibri" w:eastAsia="Times New Roman" w:hAnsi="Calibri" w:cs="Calibri"/>
                <w:b/>
                <w:bCs/>
                <w:color w:val="000000"/>
                <w:lang w:eastAsia="en-GB"/>
              </w:rPr>
              <w:t xml:space="preserve"> machine learning models</w:t>
            </w:r>
          </w:p>
        </w:tc>
        <w:tc>
          <w:tcPr>
            <w:tcW w:w="740" w:type="pct"/>
            <w:tcBorders>
              <w:top w:val="single" w:sz="4" w:space="0" w:color="auto"/>
              <w:left w:val="nil"/>
              <w:bottom w:val="nil"/>
              <w:right w:val="single" w:sz="4" w:space="0" w:color="auto"/>
            </w:tcBorders>
            <w:vAlign w:val="center"/>
          </w:tcPr>
          <w:p w14:paraId="5D843845"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71</w:t>
            </w:r>
            <w:r w:rsidRPr="000A36C5">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46.7</w:t>
            </w:r>
            <w:r w:rsidRPr="000A36C5">
              <w:rPr>
                <w:rFonts w:ascii="Calibri" w:eastAsia="Times New Roman" w:hAnsi="Calibri" w:cs="Calibri"/>
                <w:b/>
                <w:bCs/>
                <w:color w:val="000000"/>
                <w:lang w:eastAsia="en-GB"/>
              </w:rPr>
              <w:t>)</w:t>
            </w:r>
          </w:p>
        </w:tc>
        <w:tc>
          <w:tcPr>
            <w:tcW w:w="788" w:type="pct"/>
            <w:tcBorders>
              <w:top w:val="single" w:sz="4" w:space="0" w:color="auto"/>
              <w:left w:val="single" w:sz="4" w:space="0" w:color="auto"/>
              <w:bottom w:val="nil"/>
              <w:right w:val="nil"/>
            </w:tcBorders>
            <w:shd w:val="clear" w:color="auto" w:fill="auto"/>
            <w:noWrap/>
            <w:vAlign w:val="center"/>
            <w:hideMark/>
          </w:tcPr>
          <w:p w14:paraId="346F92F2"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57</w:t>
            </w:r>
            <w:r w:rsidRPr="000A36C5">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49.6</w:t>
            </w:r>
            <w:r w:rsidRPr="000A36C5">
              <w:rPr>
                <w:rFonts w:ascii="Calibri" w:eastAsia="Times New Roman" w:hAnsi="Calibri" w:cs="Calibri"/>
                <w:b/>
                <w:bCs/>
                <w:color w:val="000000"/>
                <w:lang w:eastAsia="en-GB"/>
              </w:rPr>
              <w:t>)</w:t>
            </w:r>
          </w:p>
        </w:tc>
        <w:tc>
          <w:tcPr>
            <w:tcW w:w="815" w:type="pct"/>
            <w:tcBorders>
              <w:top w:val="single" w:sz="4" w:space="0" w:color="auto"/>
              <w:left w:val="single" w:sz="4" w:space="0" w:color="auto"/>
              <w:bottom w:val="nil"/>
              <w:right w:val="single" w:sz="4" w:space="0" w:color="auto"/>
            </w:tcBorders>
            <w:shd w:val="clear" w:color="auto" w:fill="auto"/>
            <w:noWrap/>
            <w:vAlign w:val="center"/>
            <w:hideMark/>
          </w:tcPr>
          <w:p w14:paraId="37652CA0"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14</w:t>
            </w:r>
            <w:r w:rsidRPr="000A36C5">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37.8</w:t>
            </w:r>
            <w:r w:rsidRPr="000A36C5">
              <w:rPr>
                <w:rFonts w:ascii="Calibri" w:eastAsia="Times New Roman" w:hAnsi="Calibri" w:cs="Calibri"/>
                <w:b/>
                <w:bCs/>
                <w:color w:val="000000"/>
                <w:lang w:eastAsia="en-GB"/>
              </w:rPr>
              <w:t>)</w:t>
            </w:r>
          </w:p>
        </w:tc>
      </w:tr>
      <w:tr w:rsidR="009D652F" w:rsidRPr="000A36C5" w14:paraId="66D0EE06"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707A234D"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Neural network (including deep learning)</w:t>
            </w:r>
          </w:p>
        </w:tc>
        <w:tc>
          <w:tcPr>
            <w:tcW w:w="740" w:type="pct"/>
            <w:tcBorders>
              <w:top w:val="nil"/>
              <w:left w:val="nil"/>
              <w:bottom w:val="nil"/>
              <w:right w:val="single" w:sz="4" w:space="0" w:color="auto"/>
            </w:tcBorders>
            <w:vAlign w:val="center"/>
          </w:tcPr>
          <w:p w14:paraId="18A9278D"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18</w:t>
            </w:r>
          </w:p>
        </w:tc>
        <w:tc>
          <w:tcPr>
            <w:tcW w:w="788" w:type="pct"/>
            <w:tcBorders>
              <w:top w:val="nil"/>
              <w:left w:val="single" w:sz="4" w:space="0" w:color="auto"/>
              <w:bottom w:val="nil"/>
              <w:right w:val="nil"/>
            </w:tcBorders>
            <w:shd w:val="clear" w:color="auto" w:fill="auto"/>
            <w:noWrap/>
            <w:vAlign w:val="center"/>
            <w:hideMark/>
          </w:tcPr>
          <w:p w14:paraId="2C5F1953"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14</w:t>
            </w:r>
          </w:p>
        </w:tc>
        <w:tc>
          <w:tcPr>
            <w:tcW w:w="815" w:type="pct"/>
            <w:tcBorders>
              <w:top w:val="nil"/>
              <w:left w:val="single" w:sz="4" w:space="0" w:color="auto"/>
              <w:bottom w:val="nil"/>
              <w:right w:val="single" w:sz="4" w:space="0" w:color="auto"/>
            </w:tcBorders>
            <w:shd w:val="clear" w:color="auto" w:fill="auto"/>
            <w:noWrap/>
            <w:vAlign w:val="center"/>
            <w:hideMark/>
          </w:tcPr>
          <w:p w14:paraId="575B5B78"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4</w:t>
            </w:r>
          </w:p>
        </w:tc>
      </w:tr>
      <w:tr w:rsidR="009D652F" w:rsidRPr="000A36C5" w14:paraId="085AD1AF"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78483770"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Classification tree (e.g., CART, decision tree)</w:t>
            </w:r>
          </w:p>
        </w:tc>
        <w:tc>
          <w:tcPr>
            <w:tcW w:w="740" w:type="pct"/>
            <w:tcBorders>
              <w:top w:val="nil"/>
              <w:left w:val="nil"/>
              <w:bottom w:val="nil"/>
              <w:right w:val="single" w:sz="4" w:space="0" w:color="auto"/>
            </w:tcBorders>
            <w:vAlign w:val="center"/>
          </w:tcPr>
          <w:p w14:paraId="0583CD09"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28</w:t>
            </w:r>
          </w:p>
        </w:tc>
        <w:tc>
          <w:tcPr>
            <w:tcW w:w="788" w:type="pct"/>
            <w:tcBorders>
              <w:top w:val="nil"/>
              <w:left w:val="single" w:sz="4" w:space="0" w:color="auto"/>
              <w:bottom w:val="nil"/>
              <w:right w:val="nil"/>
            </w:tcBorders>
            <w:shd w:val="clear" w:color="auto" w:fill="auto"/>
            <w:noWrap/>
            <w:vAlign w:val="center"/>
            <w:hideMark/>
          </w:tcPr>
          <w:p w14:paraId="2C5D83C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25</w:t>
            </w:r>
          </w:p>
        </w:tc>
        <w:tc>
          <w:tcPr>
            <w:tcW w:w="815" w:type="pct"/>
            <w:tcBorders>
              <w:top w:val="nil"/>
              <w:left w:val="single" w:sz="4" w:space="0" w:color="auto"/>
              <w:bottom w:val="nil"/>
              <w:right w:val="single" w:sz="4" w:space="0" w:color="auto"/>
            </w:tcBorders>
            <w:shd w:val="clear" w:color="auto" w:fill="auto"/>
            <w:noWrap/>
            <w:vAlign w:val="center"/>
            <w:hideMark/>
          </w:tcPr>
          <w:p w14:paraId="1A96056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r>
      <w:tr w:rsidR="009D652F" w:rsidRPr="000A36C5" w14:paraId="30CA8713"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1F2AEB10"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Support vector machine</w:t>
            </w:r>
          </w:p>
        </w:tc>
        <w:tc>
          <w:tcPr>
            <w:tcW w:w="740" w:type="pct"/>
            <w:tcBorders>
              <w:top w:val="nil"/>
              <w:left w:val="nil"/>
              <w:bottom w:val="nil"/>
              <w:right w:val="single" w:sz="4" w:space="0" w:color="auto"/>
            </w:tcBorders>
            <w:vAlign w:val="center"/>
          </w:tcPr>
          <w:p w14:paraId="4C887909"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12</w:t>
            </w:r>
          </w:p>
        </w:tc>
        <w:tc>
          <w:tcPr>
            <w:tcW w:w="788" w:type="pct"/>
            <w:tcBorders>
              <w:top w:val="nil"/>
              <w:left w:val="single" w:sz="4" w:space="0" w:color="auto"/>
              <w:bottom w:val="nil"/>
              <w:right w:val="nil"/>
            </w:tcBorders>
            <w:shd w:val="clear" w:color="auto" w:fill="auto"/>
            <w:noWrap/>
            <w:vAlign w:val="center"/>
            <w:hideMark/>
          </w:tcPr>
          <w:p w14:paraId="2A983F43"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9</w:t>
            </w:r>
          </w:p>
        </w:tc>
        <w:tc>
          <w:tcPr>
            <w:tcW w:w="815" w:type="pct"/>
            <w:tcBorders>
              <w:top w:val="nil"/>
              <w:left w:val="single" w:sz="4" w:space="0" w:color="auto"/>
              <w:bottom w:val="nil"/>
              <w:right w:val="single" w:sz="4" w:space="0" w:color="auto"/>
            </w:tcBorders>
            <w:shd w:val="clear" w:color="auto" w:fill="auto"/>
            <w:noWrap/>
            <w:vAlign w:val="center"/>
            <w:hideMark/>
          </w:tcPr>
          <w:p w14:paraId="2DBFC3E2"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r>
      <w:tr w:rsidR="009D652F" w:rsidRPr="000A36C5" w14:paraId="70B7D4F0"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64ACB2CD"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Naive Bayes</w:t>
            </w:r>
          </w:p>
        </w:tc>
        <w:tc>
          <w:tcPr>
            <w:tcW w:w="740" w:type="pct"/>
            <w:tcBorders>
              <w:top w:val="nil"/>
              <w:left w:val="nil"/>
              <w:bottom w:val="nil"/>
              <w:right w:val="single" w:sz="4" w:space="0" w:color="auto"/>
            </w:tcBorders>
            <w:vAlign w:val="center"/>
          </w:tcPr>
          <w:p w14:paraId="50544694"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6</w:t>
            </w:r>
          </w:p>
        </w:tc>
        <w:tc>
          <w:tcPr>
            <w:tcW w:w="788" w:type="pct"/>
            <w:tcBorders>
              <w:top w:val="nil"/>
              <w:left w:val="single" w:sz="4" w:space="0" w:color="auto"/>
              <w:bottom w:val="nil"/>
              <w:right w:val="nil"/>
            </w:tcBorders>
            <w:shd w:val="clear" w:color="auto" w:fill="auto"/>
            <w:noWrap/>
            <w:vAlign w:val="center"/>
            <w:hideMark/>
          </w:tcPr>
          <w:p w14:paraId="4C246904"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5</w:t>
            </w:r>
          </w:p>
        </w:tc>
        <w:tc>
          <w:tcPr>
            <w:tcW w:w="815" w:type="pct"/>
            <w:tcBorders>
              <w:top w:val="nil"/>
              <w:left w:val="single" w:sz="4" w:space="0" w:color="auto"/>
              <w:bottom w:val="nil"/>
              <w:right w:val="single" w:sz="4" w:space="0" w:color="auto"/>
            </w:tcBorders>
            <w:shd w:val="clear" w:color="auto" w:fill="auto"/>
            <w:noWrap/>
            <w:vAlign w:val="center"/>
            <w:hideMark/>
          </w:tcPr>
          <w:p w14:paraId="2BDDA2B5"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r>
      <w:tr w:rsidR="009D652F" w:rsidRPr="000A36C5" w14:paraId="376F2D0A"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5770FD90"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K nearest neighbours</w:t>
            </w:r>
          </w:p>
        </w:tc>
        <w:tc>
          <w:tcPr>
            <w:tcW w:w="740" w:type="pct"/>
            <w:tcBorders>
              <w:top w:val="nil"/>
              <w:left w:val="nil"/>
              <w:bottom w:val="nil"/>
              <w:right w:val="single" w:sz="4" w:space="0" w:color="auto"/>
            </w:tcBorders>
            <w:vAlign w:val="center"/>
          </w:tcPr>
          <w:p w14:paraId="24BC5940"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c>
          <w:tcPr>
            <w:tcW w:w="788" w:type="pct"/>
            <w:tcBorders>
              <w:top w:val="nil"/>
              <w:left w:val="single" w:sz="4" w:space="0" w:color="auto"/>
              <w:bottom w:val="nil"/>
              <w:right w:val="nil"/>
            </w:tcBorders>
            <w:shd w:val="clear" w:color="auto" w:fill="auto"/>
            <w:noWrap/>
            <w:vAlign w:val="center"/>
            <w:hideMark/>
          </w:tcPr>
          <w:p w14:paraId="68B8C137"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c>
          <w:tcPr>
            <w:tcW w:w="815" w:type="pct"/>
            <w:tcBorders>
              <w:top w:val="nil"/>
              <w:left w:val="single" w:sz="4" w:space="0" w:color="auto"/>
              <w:bottom w:val="nil"/>
              <w:right w:val="single" w:sz="4" w:space="0" w:color="auto"/>
            </w:tcBorders>
            <w:shd w:val="clear" w:color="auto" w:fill="auto"/>
            <w:noWrap/>
            <w:vAlign w:val="center"/>
            <w:hideMark/>
          </w:tcPr>
          <w:p w14:paraId="12D95A70"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w:t>
            </w:r>
          </w:p>
        </w:tc>
      </w:tr>
      <w:tr w:rsidR="009D652F" w:rsidRPr="000A36C5" w14:paraId="21BE9E4B" w14:textId="77777777" w:rsidTr="00005CF2">
        <w:trPr>
          <w:trHeight w:val="259"/>
          <w:jc w:val="center"/>
        </w:trPr>
        <w:tc>
          <w:tcPr>
            <w:tcW w:w="2657" w:type="pct"/>
            <w:tcBorders>
              <w:top w:val="nil"/>
              <w:left w:val="single" w:sz="4" w:space="0" w:color="auto"/>
              <w:bottom w:val="single" w:sz="4" w:space="0" w:color="auto"/>
              <w:right w:val="single" w:sz="4" w:space="0" w:color="auto"/>
            </w:tcBorders>
            <w:shd w:val="clear" w:color="auto" w:fill="auto"/>
            <w:noWrap/>
            <w:vAlign w:val="center"/>
            <w:hideMark/>
          </w:tcPr>
          <w:p w14:paraId="3F1FB4DF"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Other**</w:t>
            </w:r>
          </w:p>
        </w:tc>
        <w:tc>
          <w:tcPr>
            <w:tcW w:w="740" w:type="pct"/>
            <w:tcBorders>
              <w:top w:val="nil"/>
              <w:left w:val="nil"/>
              <w:bottom w:val="single" w:sz="4" w:space="0" w:color="auto"/>
              <w:right w:val="single" w:sz="4" w:space="0" w:color="auto"/>
            </w:tcBorders>
            <w:vAlign w:val="center"/>
          </w:tcPr>
          <w:p w14:paraId="3E6A997E"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4</w:t>
            </w:r>
          </w:p>
        </w:tc>
        <w:tc>
          <w:tcPr>
            <w:tcW w:w="788" w:type="pct"/>
            <w:tcBorders>
              <w:top w:val="nil"/>
              <w:left w:val="single" w:sz="4" w:space="0" w:color="auto"/>
              <w:bottom w:val="single" w:sz="4" w:space="0" w:color="auto"/>
              <w:right w:val="nil"/>
            </w:tcBorders>
            <w:shd w:val="clear" w:color="auto" w:fill="auto"/>
            <w:noWrap/>
            <w:vAlign w:val="center"/>
            <w:hideMark/>
          </w:tcPr>
          <w:p w14:paraId="1A8F3F62"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3</w:t>
            </w:r>
          </w:p>
        </w:tc>
        <w:tc>
          <w:tcPr>
            <w:tcW w:w="815" w:type="pct"/>
            <w:tcBorders>
              <w:top w:val="nil"/>
              <w:left w:val="single" w:sz="4" w:space="0" w:color="auto"/>
              <w:bottom w:val="single" w:sz="4" w:space="0" w:color="auto"/>
              <w:right w:val="single" w:sz="4" w:space="0" w:color="auto"/>
            </w:tcBorders>
            <w:shd w:val="clear" w:color="auto" w:fill="auto"/>
            <w:noWrap/>
            <w:vAlign w:val="center"/>
            <w:hideMark/>
          </w:tcPr>
          <w:p w14:paraId="047F4675"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r>
      <w:tr w:rsidR="009D652F" w:rsidRPr="000A36C5" w14:paraId="44FCE0F9"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28CB6808" w14:textId="77777777" w:rsidR="009D652F" w:rsidRPr="000A36C5" w:rsidRDefault="009D652F" w:rsidP="00005CF2">
            <w:pPr>
              <w:spacing w:after="0" w:line="240" w:lineRule="auto"/>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Ensemble models</w:t>
            </w:r>
          </w:p>
        </w:tc>
        <w:tc>
          <w:tcPr>
            <w:tcW w:w="740" w:type="pct"/>
            <w:tcBorders>
              <w:top w:val="nil"/>
              <w:left w:val="nil"/>
              <w:bottom w:val="nil"/>
              <w:right w:val="single" w:sz="4" w:space="0" w:color="auto"/>
            </w:tcBorders>
            <w:vAlign w:val="center"/>
          </w:tcPr>
          <w:p w14:paraId="1E62CB02"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39</w:t>
            </w:r>
            <w:r w:rsidRPr="000A36C5">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25.7</w:t>
            </w:r>
            <w:r w:rsidRPr="000A36C5">
              <w:rPr>
                <w:rFonts w:ascii="Calibri" w:eastAsia="Times New Roman" w:hAnsi="Calibri" w:cs="Calibri"/>
                <w:b/>
                <w:bCs/>
                <w:color w:val="000000"/>
                <w:lang w:eastAsia="en-GB"/>
              </w:rPr>
              <w:t>)</w:t>
            </w:r>
          </w:p>
        </w:tc>
        <w:tc>
          <w:tcPr>
            <w:tcW w:w="788" w:type="pct"/>
            <w:tcBorders>
              <w:top w:val="nil"/>
              <w:left w:val="single" w:sz="4" w:space="0" w:color="auto"/>
              <w:bottom w:val="nil"/>
              <w:right w:val="nil"/>
            </w:tcBorders>
            <w:shd w:val="clear" w:color="auto" w:fill="auto"/>
            <w:noWrap/>
            <w:vAlign w:val="center"/>
            <w:hideMark/>
          </w:tcPr>
          <w:p w14:paraId="4F12C5DF"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28</w:t>
            </w:r>
            <w:r w:rsidRPr="000A36C5">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24.4</w:t>
            </w:r>
            <w:r w:rsidRPr="000A36C5">
              <w:rPr>
                <w:rFonts w:ascii="Calibri" w:eastAsia="Times New Roman" w:hAnsi="Calibri" w:cs="Calibri"/>
                <w:b/>
                <w:bCs/>
                <w:color w:val="000000"/>
                <w:lang w:eastAsia="en-GB"/>
              </w:rPr>
              <w:t>)</w:t>
            </w:r>
          </w:p>
        </w:tc>
        <w:tc>
          <w:tcPr>
            <w:tcW w:w="815" w:type="pct"/>
            <w:tcBorders>
              <w:top w:val="nil"/>
              <w:left w:val="single" w:sz="4" w:space="0" w:color="auto"/>
              <w:bottom w:val="nil"/>
              <w:right w:val="single" w:sz="4" w:space="0" w:color="auto"/>
            </w:tcBorders>
            <w:shd w:val="clear" w:color="auto" w:fill="auto"/>
            <w:noWrap/>
            <w:vAlign w:val="center"/>
            <w:hideMark/>
          </w:tcPr>
          <w:p w14:paraId="1E3DD40E"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11</w:t>
            </w:r>
            <w:r w:rsidRPr="000A36C5">
              <w:rPr>
                <w:rFonts w:ascii="Calibri" w:eastAsia="Times New Roman" w:hAnsi="Calibri" w:cs="Calibri"/>
                <w:b/>
                <w:bCs/>
                <w:color w:val="000000"/>
                <w:lang w:eastAsia="en-GB"/>
              </w:rPr>
              <w:t xml:space="preserve"> (</w:t>
            </w:r>
            <w:r>
              <w:rPr>
                <w:rFonts w:ascii="Calibri" w:eastAsia="Times New Roman" w:hAnsi="Calibri" w:cs="Calibri"/>
                <w:b/>
                <w:bCs/>
                <w:color w:val="000000"/>
                <w:lang w:eastAsia="en-GB"/>
              </w:rPr>
              <w:t>29.7</w:t>
            </w:r>
            <w:r w:rsidRPr="000A36C5">
              <w:rPr>
                <w:rFonts w:ascii="Calibri" w:eastAsia="Times New Roman" w:hAnsi="Calibri" w:cs="Calibri"/>
                <w:b/>
                <w:bCs/>
                <w:color w:val="000000"/>
                <w:lang w:eastAsia="en-GB"/>
              </w:rPr>
              <w:t>)</w:t>
            </w:r>
          </w:p>
        </w:tc>
      </w:tr>
      <w:tr w:rsidR="009D652F" w:rsidRPr="000A36C5" w14:paraId="25EE06D4"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tcPr>
          <w:p w14:paraId="344F79AA" w14:textId="77777777" w:rsidR="009D652F" w:rsidRPr="000A36C5" w:rsidRDefault="009D652F" w:rsidP="00005CF2">
            <w:pPr>
              <w:spacing w:after="0" w:line="240" w:lineRule="auto"/>
              <w:rPr>
                <w:rFonts w:ascii="Calibri" w:eastAsia="Times New Roman" w:hAnsi="Calibri" w:cs="Calibri"/>
                <w:b/>
                <w:bCs/>
                <w:color w:val="000000"/>
                <w:lang w:eastAsia="en-GB"/>
              </w:rPr>
            </w:pPr>
            <w:r w:rsidRPr="000A36C5">
              <w:rPr>
                <w:rFonts w:ascii="Calibri" w:eastAsia="Times New Roman" w:hAnsi="Calibri" w:cs="Calibri"/>
                <w:color w:val="000000"/>
                <w:lang w:eastAsia="en-GB"/>
              </w:rPr>
              <w:t>Random forest (including random survival forest)</w:t>
            </w:r>
          </w:p>
        </w:tc>
        <w:tc>
          <w:tcPr>
            <w:tcW w:w="740" w:type="pct"/>
            <w:tcBorders>
              <w:top w:val="nil"/>
              <w:left w:val="nil"/>
              <w:bottom w:val="nil"/>
              <w:right w:val="single" w:sz="4" w:space="0" w:color="auto"/>
            </w:tcBorders>
            <w:vAlign w:val="center"/>
          </w:tcPr>
          <w:p w14:paraId="67FB33FD"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color w:val="000000"/>
                <w:lang w:eastAsia="en-GB"/>
              </w:rPr>
              <w:t>23</w:t>
            </w:r>
          </w:p>
        </w:tc>
        <w:tc>
          <w:tcPr>
            <w:tcW w:w="788" w:type="pct"/>
            <w:tcBorders>
              <w:top w:val="nil"/>
              <w:left w:val="single" w:sz="4" w:space="0" w:color="auto"/>
              <w:bottom w:val="nil"/>
              <w:right w:val="nil"/>
            </w:tcBorders>
            <w:shd w:val="clear" w:color="auto" w:fill="auto"/>
            <w:noWrap/>
            <w:vAlign w:val="center"/>
          </w:tcPr>
          <w:p w14:paraId="2B066AD2"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color w:val="000000"/>
                <w:lang w:eastAsia="en-GB"/>
              </w:rPr>
              <w:t>19</w:t>
            </w:r>
          </w:p>
        </w:tc>
        <w:tc>
          <w:tcPr>
            <w:tcW w:w="815" w:type="pct"/>
            <w:tcBorders>
              <w:top w:val="nil"/>
              <w:left w:val="single" w:sz="4" w:space="0" w:color="auto"/>
              <w:bottom w:val="nil"/>
              <w:right w:val="single" w:sz="4" w:space="0" w:color="auto"/>
            </w:tcBorders>
            <w:shd w:val="clear" w:color="auto" w:fill="auto"/>
            <w:noWrap/>
            <w:vAlign w:val="center"/>
          </w:tcPr>
          <w:p w14:paraId="303CC212"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color w:val="000000"/>
                <w:lang w:eastAsia="en-GB"/>
              </w:rPr>
              <w:t xml:space="preserve">4 </w:t>
            </w:r>
          </w:p>
        </w:tc>
      </w:tr>
      <w:tr w:rsidR="009D652F" w:rsidRPr="000A36C5" w14:paraId="70BAAA3E"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tcPr>
          <w:p w14:paraId="3788C823" w14:textId="77777777" w:rsidR="009D652F" w:rsidRPr="000A36C5" w:rsidRDefault="009D652F" w:rsidP="00005CF2">
            <w:pPr>
              <w:spacing w:after="0" w:line="240" w:lineRule="auto"/>
              <w:rPr>
                <w:rFonts w:ascii="Calibri" w:eastAsia="Times New Roman" w:hAnsi="Calibri" w:cs="Calibri"/>
                <w:b/>
                <w:bCs/>
                <w:color w:val="000000"/>
                <w:lang w:eastAsia="en-GB"/>
              </w:rPr>
            </w:pPr>
            <w:r w:rsidRPr="000A36C5">
              <w:rPr>
                <w:rFonts w:ascii="Calibri" w:eastAsia="Times New Roman" w:hAnsi="Calibri" w:cs="Calibri"/>
                <w:color w:val="000000"/>
                <w:lang w:eastAsia="en-GB"/>
              </w:rPr>
              <w:t>Gradient boosting machine</w:t>
            </w:r>
          </w:p>
        </w:tc>
        <w:tc>
          <w:tcPr>
            <w:tcW w:w="740" w:type="pct"/>
            <w:tcBorders>
              <w:top w:val="nil"/>
              <w:left w:val="nil"/>
              <w:bottom w:val="nil"/>
              <w:right w:val="single" w:sz="4" w:space="0" w:color="auto"/>
            </w:tcBorders>
            <w:vAlign w:val="center"/>
          </w:tcPr>
          <w:p w14:paraId="1572A762"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color w:val="000000"/>
                <w:lang w:eastAsia="en-GB"/>
              </w:rPr>
              <w:t>8</w:t>
            </w:r>
          </w:p>
        </w:tc>
        <w:tc>
          <w:tcPr>
            <w:tcW w:w="788" w:type="pct"/>
            <w:tcBorders>
              <w:top w:val="nil"/>
              <w:left w:val="single" w:sz="4" w:space="0" w:color="auto"/>
              <w:bottom w:val="nil"/>
              <w:right w:val="nil"/>
            </w:tcBorders>
            <w:shd w:val="clear" w:color="auto" w:fill="auto"/>
            <w:noWrap/>
            <w:vAlign w:val="center"/>
          </w:tcPr>
          <w:p w14:paraId="6A8C04B6"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color w:val="000000"/>
                <w:lang w:eastAsia="en-GB"/>
              </w:rPr>
              <w:t>3</w:t>
            </w:r>
          </w:p>
        </w:tc>
        <w:tc>
          <w:tcPr>
            <w:tcW w:w="815" w:type="pct"/>
            <w:tcBorders>
              <w:top w:val="nil"/>
              <w:left w:val="single" w:sz="4" w:space="0" w:color="auto"/>
              <w:bottom w:val="nil"/>
              <w:right w:val="single" w:sz="4" w:space="0" w:color="auto"/>
            </w:tcBorders>
            <w:shd w:val="clear" w:color="auto" w:fill="auto"/>
            <w:noWrap/>
            <w:vAlign w:val="center"/>
          </w:tcPr>
          <w:p w14:paraId="189D971B" w14:textId="77777777" w:rsidR="009D652F" w:rsidRPr="000A36C5" w:rsidRDefault="009D652F" w:rsidP="00005CF2">
            <w:pPr>
              <w:spacing w:after="0" w:line="240" w:lineRule="auto"/>
              <w:jc w:val="right"/>
              <w:rPr>
                <w:rFonts w:ascii="Calibri" w:eastAsia="Times New Roman" w:hAnsi="Calibri" w:cs="Calibri"/>
                <w:b/>
                <w:bCs/>
                <w:color w:val="000000"/>
                <w:lang w:eastAsia="en-GB"/>
              </w:rPr>
            </w:pPr>
            <w:r w:rsidRPr="000A36C5">
              <w:rPr>
                <w:rFonts w:ascii="Calibri" w:eastAsia="Times New Roman" w:hAnsi="Calibri" w:cs="Calibri"/>
                <w:color w:val="000000"/>
                <w:lang w:eastAsia="en-GB"/>
              </w:rPr>
              <w:t xml:space="preserve">5 </w:t>
            </w:r>
          </w:p>
        </w:tc>
      </w:tr>
      <w:tr w:rsidR="009D652F" w:rsidRPr="000A36C5" w14:paraId="6A6A61DC"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4421F8A5"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RUSBoost - boosted random forests</w:t>
            </w:r>
          </w:p>
        </w:tc>
        <w:tc>
          <w:tcPr>
            <w:tcW w:w="740" w:type="pct"/>
            <w:tcBorders>
              <w:top w:val="nil"/>
              <w:left w:val="nil"/>
              <w:bottom w:val="nil"/>
              <w:right w:val="single" w:sz="4" w:space="0" w:color="auto"/>
            </w:tcBorders>
            <w:vAlign w:val="center"/>
          </w:tcPr>
          <w:p w14:paraId="664CAFF9"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1</w:t>
            </w:r>
          </w:p>
        </w:tc>
        <w:tc>
          <w:tcPr>
            <w:tcW w:w="788" w:type="pct"/>
            <w:tcBorders>
              <w:top w:val="nil"/>
              <w:left w:val="single" w:sz="4" w:space="0" w:color="auto"/>
              <w:bottom w:val="nil"/>
              <w:right w:val="nil"/>
            </w:tcBorders>
            <w:shd w:val="clear" w:color="auto" w:fill="auto"/>
            <w:noWrap/>
            <w:hideMark/>
          </w:tcPr>
          <w:p w14:paraId="2707E21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9381F">
              <w:t>1</w:t>
            </w:r>
          </w:p>
        </w:tc>
        <w:tc>
          <w:tcPr>
            <w:tcW w:w="815" w:type="pct"/>
            <w:tcBorders>
              <w:top w:val="nil"/>
              <w:left w:val="single" w:sz="4" w:space="0" w:color="auto"/>
              <w:bottom w:val="nil"/>
              <w:right w:val="single" w:sz="4" w:space="0" w:color="auto"/>
            </w:tcBorders>
            <w:shd w:val="clear" w:color="auto" w:fill="auto"/>
            <w:noWrap/>
            <w:vAlign w:val="center"/>
            <w:hideMark/>
          </w:tcPr>
          <w:p w14:paraId="74793EC8"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3A0DD1E3"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0E3921A5"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Bagging with J48 selected by Auto-WEKA</w:t>
            </w:r>
          </w:p>
        </w:tc>
        <w:tc>
          <w:tcPr>
            <w:tcW w:w="740" w:type="pct"/>
            <w:tcBorders>
              <w:top w:val="nil"/>
              <w:left w:val="nil"/>
              <w:bottom w:val="nil"/>
              <w:right w:val="single" w:sz="4" w:space="0" w:color="auto"/>
            </w:tcBorders>
          </w:tcPr>
          <w:p w14:paraId="40CC7FE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hideMark/>
          </w:tcPr>
          <w:p w14:paraId="0054576E"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9381F">
              <w:t>1</w:t>
            </w:r>
          </w:p>
        </w:tc>
        <w:tc>
          <w:tcPr>
            <w:tcW w:w="815" w:type="pct"/>
            <w:tcBorders>
              <w:top w:val="nil"/>
              <w:left w:val="single" w:sz="4" w:space="0" w:color="auto"/>
              <w:bottom w:val="nil"/>
              <w:right w:val="single" w:sz="4" w:space="0" w:color="auto"/>
            </w:tcBorders>
            <w:shd w:val="clear" w:color="auto" w:fill="auto"/>
            <w:noWrap/>
            <w:vAlign w:val="center"/>
            <w:hideMark/>
          </w:tcPr>
          <w:p w14:paraId="3EAAD082"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655E208A"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3F39BE57"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CoxBoost - boosted Cox regression</w:t>
            </w:r>
          </w:p>
        </w:tc>
        <w:tc>
          <w:tcPr>
            <w:tcW w:w="740" w:type="pct"/>
            <w:tcBorders>
              <w:top w:val="nil"/>
              <w:left w:val="nil"/>
              <w:bottom w:val="nil"/>
              <w:right w:val="single" w:sz="4" w:space="0" w:color="auto"/>
            </w:tcBorders>
          </w:tcPr>
          <w:p w14:paraId="2547F762"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hideMark/>
          </w:tcPr>
          <w:p w14:paraId="54EA3408"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9381F">
              <w:t>1</w:t>
            </w:r>
          </w:p>
        </w:tc>
        <w:tc>
          <w:tcPr>
            <w:tcW w:w="815" w:type="pct"/>
            <w:tcBorders>
              <w:top w:val="nil"/>
              <w:left w:val="single" w:sz="4" w:space="0" w:color="auto"/>
              <w:bottom w:val="nil"/>
              <w:right w:val="single" w:sz="4" w:space="0" w:color="auto"/>
            </w:tcBorders>
            <w:shd w:val="clear" w:color="auto" w:fill="auto"/>
            <w:noWrap/>
            <w:vAlign w:val="center"/>
            <w:hideMark/>
          </w:tcPr>
          <w:p w14:paraId="37DAF10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375DBB84"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67133D66"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XGBoost: exTreme Gradient Boosting</w:t>
            </w:r>
          </w:p>
        </w:tc>
        <w:tc>
          <w:tcPr>
            <w:tcW w:w="740" w:type="pct"/>
            <w:tcBorders>
              <w:top w:val="nil"/>
              <w:left w:val="nil"/>
              <w:bottom w:val="nil"/>
              <w:right w:val="single" w:sz="4" w:space="0" w:color="auto"/>
            </w:tcBorders>
          </w:tcPr>
          <w:p w14:paraId="68276824"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vAlign w:val="center"/>
            <w:hideMark/>
          </w:tcPr>
          <w:p w14:paraId="4AD3111B"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c>
          <w:tcPr>
            <w:tcW w:w="815" w:type="pct"/>
            <w:tcBorders>
              <w:top w:val="nil"/>
              <w:left w:val="single" w:sz="4" w:space="0" w:color="auto"/>
              <w:bottom w:val="nil"/>
              <w:right w:val="single" w:sz="4" w:space="0" w:color="auto"/>
            </w:tcBorders>
            <w:shd w:val="clear" w:color="auto" w:fill="auto"/>
            <w:noWrap/>
            <w:vAlign w:val="center"/>
            <w:hideMark/>
          </w:tcPr>
          <w:p w14:paraId="1E442575"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 xml:space="preserve">1 </w:t>
            </w:r>
          </w:p>
        </w:tc>
      </w:tr>
      <w:tr w:rsidR="009D652F" w:rsidRPr="000A36C5" w14:paraId="153BE10B"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21EF91C5"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Gradient boosting machine and Nystroem, combined using elastic net</w:t>
            </w:r>
          </w:p>
        </w:tc>
        <w:tc>
          <w:tcPr>
            <w:tcW w:w="740" w:type="pct"/>
            <w:tcBorders>
              <w:top w:val="nil"/>
              <w:left w:val="nil"/>
              <w:bottom w:val="nil"/>
              <w:right w:val="single" w:sz="4" w:space="0" w:color="auto"/>
            </w:tcBorders>
          </w:tcPr>
          <w:p w14:paraId="7EB7EBB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vAlign w:val="center"/>
            <w:hideMark/>
          </w:tcPr>
          <w:p w14:paraId="70DB7BD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c>
          <w:tcPr>
            <w:tcW w:w="815" w:type="pct"/>
            <w:tcBorders>
              <w:top w:val="nil"/>
              <w:left w:val="single" w:sz="4" w:space="0" w:color="auto"/>
              <w:bottom w:val="nil"/>
              <w:right w:val="single" w:sz="4" w:space="0" w:color="auto"/>
            </w:tcBorders>
            <w:shd w:val="clear" w:color="auto" w:fill="auto"/>
            <w:noWrap/>
            <w:vAlign w:val="center"/>
            <w:hideMark/>
          </w:tcPr>
          <w:p w14:paraId="2F2ABA5A"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 xml:space="preserve">1 </w:t>
            </w:r>
          </w:p>
        </w:tc>
      </w:tr>
      <w:tr w:rsidR="009D652F" w:rsidRPr="000A36C5" w14:paraId="12C2B532"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35352E60"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Adaboost</w:t>
            </w:r>
          </w:p>
        </w:tc>
        <w:tc>
          <w:tcPr>
            <w:tcW w:w="740" w:type="pct"/>
            <w:tcBorders>
              <w:top w:val="nil"/>
              <w:left w:val="nil"/>
              <w:bottom w:val="nil"/>
              <w:right w:val="single" w:sz="4" w:space="0" w:color="auto"/>
            </w:tcBorders>
          </w:tcPr>
          <w:p w14:paraId="5440E85F"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hideMark/>
          </w:tcPr>
          <w:p w14:paraId="591F7A00"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AB6418">
              <w:t>1</w:t>
            </w:r>
          </w:p>
        </w:tc>
        <w:tc>
          <w:tcPr>
            <w:tcW w:w="815" w:type="pct"/>
            <w:tcBorders>
              <w:top w:val="nil"/>
              <w:left w:val="single" w:sz="4" w:space="0" w:color="auto"/>
              <w:bottom w:val="nil"/>
              <w:right w:val="single" w:sz="4" w:space="0" w:color="auto"/>
            </w:tcBorders>
            <w:shd w:val="clear" w:color="auto" w:fill="auto"/>
            <w:noWrap/>
            <w:vAlign w:val="center"/>
            <w:hideMark/>
          </w:tcPr>
          <w:p w14:paraId="279824A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203BD149"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52ADFE2E"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Bagging, method not specified</w:t>
            </w:r>
          </w:p>
        </w:tc>
        <w:tc>
          <w:tcPr>
            <w:tcW w:w="740" w:type="pct"/>
            <w:tcBorders>
              <w:top w:val="nil"/>
              <w:left w:val="nil"/>
              <w:bottom w:val="nil"/>
              <w:right w:val="single" w:sz="4" w:space="0" w:color="auto"/>
            </w:tcBorders>
          </w:tcPr>
          <w:p w14:paraId="77FCFB55"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hideMark/>
          </w:tcPr>
          <w:p w14:paraId="3F42D6CD"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AB6418">
              <w:t>1</w:t>
            </w:r>
          </w:p>
        </w:tc>
        <w:tc>
          <w:tcPr>
            <w:tcW w:w="815" w:type="pct"/>
            <w:tcBorders>
              <w:top w:val="nil"/>
              <w:left w:val="single" w:sz="4" w:space="0" w:color="auto"/>
              <w:bottom w:val="nil"/>
              <w:right w:val="single" w:sz="4" w:space="0" w:color="auto"/>
            </w:tcBorders>
            <w:shd w:val="clear" w:color="auto" w:fill="auto"/>
            <w:noWrap/>
            <w:vAlign w:val="center"/>
            <w:hideMark/>
          </w:tcPr>
          <w:p w14:paraId="0237581C"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42FD1E5F" w14:textId="77777777" w:rsidTr="00005CF2">
        <w:trPr>
          <w:trHeight w:val="259"/>
          <w:jc w:val="center"/>
        </w:trPr>
        <w:tc>
          <w:tcPr>
            <w:tcW w:w="2657" w:type="pct"/>
            <w:tcBorders>
              <w:top w:val="nil"/>
              <w:left w:val="single" w:sz="4" w:space="0" w:color="auto"/>
              <w:bottom w:val="nil"/>
              <w:right w:val="single" w:sz="4" w:space="0" w:color="auto"/>
            </w:tcBorders>
            <w:shd w:val="clear" w:color="auto" w:fill="auto"/>
            <w:noWrap/>
            <w:vAlign w:val="center"/>
            <w:hideMark/>
          </w:tcPr>
          <w:p w14:paraId="31D8B052" w14:textId="77777777" w:rsidR="009D652F" w:rsidRPr="000A36C5" w:rsidRDefault="009D652F" w:rsidP="00005CF2">
            <w:pPr>
              <w:spacing w:after="0" w:line="240" w:lineRule="auto"/>
              <w:rPr>
                <w:rFonts w:ascii="Calibri" w:eastAsia="Times New Roman" w:hAnsi="Calibri" w:cs="Calibri"/>
                <w:color w:val="000000"/>
                <w:lang w:eastAsia="en-GB"/>
              </w:rPr>
            </w:pPr>
            <w:r w:rsidRPr="000A36C5">
              <w:rPr>
                <w:rFonts w:ascii="Calibri" w:eastAsia="Times New Roman" w:hAnsi="Calibri" w:cs="Calibri"/>
                <w:color w:val="000000"/>
                <w:lang w:eastAsia="en-GB"/>
              </w:rPr>
              <w:t>Partitioning Around Medoid algorithm and complete linkage method</w:t>
            </w:r>
          </w:p>
        </w:tc>
        <w:tc>
          <w:tcPr>
            <w:tcW w:w="740" w:type="pct"/>
            <w:tcBorders>
              <w:top w:val="nil"/>
              <w:left w:val="nil"/>
              <w:bottom w:val="nil"/>
              <w:right w:val="single" w:sz="4" w:space="0" w:color="auto"/>
            </w:tcBorders>
          </w:tcPr>
          <w:p w14:paraId="60F0F940"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C9437B">
              <w:t>1</w:t>
            </w:r>
          </w:p>
        </w:tc>
        <w:tc>
          <w:tcPr>
            <w:tcW w:w="788" w:type="pct"/>
            <w:tcBorders>
              <w:top w:val="nil"/>
              <w:left w:val="single" w:sz="4" w:space="0" w:color="auto"/>
              <w:bottom w:val="nil"/>
              <w:right w:val="nil"/>
            </w:tcBorders>
            <w:shd w:val="clear" w:color="auto" w:fill="auto"/>
            <w:noWrap/>
            <w:hideMark/>
          </w:tcPr>
          <w:p w14:paraId="179706B0"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AB6418">
              <w:t>1</w:t>
            </w:r>
          </w:p>
        </w:tc>
        <w:tc>
          <w:tcPr>
            <w:tcW w:w="815" w:type="pct"/>
            <w:tcBorders>
              <w:top w:val="nil"/>
              <w:left w:val="single" w:sz="4" w:space="0" w:color="auto"/>
              <w:bottom w:val="nil"/>
              <w:right w:val="single" w:sz="4" w:space="0" w:color="auto"/>
            </w:tcBorders>
            <w:shd w:val="clear" w:color="auto" w:fill="auto"/>
            <w:noWrap/>
            <w:vAlign w:val="center"/>
            <w:hideMark/>
          </w:tcPr>
          <w:p w14:paraId="17E839C6"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w:t>
            </w:r>
          </w:p>
        </w:tc>
      </w:tr>
      <w:tr w:rsidR="009D652F" w:rsidRPr="000A36C5" w14:paraId="2074FBD8" w14:textId="77777777" w:rsidTr="00005CF2">
        <w:trPr>
          <w:trHeight w:val="259"/>
          <w:jc w:val="center"/>
        </w:trPr>
        <w:tc>
          <w:tcPr>
            <w:tcW w:w="26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2FA42" w14:textId="77777777" w:rsidR="009D652F" w:rsidRPr="000A36C5" w:rsidRDefault="009D652F" w:rsidP="00005CF2">
            <w:pPr>
              <w:spacing w:after="0" w:line="240" w:lineRule="auto"/>
              <w:rPr>
                <w:rFonts w:ascii="Calibri" w:eastAsia="Times New Roman" w:hAnsi="Calibri" w:cs="Calibri"/>
                <w:b/>
                <w:bCs/>
                <w:color w:val="000000"/>
                <w:lang w:eastAsia="en-GB"/>
              </w:rPr>
            </w:pPr>
            <w:r w:rsidRPr="000A36C5">
              <w:rPr>
                <w:rFonts w:ascii="Calibri" w:eastAsia="Times New Roman" w:hAnsi="Calibri" w:cs="Calibri"/>
                <w:b/>
                <w:bCs/>
                <w:color w:val="000000"/>
                <w:lang w:eastAsia="en-GB"/>
              </w:rPr>
              <w:t>Median number of models developed per study [IQR], range</w:t>
            </w:r>
          </w:p>
        </w:tc>
        <w:tc>
          <w:tcPr>
            <w:tcW w:w="740" w:type="pct"/>
            <w:tcBorders>
              <w:top w:val="single" w:sz="4" w:space="0" w:color="auto"/>
              <w:left w:val="nil"/>
              <w:bottom w:val="single" w:sz="4" w:space="0" w:color="auto"/>
              <w:right w:val="single" w:sz="4" w:space="0" w:color="auto"/>
            </w:tcBorders>
            <w:vAlign w:val="center"/>
          </w:tcPr>
          <w:p w14:paraId="52C75DFD"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 [1-4], 1-6</w:t>
            </w:r>
          </w:p>
        </w:tc>
        <w:tc>
          <w:tcPr>
            <w:tcW w:w="788" w:type="pct"/>
            <w:tcBorders>
              <w:top w:val="single" w:sz="4" w:space="0" w:color="auto"/>
              <w:left w:val="single" w:sz="4" w:space="0" w:color="auto"/>
              <w:bottom w:val="single" w:sz="4" w:space="0" w:color="auto"/>
              <w:right w:val="nil"/>
            </w:tcBorders>
            <w:shd w:val="clear" w:color="auto" w:fill="auto"/>
            <w:noWrap/>
            <w:vAlign w:val="center"/>
            <w:hideMark/>
          </w:tcPr>
          <w:p w14:paraId="456D8C99"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 [1-4], 1-6</w:t>
            </w:r>
          </w:p>
        </w:tc>
        <w:tc>
          <w:tcPr>
            <w:tcW w:w="8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7B3AF" w14:textId="77777777" w:rsidR="009D652F" w:rsidRPr="000A36C5" w:rsidRDefault="009D652F" w:rsidP="00005CF2">
            <w:pPr>
              <w:spacing w:after="0" w:line="240" w:lineRule="auto"/>
              <w:jc w:val="right"/>
              <w:rPr>
                <w:rFonts w:ascii="Calibri" w:eastAsia="Times New Roman" w:hAnsi="Calibri" w:cs="Calibri"/>
                <w:color w:val="000000"/>
                <w:lang w:eastAsia="en-GB"/>
              </w:rPr>
            </w:pPr>
            <w:r w:rsidRPr="000A36C5">
              <w:rPr>
                <w:rFonts w:ascii="Calibri" w:eastAsia="Times New Roman" w:hAnsi="Calibri" w:cs="Calibri"/>
                <w:color w:val="000000"/>
                <w:lang w:eastAsia="en-GB"/>
              </w:rPr>
              <w:t>2 [1-5], 1-6</w:t>
            </w:r>
          </w:p>
        </w:tc>
      </w:tr>
    </w:tbl>
    <w:p w14:paraId="42EE5AF2" w14:textId="77777777" w:rsidR="009D652F" w:rsidRPr="00571122" w:rsidRDefault="009D652F" w:rsidP="009D652F">
      <w:pPr>
        <w:spacing w:after="0" w:line="240" w:lineRule="auto"/>
      </w:pPr>
      <w:r w:rsidRPr="00571122">
        <w:t>CART - Classification and regression tree; LASSO - Least Absolute Shrinkage and Selection Operator</w:t>
      </w:r>
    </w:p>
    <w:p w14:paraId="4D23C8B6" w14:textId="77777777" w:rsidR="009D652F" w:rsidRPr="00571122" w:rsidRDefault="009D652F" w:rsidP="009D652F">
      <w:pPr>
        <w:spacing w:after="0" w:line="240" w:lineRule="auto"/>
      </w:pPr>
      <w:r w:rsidRPr="00571122">
        <w:t>* other is best subset regression with leave-out cross-validation</w:t>
      </w:r>
    </w:p>
    <w:p w14:paraId="70D7BCF0" w14:textId="77777777" w:rsidR="009D652F" w:rsidRDefault="009D652F" w:rsidP="009D652F">
      <w:r w:rsidRPr="00571122">
        <w:t>** other includes voted perceptron; fuzzy logic, soft set theory and soft set computing; hierarchical clustering model based on the unsupervised learning for survival data using the distance matrix of survival curves; Bayes point machine</w:t>
      </w:r>
    </w:p>
    <w:p w14:paraId="1F7846B0" w14:textId="77777777" w:rsidR="009D652F" w:rsidRDefault="009D652F" w:rsidP="009D652F"/>
    <w:p w14:paraId="643C9F62" w14:textId="77777777" w:rsidR="009D652F" w:rsidRDefault="009D652F" w:rsidP="009D652F">
      <w:pPr>
        <w:sectPr w:rsidR="009D652F" w:rsidSect="00005CF2">
          <w:pgSz w:w="11906" w:h="16838"/>
          <w:pgMar w:top="1440" w:right="1440" w:bottom="1440" w:left="1440" w:header="708" w:footer="708" w:gutter="0"/>
          <w:cols w:space="708"/>
          <w:docGrid w:linePitch="360"/>
        </w:sectPr>
      </w:pPr>
    </w:p>
    <w:p w14:paraId="04BB5D74" w14:textId="2410DFF5" w:rsidR="009D652F" w:rsidRDefault="009D652F" w:rsidP="009D652F">
      <w:r w:rsidRPr="00187DFE">
        <w:rPr>
          <w:b/>
          <w:bCs/>
        </w:rPr>
        <w:t xml:space="preserve">Supplementary table </w:t>
      </w:r>
      <w:r w:rsidR="00D729CC">
        <w:rPr>
          <w:b/>
          <w:bCs/>
        </w:rPr>
        <w:t>7</w:t>
      </w:r>
      <w:r w:rsidRPr="00187DFE">
        <w:rPr>
          <w:b/>
          <w:bCs/>
        </w:rPr>
        <w:t>.</w:t>
      </w:r>
      <w:r>
        <w:t xml:space="preserve"> Risk of bias assessment by machine learning model type. </w:t>
      </w:r>
    </w:p>
    <w:tbl>
      <w:tblPr>
        <w:tblW w:w="15510" w:type="dxa"/>
        <w:jc w:val="center"/>
        <w:tblLook w:val="04A0" w:firstRow="1" w:lastRow="0" w:firstColumn="1" w:lastColumn="0" w:noHBand="0" w:noVBand="1"/>
      </w:tblPr>
      <w:tblGrid>
        <w:gridCol w:w="3261"/>
        <w:gridCol w:w="1361"/>
        <w:gridCol w:w="1361"/>
        <w:gridCol w:w="1361"/>
        <w:gridCol w:w="1361"/>
        <w:gridCol w:w="1361"/>
        <w:gridCol w:w="1361"/>
        <w:gridCol w:w="1361"/>
        <w:gridCol w:w="1361"/>
        <w:gridCol w:w="1361"/>
      </w:tblGrid>
      <w:tr w:rsidR="009D652F" w:rsidRPr="00C44F34" w14:paraId="23600988" w14:textId="77777777" w:rsidTr="00005CF2">
        <w:trPr>
          <w:trHeight w:val="300"/>
          <w:jc w:val="center"/>
        </w:trPr>
        <w:tc>
          <w:tcPr>
            <w:tcW w:w="3261" w:type="dxa"/>
            <w:tcBorders>
              <w:top w:val="single" w:sz="4" w:space="0" w:color="auto"/>
              <w:left w:val="single" w:sz="4" w:space="0" w:color="auto"/>
              <w:bottom w:val="nil"/>
              <w:right w:val="single" w:sz="4" w:space="0" w:color="auto"/>
            </w:tcBorders>
            <w:shd w:val="clear" w:color="auto" w:fill="B4C6E7" w:themeFill="accent1" w:themeFillTint="66"/>
            <w:noWrap/>
            <w:vAlign w:val="center"/>
          </w:tcPr>
          <w:p w14:paraId="22FCDF5E" w14:textId="77777777" w:rsidR="009D652F" w:rsidRPr="00C44F34" w:rsidRDefault="009D652F" w:rsidP="00005CF2">
            <w:pPr>
              <w:spacing w:after="0" w:line="240" w:lineRule="auto"/>
              <w:rPr>
                <w:rFonts w:ascii="Times New Roman" w:eastAsia="Times New Roman" w:hAnsi="Times New Roman" w:cs="Times New Roman"/>
                <w:b/>
                <w:bCs/>
                <w:sz w:val="20"/>
                <w:szCs w:val="20"/>
                <w:lang w:eastAsia="en-GB"/>
              </w:rPr>
            </w:pPr>
          </w:p>
        </w:tc>
        <w:tc>
          <w:tcPr>
            <w:tcW w:w="4083" w:type="dxa"/>
            <w:gridSpan w:val="3"/>
            <w:tcBorders>
              <w:top w:val="single" w:sz="4" w:space="0" w:color="auto"/>
              <w:left w:val="single" w:sz="4" w:space="0" w:color="auto"/>
              <w:bottom w:val="nil"/>
              <w:right w:val="single" w:sz="4" w:space="0" w:color="auto"/>
            </w:tcBorders>
            <w:shd w:val="clear" w:color="auto" w:fill="B4C6E7" w:themeFill="accent1" w:themeFillTint="66"/>
            <w:noWrap/>
            <w:vAlign w:val="center"/>
          </w:tcPr>
          <w:p w14:paraId="5A11E3C7"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Regression-based models</w:t>
            </w:r>
            <w:r>
              <w:rPr>
                <w:rFonts w:ascii="Calibri" w:eastAsia="Times New Roman" w:hAnsi="Calibri" w:cs="Calibri"/>
                <w:b/>
                <w:bCs/>
                <w:color w:val="000000"/>
                <w:lang w:eastAsia="en-GB"/>
              </w:rPr>
              <w:t xml:space="preserve"> (n=42)</w:t>
            </w:r>
          </w:p>
        </w:tc>
        <w:tc>
          <w:tcPr>
            <w:tcW w:w="4083" w:type="dxa"/>
            <w:gridSpan w:val="3"/>
            <w:tcBorders>
              <w:top w:val="single" w:sz="4" w:space="0" w:color="auto"/>
              <w:left w:val="single" w:sz="4" w:space="0" w:color="auto"/>
              <w:bottom w:val="nil"/>
              <w:right w:val="single" w:sz="4" w:space="0" w:color="auto"/>
            </w:tcBorders>
            <w:shd w:val="clear" w:color="auto" w:fill="B4C6E7" w:themeFill="accent1" w:themeFillTint="66"/>
            <w:noWrap/>
            <w:vAlign w:val="center"/>
          </w:tcPr>
          <w:p w14:paraId="7B5C1FD5"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Flexible models</w:t>
            </w:r>
            <w:r>
              <w:rPr>
                <w:rFonts w:ascii="Calibri" w:eastAsia="Times New Roman" w:hAnsi="Calibri" w:cs="Calibri"/>
                <w:b/>
                <w:bCs/>
                <w:color w:val="000000"/>
                <w:lang w:eastAsia="en-GB"/>
              </w:rPr>
              <w:t xml:space="preserve"> (n=71)</w:t>
            </w:r>
          </w:p>
        </w:tc>
        <w:tc>
          <w:tcPr>
            <w:tcW w:w="4083" w:type="dxa"/>
            <w:gridSpan w:val="3"/>
            <w:tcBorders>
              <w:top w:val="single" w:sz="4" w:space="0" w:color="auto"/>
              <w:left w:val="single" w:sz="4" w:space="0" w:color="auto"/>
              <w:bottom w:val="nil"/>
              <w:right w:val="single" w:sz="4" w:space="0" w:color="auto"/>
            </w:tcBorders>
            <w:shd w:val="clear" w:color="auto" w:fill="B4C6E7" w:themeFill="accent1" w:themeFillTint="66"/>
            <w:noWrap/>
            <w:vAlign w:val="center"/>
          </w:tcPr>
          <w:p w14:paraId="183E26B7"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Ensemble models</w:t>
            </w:r>
            <w:r>
              <w:rPr>
                <w:rFonts w:ascii="Calibri" w:eastAsia="Times New Roman" w:hAnsi="Calibri" w:cs="Calibri"/>
                <w:b/>
                <w:bCs/>
                <w:color w:val="000000"/>
                <w:lang w:eastAsia="en-GB"/>
              </w:rPr>
              <w:t xml:space="preserve"> (n=39)</w:t>
            </w:r>
          </w:p>
        </w:tc>
      </w:tr>
      <w:tr w:rsidR="009D652F" w:rsidRPr="00C44F34" w14:paraId="3B436568" w14:textId="77777777" w:rsidTr="00005CF2">
        <w:trPr>
          <w:trHeight w:val="300"/>
          <w:jc w:val="center"/>
        </w:trPr>
        <w:tc>
          <w:tcPr>
            <w:tcW w:w="3261" w:type="dxa"/>
            <w:tcBorders>
              <w:top w:val="nil"/>
              <w:left w:val="single" w:sz="4" w:space="0" w:color="auto"/>
              <w:bottom w:val="nil"/>
              <w:right w:val="single" w:sz="4" w:space="0" w:color="auto"/>
            </w:tcBorders>
            <w:shd w:val="clear" w:color="auto" w:fill="B4C6E7" w:themeFill="accent1" w:themeFillTint="66"/>
            <w:noWrap/>
            <w:vAlign w:val="center"/>
            <w:hideMark/>
          </w:tcPr>
          <w:p w14:paraId="365A7216" w14:textId="77777777" w:rsidR="009D652F" w:rsidRPr="00C44F34" w:rsidRDefault="009D652F" w:rsidP="00005CF2">
            <w:pPr>
              <w:spacing w:after="0" w:line="240" w:lineRule="auto"/>
              <w:rPr>
                <w:rFonts w:ascii="Times New Roman" w:eastAsia="Times New Roman" w:hAnsi="Times New Roman" w:cs="Times New Roman"/>
                <w:b/>
                <w:bCs/>
                <w:sz w:val="20"/>
                <w:szCs w:val="20"/>
                <w:lang w:eastAsia="en-GB"/>
              </w:rPr>
            </w:pPr>
          </w:p>
        </w:tc>
        <w:tc>
          <w:tcPr>
            <w:tcW w:w="1361" w:type="dxa"/>
            <w:tcBorders>
              <w:top w:val="nil"/>
              <w:left w:val="single" w:sz="4" w:space="0" w:color="auto"/>
              <w:bottom w:val="nil"/>
              <w:right w:val="nil"/>
            </w:tcBorders>
            <w:shd w:val="clear" w:color="auto" w:fill="B4C6E7" w:themeFill="accent1" w:themeFillTint="66"/>
            <w:noWrap/>
            <w:vAlign w:val="center"/>
            <w:hideMark/>
          </w:tcPr>
          <w:p w14:paraId="46D77B00"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Y/PY</w:t>
            </w:r>
          </w:p>
        </w:tc>
        <w:tc>
          <w:tcPr>
            <w:tcW w:w="1361" w:type="dxa"/>
            <w:tcBorders>
              <w:top w:val="nil"/>
              <w:left w:val="nil"/>
              <w:bottom w:val="nil"/>
              <w:right w:val="nil"/>
            </w:tcBorders>
            <w:shd w:val="clear" w:color="auto" w:fill="B4C6E7" w:themeFill="accent1" w:themeFillTint="66"/>
            <w:noWrap/>
            <w:vAlign w:val="center"/>
            <w:hideMark/>
          </w:tcPr>
          <w:p w14:paraId="53969401"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N/PN</w:t>
            </w:r>
          </w:p>
        </w:tc>
        <w:tc>
          <w:tcPr>
            <w:tcW w:w="1361" w:type="dxa"/>
            <w:tcBorders>
              <w:top w:val="nil"/>
              <w:left w:val="nil"/>
              <w:bottom w:val="nil"/>
              <w:right w:val="single" w:sz="4" w:space="0" w:color="auto"/>
            </w:tcBorders>
            <w:shd w:val="clear" w:color="auto" w:fill="B4C6E7" w:themeFill="accent1" w:themeFillTint="66"/>
            <w:noWrap/>
            <w:vAlign w:val="center"/>
            <w:hideMark/>
          </w:tcPr>
          <w:p w14:paraId="52B8BE82"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NI</w:t>
            </w:r>
          </w:p>
        </w:tc>
        <w:tc>
          <w:tcPr>
            <w:tcW w:w="1361" w:type="dxa"/>
            <w:tcBorders>
              <w:top w:val="nil"/>
              <w:left w:val="single" w:sz="4" w:space="0" w:color="auto"/>
              <w:bottom w:val="nil"/>
              <w:right w:val="nil"/>
            </w:tcBorders>
            <w:shd w:val="clear" w:color="auto" w:fill="B4C6E7" w:themeFill="accent1" w:themeFillTint="66"/>
            <w:noWrap/>
            <w:vAlign w:val="center"/>
            <w:hideMark/>
          </w:tcPr>
          <w:p w14:paraId="14715A65"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Y/PY</w:t>
            </w:r>
          </w:p>
        </w:tc>
        <w:tc>
          <w:tcPr>
            <w:tcW w:w="1361" w:type="dxa"/>
            <w:tcBorders>
              <w:top w:val="nil"/>
              <w:left w:val="nil"/>
              <w:bottom w:val="nil"/>
              <w:right w:val="nil"/>
            </w:tcBorders>
            <w:shd w:val="clear" w:color="auto" w:fill="B4C6E7" w:themeFill="accent1" w:themeFillTint="66"/>
            <w:noWrap/>
            <w:vAlign w:val="center"/>
            <w:hideMark/>
          </w:tcPr>
          <w:p w14:paraId="5BA58E03"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N/PN</w:t>
            </w:r>
          </w:p>
        </w:tc>
        <w:tc>
          <w:tcPr>
            <w:tcW w:w="1361" w:type="dxa"/>
            <w:tcBorders>
              <w:top w:val="nil"/>
              <w:left w:val="nil"/>
              <w:bottom w:val="nil"/>
              <w:right w:val="single" w:sz="4" w:space="0" w:color="auto"/>
            </w:tcBorders>
            <w:shd w:val="clear" w:color="auto" w:fill="B4C6E7" w:themeFill="accent1" w:themeFillTint="66"/>
            <w:noWrap/>
            <w:vAlign w:val="center"/>
            <w:hideMark/>
          </w:tcPr>
          <w:p w14:paraId="7945E134"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NI</w:t>
            </w:r>
          </w:p>
        </w:tc>
        <w:tc>
          <w:tcPr>
            <w:tcW w:w="1361" w:type="dxa"/>
            <w:tcBorders>
              <w:top w:val="nil"/>
              <w:left w:val="single" w:sz="4" w:space="0" w:color="auto"/>
              <w:bottom w:val="nil"/>
              <w:right w:val="nil"/>
            </w:tcBorders>
            <w:shd w:val="clear" w:color="auto" w:fill="B4C6E7" w:themeFill="accent1" w:themeFillTint="66"/>
            <w:noWrap/>
            <w:vAlign w:val="center"/>
            <w:hideMark/>
          </w:tcPr>
          <w:p w14:paraId="08DD791C"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Y/PY</w:t>
            </w:r>
          </w:p>
        </w:tc>
        <w:tc>
          <w:tcPr>
            <w:tcW w:w="1361" w:type="dxa"/>
            <w:tcBorders>
              <w:top w:val="nil"/>
              <w:left w:val="nil"/>
              <w:bottom w:val="nil"/>
              <w:right w:val="nil"/>
            </w:tcBorders>
            <w:shd w:val="clear" w:color="auto" w:fill="B4C6E7" w:themeFill="accent1" w:themeFillTint="66"/>
            <w:noWrap/>
            <w:vAlign w:val="center"/>
            <w:hideMark/>
          </w:tcPr>
          <w:p w14:paraId="337BEC55"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N/PN</w:t>
            </w:r>
          </w:p>
        </w:tc>
        <w:tc>
          <w:tcPr>
            <w:tcW w:w="1361" w:type="dxa"/>
            <w:tcBorders>
              <w:top w:val="nil"/>
              <w:left w:val="nil"/>
              <w:bottom w:val="nil"/>
              <w:right w:val="single" w:sz="4" w:space="0" w:color="auto"/>
            </w:tcBorders>
            <w:shd w:val="clear" w:color="auto" w:fill="B4C6E7" w:themeFill="accent1" w:themeFillTint="66"/>
            <w:noWrap/>
            <w:vAlign w:val="center"/>
            <w:hideMark/>
          </w:tcPr>
          <w:p w14:paraId="34264575"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NI</w:t>
            </w:r>
          </w:p>
        </w:tc>
      </w:tr>
      <w:tr w:rsidR="009D652F" w:rsidRPr="00C44F34" w14:paraId="1FDDB237" w14:textId="77777777" w:rsidTr="00005CF2">
        <w:trPr>
          <w:trHeight w:val="300"/>
          <w:jc w:val="center"/>
        </w:trPr>
        <w:tc>
          <w:tcPr>
            <w:tcW w:w="3261" w:type="dxa"/>
            <w:tcBorders>
              <w:top w:val="nil"/>
              <w:left w:val="single" w:sz="4" w:space="0" w:color="auto"/>
              <w:bottom w:val="single" w:sz="4" w:space="0" w:color="auto"/>
              <w:right w:val="single" w:sz="4" w:space="0" w:color="auto"/>
            </w:tcBorders>
            <w:shd w:val="clear" w:color="auto" w:fill="B4C6E7" w:themeFill="accent1" w:themeFillTint="66"/>
            <w:noWrap/>
            <w:vAlign w:val="center"/>
            <w:hideMark/>
          </w:tcPr>
          <w:p w14:paraId="239620B2" w14:textId="77777777" w:rsidR="009D652F" w:rsidRPr="00C44F34" w:rsidRDefault="009D652F" w:rsidP="00005CF2">
            <w:pPr>
              <w:spacing w:after="0" w:line="240" w:lineRule="auto"/>
              <w:rPr>
                <w:rFonts w:ascii="Calibri" w:eastAsia="Times New Roman" w:hAnsi="Calibri" w:cs="Calibri"/>
                <w:b/>
                <w:bCs/>
                <w:color w:val="000000"/>
                <w:lang w:eastAsia="en-GB"/>
              </w:rPr>
            </w:pPr>
          </w:p>
        </w:tc>
        <w:tc>
          <w:tcPr>
            <w:tcW w:w="1361" w:type="dxa"/>
            <w:tcBorders>
              <w:top w:val="nil"/>
              <w:left w:val="single" w:sz="4" w:space="0" w:color="auto"/>
              <w:bottom w:val="single" w:sz="4" w:space="0" w:color="auto"/>
              <w:right w:val="nil"/>
            </w:tcBorders>
            <w:shd w:val="clear" w:color="auto" w:fill="B4C6E7" w:themeFill="accent1" w:themeFillTint="66"/>
            <w:noWrap/>
            <w:vAlign w:val="center"/>
            <w:hideMark/>
          </w:tcPr>
          <w:p w14:paraId="5171254E"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nil"/>
            </w:tcBorders>
            <w:shd w:val="clear" w:color="auto" w:fill="B4C6E7" w:themeFill="accent1" w:themeFillTint="66"/>
            <w:noWrap/>
            <w:vAlign w:val="center"/>
            <w:hideMark/>
          </w:tcPr>
          <w:p w14:paraId="7CB0F69A"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single" w:sz="4" w:space="0" w:color="auto"/>
            </w:tcBorders>
            <w:shd w:val="clear" w:color="auto" w:fill="B4C6E7" w:themeFill="accent1" w:themeFillTint="66"/>
            <w:noWrap/>
            <w:vAlign w:val="center"/>
            <w:hideMark/>
          </w:tcPr>
          <w:p w14:paraId="2BF166E9"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single" w:sz="4" w:space="0" w:color="auto"/>
              <w:bottom w:val="single" w:sz="4" w:space="0" w:color="auto"/>
              <w:right w:val="nil"/>
            </w:tcBorders>
            <w:shd w:val="clear" w:color="auto" w:fill="B4C6E7" w:themeFill="accent1" w:themeFillTint="66"/>
            <w:noWrap/>
            <w:vAlign w:val="center"/>
            <w:hideMark/>
          </w:tcPr>
          <w:p w14:paraId="6705C0F3"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nil"/>
            </w:tcBorders>
            <w:shd w:val="clear" w:color="auto" w:fill="B4C6E7" w:themeFill="accent1" w:themeFillTint="66"/>
            <w:noWrap/>
            <w:vAlign w:val="center"/>
            <w:hideMark/>
          </w:tcPr>
          <w:p w14:paraId="62C80EFB"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single" w:sz="4" w:space="0" w:color="auto"/>
            </w:tcBorders>
            <w:shd w:val="clear" w:color="auto" w:fill="B4C6E7" w:themeFill="accent1" w:themeFillTint="66"/>
            <w:noWrap/>
            <w:vAlign w:val="center"/>
            <w:hideMark/>
          </w:tcPr>
          <w:p w14:paraId="2FF391D2"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single" w:sz="4" w:space="0" w:color="auto"/>
              <w:bottom w:val="single" w:sz="4" w:space="0" w:color="auto"/>
              <w:right w:val="nil"/>
            </w:tcBorders>
            <w:shd w:val="clear" w:color="auto" w:fill="B4C6E7" w:themeFill="accent1" w:themeFillTint="66"/>
            <w:noWrap/>
            <w:vAlign w:val="center"/>
            <w:hideMark/>
          </w:tcPr>
          <w:p w14:paraId="2E2DE893"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nil"/>
            </w:tcBorders>
            <w:shd w:val="clear" w:color="auto" w:fill="B4C6E7" w:themeFill="accent1" w:themeFillTint="66"/>
            <w:noWrap/>
            <w:vAlign w:val="center"/>
            <w:hideMark/>
          </w:tcPr>
          <w:p w14:paraId="32402D97"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single" w:sz="4" w:space="0" w:color="auto"/>
            </w:tcBorders>
            <w:shd w:val="clear" w:color="auto" w:fill="B4C6E7" w:themeFill="accent1" w:themeFillTint="66"/>
            <w:noWrap/>
            <w:vAlign w:val="center"/>
            <w:hideMark/>
          </w:tcPr>
          <w:p w14:paraId="6321B9B1"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r>
      <w:tr w:rsidR="009D652F" w:rsidRPr="00C44F34" w14:paraId="7D2EDC4D" w14:textId="77777777" w:rsidTr="00005CF2">
        <w:trPr>
          <w:trHeight w:val="300"/>
          <w:jc w:val="center"/>
        </w:trPr>
        <w:tc>
          <w:tcPr>
            <w:tcW w:w="3261" w:type="dxa"/>
            <w:tcBorders>
              <w:top w:val="single" w:sz="4" w:space="0" w:color="auto"/>
              <w:left w:val="single" w:sz="4" w:space="0" w:color="auto"/>
              <w:bottom w:val="nil"/>
              <w:right w:val="single" w:sz="4" w:space="0" w:color="auto"/>
            </w:tcBorders>
            <w:shd w:val="clear" w:color="auto" w:fill="auto"/>
            <w:noWrap/>
            <w:vAlign w:val="center"/>
            <w:hideMark/>
          </w:tcPr>
          <w:p w14:paraId="170AA593" w14:textId="77777777" w:rsidR="009D652F" w:rsidRPr="00C44F34" w:rsidRDefault="009D652F" w:rsidP="00005CF2">
            <w:pPr>
              <w:spacing w:after="0" w:line="240" w:lineRule="auto"/>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1.       PARTICIPANTS</w:t>
            </w:r>
          </w:p>
        </w:tc>
        <w:tc>
          <w:tcPr>
            <w:tcW w:w="1361" w:type="dxa"/>
            <w:tcBorders>
              <w:top w:val="single" w:sz="4" w:space="0" w:color="auto"/>
              <w:left w:val="single" w:sz="4" w:space="0" w:color="auto"/>
              <w:bottom w:val="nil"/>
              <w:right w:val="nil"/>
            </w:tcBorders>
            <w:shd w:val="clear" w:color="auto" w:fill="auto"/>
            <w:noWrap/>
            <w:vAlign w:val="center"/>
            <w:hideMark/>
          </w:tcPr>
          <w:p w14:paraId="0E7EB7B8" w14:textId="77777777" w:rsidR="009D652F" w:rsidRPr="00C44F34" w:rsidRDefault="009D652F" w:rsidP="00005CF2">
            <w:pPr>
              <w:spacing w:after="0" w:line="240" w:lineRule="auto"/>
              <w:jc w:val="center"/>
              <w:rPr>
                <w:rFonts w:ascii="Calibri" w:eastAsia="Times New Roman" w:hAnsi="Calibri" w:cs="Calibri"/>
                <w:color w:val="000000"/>
                <w:lang w:eastAsia="en-GB"/>
              </w:rPr>
            </w:pPr>
          </w:p>
        </w:tc>
        <w:tc>
          <w:tcPr>
            <w:tcW w:w="1361" w:type="dxa"/>
            <w:tcBorders>
              <w:top w:val="single" w:sz="4" w:space="0" w:color="auto"/>
              <w:left w:val="nil"/>
              <w:bottom w:val="nil"/>
              <w:right w:val="nil"/>
            </w:tcBorders>
            <w:shd w:val="clear" w:color="auto" w:fill="auto"/>
            <w:noWrap/>
            <w:vAlign w:val="center"/>
            <w:hideMark/>
          </w:tcPr>
          <w:p w14:paraId="2E5AD3FA"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6D82F842"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547ADF08"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08CB14D8"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71EB5B43"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6D190D67"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75241031"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038E17AC" w14:textId="77777777" w:rsidR="009D652F" w:rsidRPr="00C44F34" w:rsidRDefault="009D652F" w:rsidP="00005CF2">
            <w:pPr>
              <w:spacing w:after="0" w:line="240" w:lineRule="auto"/>
              <w:jc w:val="center"/>
              <w:rPr>
                <w:rFonts w:ascii="Times New Roman" w:eastAsia="Times New Roman" w:hAnsi="Times New Roman" w:cs="Times New Roman"/>
                <w:sz w:val="20"/>
                <w:szCs w:val="20"/>
                <w:lang w:eastAsia="en-GB"/>
              </w:rPr>
            </w:pPr>
          </w:p>
        </w:tc>
      </w:tr>
      <w:tr w:rsidR="009D652F" w:rsidRPr="00C44F34" w14:paraId="479C1E13"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09C6665E"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1.1.  Were appropriate data sources used, e.g., cohort, randomized controlled trial, or nested case–control study data?</w:t>
            </w:r>
          </w:p>
        </w:tc>
        <w:tc>
          <w:tcPr>
            <w:tcW w:w="1361" w:type="dxa"/>
            <w:tcBorders>
              <w:top w:val="nil"/>
              <w:left w:val="single" w:sz="4" w:space="0" w:color="auto"/>
              <w:bottom w:val="nil"/>
              <w:right w:val="nil"/>
            </w:tcBorders>
            <w:shd w:val="clear" w:color="auto" w:fill="auto"/>
            <w:noWrap/>
            <w:vAlign w:val="center"/>
            <w:hideMark/>
          </w:tcPr>
          <w:p w14:paraId="1B51E94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83 (68 to 92)</w:t>
            </w:r>
          </w:p>
        </w:tc>
        <w:tc>
          <w:tcPr>
            <w:tcW w:w="1361" w:type="dxa"/>
            <w:tcBorders>
              <w:top w:val="nil"/>
              <w:left w:val="nil"/>
              <w:bottom w:val="nil"/>
              <w:right w:val="nil"/>
            </w:tcBorders>
            <w:shd w:val="clear" w:color="auto" w:fill="auto"/>
            <w:noWrap/>
            <w:vAlign w:val="center"/>
            <w:hideMark/>
          </w:tcPr>
          <w:p w14:paraId="3070484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23)</w:t>
            </w:r>
          </w:p>
        </w:tc>
        <w:tc>
          <w:tcPr>
            <w:tcW w:w="1361" w:type="dxa"/>
            <w:tcBorders>
              <w:top w:val="nil"/>
              <w:left w:val="nil"/>
              <w:bottom w:val="nil"/>
              <w:right w:val="single" w:sz="4" w:space="0" w:color="auto"/>
            </w:tcBorders>
            <w:shd w:val="clear" w:color="auto" w:fill="auto"/>
            <w:noWrap/>
            <w:vAlign w:val="center"/>
            <w:hideMark/>
          </w:tcPr>
          <w:p w14:paraId="5E9197B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 (2 to 21)</w:t>
            </w:r>
          </w:p>
        </w:tc>
        <w:tc>
          <w:tcPr>
            <w:tcW w:w="1361" w:type="dxa"/>
            <w:tcBorders>
              <w:top w:val="nil"/>
              <w:left w:val="single" w:sz="4" w:space="0" w:color="auto"/>
              <w:bottom w:val="nil"/>
              <w:right w:val="nil"/>
            </w:tcBorders>
            <w:shd w:val="clear" w:color="auto" w:fill="auto"/>
            <w:noWrap/>
            <w:vAlign w:val="center"/>
            <w:hideMark/>
          </w:tcPr>
          <w:p w14:paraId="1275619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70 (59 to 80)</w:t>
            </w:r>
          </w:p>
        </w:tc>
        <w:tc>
          <w:tcPr>
            <w:tcW w:w="1361" w:type="dxa"/>
            <w:tcBorders>
              <w:top w:val="nil"/>
              <w:left w:val="nil"/>
              <w:bottom w:val="nil"/>
              <w:right w:val="nil"/>
            </w:tcBorders>
            <w:shd w:val="clear" w:color="auto" w:fill="auto"/>
            <w:noWrap/>
            <w:vAlign w:val="center"/>
            <w:hideMark/>
          </w:tcPr>
          <w:p w14:paraId="3C2D436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(7 to 23)</w:t>
            </w:r>
          </w:p>
        </w:tc>
        <w:tc>
          <w:tcPr>
            <w:tcW w:w="1361" w:type="dxa"/>
            <w:tcBorders>
              <w:top w:val="nil"/>
              <w:left w:val="nil"/>
              <w:bottom w:val="nil"/>
              <w:right w:val="single" w:sz="4" w:space="0" w:color="auto"/>
            </w:tcBorders>
            <w:shd w:val="clear" w:color="auto" w:fill="auto"/>
            <w:noWrap/>
            <w:vAlign w:val="center"/>
            <w:hideMark/>
          </w:tcPr>
          <w:p w14:paraId="2F7FC20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17 (10 to 28)</w:t>
            </w:r>
          </w:p>
        </w:tc>
        <w:tc>
          <w:tcPr>
            <w:tcW w:w="1361" w:type="dxa"/>
            <w:tcBorders>
              <w:top w:val="nil"/>
              <w:left w:val="single" w:sz="4" w:space="0" w:color="auto"/>
              <w:bottom w:val="nil"/>
              <w:right w:val="nil"/>
            </w:tcBorders>
            <w:shd w:val="clear" w:color="auto" w:fill="auto"/>
            <w:noWrap/>
            <w:vAlign w:val="center"/>
            <w:hideMark/>
          </w:tcPr>
          <w:p w14:paraId="53443B5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77 (61 to 88)</w:t>
            </w:r>
          </w:p>
        </w:tc>
        <w:tc>
          <w:tcPr>
            <w:tcW w:w="1361" w:type="dxa"/>
            <w:tcBorders>
              <w:top w:val="nil"/>
              <w:left w:val="nil"/>
              <w:bottom w:val="nil"/>
              <w:right w:val="nil"/>
            </w:tcBorders>
            <w:shd w:val="clear" w:color="auto" w:fill="auto"/>
            <w:noWrap/>
            <w:vAlign w:val="center"/>
            <w:hideMark/>
          </w:tcPr>
          <w:p w14:paraId="7BA4A76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15 (7 to 31)</w:t>
            </w:r>
          </w:p>
        </w:tc>
        <w:tc>
          <w:tcPr>
            <w:tcW w:w="1361" w:type="dxa"/>
            <w:tcBorders>
              <w:top w:val="nil"/>
              <w:left w:val="nil"/>
              <w:bottom w:val="nil"/>
              <w:right w:val="single" w:sz="4" w:space="0" w:color="auto"/>
            </w:tcBorders>
            <w:shd w:val="clear" w:color="auto" w:fill="auto"/>
            <w:noWrap/>
            <w:vAlign w:val="center"/>
            <w:hideMark/>
          </w:tcPr>
          <w:p w14:paraId="76B6385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(2 to 22)</w:t>
            </w:r>
          </w:p>
        </w:tc>
      </w:tr>
      <w:tr w:rsidR="009D652F" w:rsidRPr="00C44F34" w14:paraId="23DE1B81" w14:textId="77777777" w:rsidTr="00005CF2">
        <w:trPr>
          <w:trHeight w:val="300"/>
          <w:jc w:val="center"/>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B3A88DB"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1.2.  Were all inclusions and exclusions of participants appropriate?</w:t>
            </w:r>
          </w:p>
        </w:tc>
        <w:tc>
          <w:tcPr>
            <w:tcW w:w="1361" w:type="dxa"/>
            <w:tcBorders>
              <w:top w:val="nil"/>
              <w:left w:val="single" w:sz="4" w:space="0" w:color="auto"/>
              <w:bottom w:val="single" w:sz="4" w:space="0" w:color="auto"/>
              <w:right w:val="nil"/>
            </w:tcBorders>
            <w:shd w:val="clear" w:color="auto" w:fill="auto"/>
            <w:noWrap/>
            <w:vAlign w:val="center"/>
            <w:hideMark/>
          </w:tcPr>
          <w:p w14:paraId="1FA11E1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74 (58 to 85)</w:t>
            </w:r>
          </w:p>
        </w:tc>
        <w:tc>
          <w:tcPr>
            <w:tcW w:w="1361" w:type="dxa"/>
            <w:tcBorders>
              <w:top w:val="nil"/>
              <w:left w:val="nil"/>
              <w:bottom w:val="single" w:sz="4" w:space="0" w:color="auto"/>
              <w:right w:val="nil"/>
            </w:tcBorders>
            <w:shd w:val="clear" w:color="auto" w:fill="auto"/>
            <w:noWrap/>
            <w:vAlign w:val="center"/>
            <w:hideMark/>
          </w:tcPr>
          <w:p w14:paraId="030D0F3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single" w:sz="4" w:space="0" w:color="auto"/>
              <w:right w:val="single" w:sz="4" w:space="0" w:color="auto"/>
            </w:tcBorders>
            <w:shd w:val="clear" w:color="auto" w:fill="auto"/>
            <w:noWrap/>
            <w:vAlign w:val="center"/>
            <w:hideMark/>
          </w:tcPr>
          <w:p w14:paraId="270E3C5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21 (11 to 37)</w:t>
            </w:r>
          </w:p>
        </w:tc>
        <w:tc>
          <w:tcPr>
            <w:tcW w:w="1361" w:type="dxa"/>
            <w:tcBorders>
              <w:top w:val="nil"/>
              <w:left w:val="single" w:sz="4" w:space="0" w:color="auto"/>
              <w:bottom w:val="single" w:sz="4" w:space="0" w:color="auto"/>
              <w:right w:val="nil"/>
            </w:tcBorders>
            <w:shd w:val="clear" w:color="auto" w:fill="auto"/>
            <w:noWrap/>
            <w:vAlign w:val="center"/>
            <w:hideMark/>
          </w:tcPr>
          <w:p w14:paraId="682D199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61 (49 to 71)</w:t>
            </w:r>
          </w:p>
        </w:tc>
        <w:tc>
          <w:tcPr>
            <w:tcW w:w="1361" w:type="dxa"/>
            <w:tcBorders>
              <w:top w:val="nil"/>
              <w:left w:val="nil"/>
              <w:bottom w:val="single" w:sz="4" w:space="0" w:color="auto"/>
              <w:right w:val="nil"/>
            </w:tcBorders>
            <w:shd w:val="clear" w:color="auto" w:fill="auto"/>
            <w:noWrap/>
            <w:vAlign w:val="center"/>
            <w:hideMark/>
          </w:tcPr>
          <w:p w14:paraId="253B93B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(7 to 23)</w:t>
            </w:r>
          </w:p>
        </w:tc>
        <w:tc>
          <w:tcPr>
            <w:tcW w:w="1361" w:type="dxa"/>
            <w:tcBorders>
              <w:top w:val="nil"/>
              <w:left w:val="nil"/>
              <w:bottom w:val="single" w:sz="4" w:space="0" w:color="auto"/>
              <w:right w:val="single" w:sz="4" w:space="0" w:color="auto"/>
            </w:tcBorders>
            <w:shd w:val="clear" w:color="auto" w:fill="auto"/>
            <w:noWrap/>
            <w:vAlign w:val="center"/>
            <w:hideMark/>
          </w:tcPr>
          <w:p w14:paraId="799FAA5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27 (18 to 38)</w:t>
            </w:r>
          </w:p>
        </w:tc>
        <w:tc>
          <w:tcPr>
            <w:tcW w:w="1361" w:type="dxa"/>
            <w:tcBorders>
              <w:top w:val="nil"/>
              <w:left w:val="single" w:sz="4" w:space="0" w:color="auto"/>
              <w:bottom w:val="single" w:sz="4" w:space="0" w:color="auto"/>
              <w:right w:val="nil"/>
            </w:tcBorders>
            <w:shd w:val="clear" w:color="auto" w:fill="auto"/>
            <w:noWrap/>
            <w:vAlign w:val="center"/>
            <w:hideMark/>
          </w:tcPr>
          <w:p w14:paraId="7D571FB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67 (50 to 80)</w:t>
            </w:r>
          </w:p>
        </w:tc>
        <w:tc>
          <w:tcPr>
            <w:tcW w:w="1361" w:type="dxa"/>
            <w:tcBorders>
              <w:top w:val="nil"/>
              <w:left w:val="nil"/>
              <w:bottom w:val="single" w:sz="4" w:space="0" w:color="auto"/>
              <w:right w:val="nil"/>
            </w:tcBorders>
            <w:shd w:val="clear" w:color="auto" w:fill="auto"/>
            <w:noWrap/>
            <w:vAlign w:val="center"/>
            <w:hideMark/>
          </w:tcPr>
          <w:p w14:paraId="1269051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19)</w:t>
            </w:r>
          </w:p>
        </w:tc>
        <w:tc>
          <w:tcPr>
            <w:tcW w:w="1361" w:type="dxa"/>
            <w:tcBorders>
              <w:top w:val="nil"/>
              <w:left w:val="nil"/>
              <w:bottom w:val="single" w:sz="4" w:space="0" w:color="auto"/>
              <w:right w:val="single" w:sz="4" w:space="0" w:color="auto"/>
            </w:tcBorders>
            <w:shd w:val="clear" w:color="auto" w:fill="auto"/>
            <w:noWrap/>
            <w:vAlign w:val="center"/>
            <w:hideMark/>
          </w:tcPr>
          <w:p w14:paraId="61F58AE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(16 to 45)</w:t>
            </w:r>
          </w:p>
        </w:tc>
      </w:tr>
      <w:tr w:rsidR="009D652F" w:rsidRPr="00C44F34" w14:paraId="40FAD6CB" w14:textId="77777777" w:rsidTr="00005CF2">
        <w:trPr>
          <w:trHeight w:val="300"/>
          <w:jc w:val="center"/>
        </w:trPr>
        <w:tc>
          <w:tcPr>
            <w:tcW w:w="3261" w:type="dxa"/>
            <w:tcBorders>
              <w:top w:val="single" w:sz="4" w:space="0" w:color="auto"/>
              <w:left w:val="single" w:sz="4" w:space="0" w:color="auto"/>
              <w:bottom w:val="nil"/>
              <w:right w:val="single" w:sz="4" w:space="0" w:color="auto"/>
            </w:tcBorders>
            <w:shd w:val="clear" w:color="auto" w:fill="auto"/>
            <w:noWrap/>
            <w:vAlign w:val="center"/>
            <w:hideMark/>
          </w:tcPr>
          <w:p w14:paraId="1AD1F311" w14:textId="77777777" w:rsidR="009D652F" w:rsidRPr="00C44F34" w:rsidRDefault="009D652F" w:rsidP="00005CF2">
            <w:pPr>
              <w:spacing w:after="0" w:line="240" w:lineRule="auto"/>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2.       PREDICTORS</w:t>
            </w:r>
          </w:p>
        </w:tc>
        <w:tc>
          <w:tcPr>
            <w:tcW w:w="1361" w:type="dxa"/>
            <w:tcBorders>
              <w:top w:val="single" w:sz="4" w:space="0" w:color="auto"/>
              <w:left w:val="single" w:sz="4" w:space="0" w:color="auto"/>
              <w:bottom w:val="nil"/>
              <w:right w:val="nil"/>
            </w:tcBorders>
            <w:shd w:val="clear" w:color="auto" w:fill="auto"/>
            <w:noWrap/>
            <w:vAlign w:val="center"/>
            <w:hideMark/>
          </w:tcPr>
          <w:p w14:paraId="0366866E" w14:textId="77777777" w:rsidR="009D652F" w:rsidRPr="00C44F34" w:rsidRDefault="009D652F" w:rsidP="00005CF2">
            <w:pPr>
              <w:spacing w:after="0" w:line="240" w:lineRule="auto"/>
              <w:jc w:val="right"/>
              <w:rPr>
                <w:rFonts w:ascii="Calibri" w:eastAsia="Times New Roman" w:hAnsi="Calibri" w:cs="Calibri"/>
                <w:color w:val="000000"/>
                <w:lang w:eastAsia="en-GB"/>
              </w:rPr>
            </w:pPr>
          </w:p>
        </w:tc>
        <w:tc>
          <w:tcPr>
            <w:tcW w:w="1361" w:type="dxa"/>
            <w:tcBorders>
              <w:top w:val="single" w:sz="4" w:space="0" w:color="auto"/>
              <w:left w:val="nil"/>
              <w:bottom w:val="nil"/>
              <w:right w:val="nil"/>
            </w:tcBorders>
            <w:shd w:val="clear" w:color="auto" w:fill="auto"/>
            <w:noWrap/>
            <w:vAlign w:val="center"/>
            <w:hideMark/>
          </w:tcPr>
          <w:p w14:paraId="0F3FE6BB"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21835353"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46206441"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63B2E7EE"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617878E4"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65C29E17"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7637BB55"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531AAA0F"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r>
      <w:tr w:rsidR="009D652F" w:rsidRPr="00C44F34" w14:paraId="1E3139CF"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720EFF50"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2.1.  Were predictors defined and assessed in a similar way for all participants?</w:t>
            </w:r>
          </w:p>
        </w:tc>
        <w:tc>
          <w:tcPr>
            <w:tcW w:w="1361" w:type="dxa"/>
            <w:tcBorders>
              <w:top w:val="nil"/>
              <w:left w:val="single" w:sz="4" w:space="0" w:color="auto"/>
              <w:bottom w:val="nil"/>
              <w:right w:val="nil"/>
            </w:tcBorders>
            <w:shd w:val="clear" w:color="auto" w:fill="auto"/>
            <w:noWrap/>
            <w:vAlign w:val="center"/>
            <w:hideMark/>
          </w:tcPr>
          <w:p w14:paraId="44658A8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81 (66 to 90)</w:t>
            </w:r>
          </w:p>
        </w:tc>
        <w:tc>
          <w:tcPr>
            <w:tcW w:w="1361" w:type="dxa"/>
            <w:tcBorders>
              <w:top w:val="nil"/>
              <w:left w:val="nil"/>
              <w:bottom w:val="nil"/>
              <w:right w:val="nil"/>
            </w:tcBorders>
            <w:shd w:val="clear" w:color="auto" w:fill="auto"/>
            <w:noWrap/>
            <w:vAlign w:val="center"/>
            <w:hideMark/>
          </w:tcPr>
          <w:p w14:paraId="068087F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nil"/>
              <w:right w:val="single" w:sz="4" w:space="0" w:color="auto"/>
            </w:tcBorders>
            <w:shd w:val="clear" w:color="auto" w:fill="auto"/>
            <w:noWrap/>
            <w:vAlign w:val="center"/>
            <w:hideMark/>
          </w:tcPr>
          <w:p w14:paraId="0BEC81D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(6 to 29)</w:t>
            </w:r>
          </w:p>
        </w:tc>
        <w:tc>
          <w:tcPr>
            <w:tcW w:w="1361" w:type="dxa"/>
            <w:tcBorders>
              <w:top w:val="nil"/>
              <w:left w:val="single" w:sz="4" w:space="0" w:color="auto"/>
              <w:bottom w:val="nil"/>
              <w:right w:val="nil"/>
            </w:tcBorders>
            <w:shd w:val="clear" w:color="auto" w:fill="auto"/>
            <w:noWrap/>
            <w:vAlign w:val="center"/>
            <w:hideMark/>
          </w:tcPr>
          <w:p w14:paraId="0B3E0C0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77 (66 to 86)</w:t>
            </w:r>
          </w:p>
        </w:tc>
        <w:tc>
          <w:tcPr>
            <w:tcW w:w="1361" w:type="dxa"/>
            <w:tcBorders>
              <w:top w:val="nil"/>
              <w:left w:val="nil"/>
              <w:bottom w:val="nil"/>
              <w:right w:val="nil"/>
            </w:tcBorders>
            <w:shd w:val="clear" w:color="auto" w:fill="auto"/>
            <w:noWrap/>
            <w:vAlign w:val="center"/>
            <w:hideMark/>
          </w:tcPr>
          <w:p w14:paraId="665FD96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(7 to 23)</w:t>
            </w:r>
          </w:p>
        </w:tc>
        <w:tc>
          <w:tcPr>
            <w:tcW w:w="1361" w:type="dxa"/>
            <w:tcBorders>
              <w:top w:val="nil"/>
              <w:left w:val="nil"/>
              <w:bottom w:val="nil"/>
              <w:right w:val="single" w:sz="4" w:space="0" w:color="auto"/>
            </w:tcBorders>
            <w:shd w:val="clear" w:color="auto" w:fill="auto"/>
            <w:noWrap/>
            <w:vAlign w:val="center"/>
            <w:hideMark/>
          </w:tcPr>
          <w:p w14:paraId="0624507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(5 to 19)</w:t>
            </w:r>
          </w:p>
        </w:tc>
        <w:tc>
          <w:tcPr>
            <w:tcW w:w="1361" w:type="dxa"/>
            <w:tcBorders>
              <w:top w:val="nil"/>
              <w:left w:val="single" w:sz="4" w:space="0" w:color="auto"/>
              <w:bottom w:val="nil"/>
              <w:right w:val="nil"/>
            </w:tcBorders>
            <w:shd w:val="clear" w:color="auto" w:fill="auto"/>
            <w:noWrap/>
            <w:vAlign w:val="center"/>
            <w:hideMark/>
          </w:tcPr>
          <w:p w14:paraId="3A2F850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72 (55 to 84)</w:t>
            </w:r>
          </w:p>
        </w:tc>
        <w:tc>
          <w:tcPr>
            <w:tcW w:w="1361" w:type="dxa"/>
            <w:tcBorders>
              <w:top w:val="nil"/>
              <w:left w:val="nil"/>
              <w:bottom w:val="nil"/>
              <w:right w:val="nil"/>
            </w:tcBorders>
            <w:shd w:val="clear" w:color="auto" w:fill="auto"/>
            <w:noWrap/>
            <w:vAlign w:val="center"/>
            <w:hideMark/>
          </w:tcPr>
          <w:p w14:paraId="4C0E2B7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(2 to 22)</w:t>
            </w:r>
          </w:p>
        </w:tc>
        <w:tc>
          <w:tcPr>
            <w:tcW w:w="1361" w:type="dxa"/>
            <w:tcBorders>
              <w:top w:val="nil"/>
              <w:left w:val="nil"/>
              <w:bottom w:val="nil"/>
              <w:right w:val="single" w:sz="4" w:space="0" w:color="auto"/>
            </w:tcBorders>
            <w:shd w:val="clear" w:color="auto" w:fill="auto"/>
            <w:noWrap/>
            <w:vAlign w:val="center"/>
            <w:hideMark/>
          </w:tcPr>
          <w:p w14:paraId="56A54AB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21 (10 to 37)</w:t>
            </w:r>
          </w:p>
        </w:tc>
      </w:tr>
      <w:tr w:rsidR="009D652F" w:rsidRPr="00C44F34" w14:paraId="30FF853C"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61838B6B"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2.2. Were predictor assessments made without knowledge of outcome data?</w:t>
            </w:r>
          </w:p>
        </w:tc>
        <w:tc>
          <w:tcPr>
            <w:tcW w:w="1361" w:type="dxa"/>
            <w:tcBorders>
              <w:top w:val="nil"/>
              <w:left w:val="single" w:sz="4" w:space="0" w:color="auto"/>
              <w:bottom w:val="nil"/>
              <w:right w:val="nil"/>
            </w:tcBorders>
            <w:shd w:val="clear" w:color="auto" w:fill="auto"/>
            <w:noWrap/>
            <w:vAlign w:val="center"/>
            <w:hideMark/>
          </w:tcPr>
          <w:p w14:paraId="0E88842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50 (35 to 65)</w:t>
            </w:r>
          </w:p>
        </w:tc>
        <w:tc>
          <w:tcPr>
            <w:tcW w:w="1361" w:type="dxa"/>
            <w:tcBorders>
              <w:top w:val="nil"/>
              <w:left w:val="nil"/>
              <w:bottom w:val="nil"/>
              <w:right w:val="nil"/>
            </w:tcBorders>
            <w:shd w:val="clear" w:color="auto" w:fill="auto"/>
            <w:noWrap/>
            <w:vAlign w:val="center"/>
            <w:hideMark/>
          </w:tcPr>
          <w:p w14:paraId="2643994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nil"/>
              <w:right w:val="single" w:sz="4" w:space="0" w:color="auto"/>
            </w:tcBorders>
            <w:shd w:val="clear" w:color="auto" w:fill="auto"/>
            <w:noWrap/>
            <w:vAlign w:val="center"/>
            <w:hideMark/>
          </w:tcPr>
          <w:p w14:paraId="0A5CE87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50 (35 to 65)</w:t>
            </w:r>
          </w:p>
        </w:tc>
        <w:tc>
          <w:tcPr>
            <w:tcW w:w="1361" w:type="dxa"/>
            <w:tcBorders>
              <w:top w:val="nil"/>
              <w:left w:val="single" w:sz="4" w:space="0" w:color="auto"/>
              <w:bottom w:val="nil"/>
              <w:right w:val="nil"/>
            </w:tcBorders>
            <w:shd w:val="clear" w:color="auto" w:fill="auto"/>
            <w:noWrap/>
            <w:vAlign w:val="center"/>
            <w:hideMark/>
          </w:tcPr>
          <w:p w14:paraId="294F716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44 (32 to 56)</w:t>
            </w:r>
          </w:p>
        </w:tc>
        <w:tc>
          <w:tcPr>
            <w:tcW w:w="1361" w:type="dxa"/>
            <w:tcBorders>
              <w:top w:val="nil"/>
              <w:left w:val="nil"/>
              <w:bottom w:val="nil"/>
              <w:right w:val="nil"/>
            </w:tcBorders>
            <w:shd w:val="clear" w:color="auto" w:fill="auto"/>
            <w:noWrap/>
            <w:vAlign w:val="center"/>
            <w:hideMark/>
          </w:tcPr>
          <w:p w14:paraId="67BF4C0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 (0 to 10)</w:t>
            </w:r>
          </w:p>
        </w:tc>
        <w:tc>
          <w:tcPr>
            <w:tcW w:w="1361" w:type="dxa"/>
            <w:tcBorders>
              <w:top w:val="nil"/>
              <w:left w:val="nil"/>
              <w:bottom w:val="nil"/>
              <w:right w:val="single" w:sz="4" w:space="0" w:color="auto"/>
            </w:tcBorders>
            <w:shd w:val="clear" w:color="auto" w:fill="auto"/>
            <w:noWrap/>
            <w:vAlign w:val="center"/>
            <w:hideMark/>
          </w:tcPr>
          <w:p w14:paraId="30D44B7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55 (43 to 66)</w:t>
            </w:r>
          </w:p>
        </w:tc>
        <w:tc>
          <w:tcPr>
            <w:tcW w:w="1361" w:type="dxa"/>
            <w:tcBorders>
              <w:top w:val="nil"/>
              <w:left w:val="single" w:sz="4" w:space="0" w:color="auto"/>
              <w:bottom w:val="nil"/>
              <w:right w:val="nil"/>
            </w:tcBorders>
            <w:shd w:val="clear" w:color="auto" w:fill="auto"/>
            <w:noWrap/>
            <w:vAlign w:val="center"/>
            <w:hideMark/>
          </w:tcPr>
          <w:p w14:paraId="5B5FBA1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54 (38 to 69)</w:t>
            </w:r>
          </w:p>
        </w:tc>
        <w:tc>
          <w:tcPr>
            <w:tcW w:w="1361" w:type="dxa"/>
            <w:tcBorders>
              <w:top w:val="nil"/>
              <w:left w:val="nil"/>
              <w:bottom w:val="nil"/>
              <w:right w:val="nil"/>
            </w:tcBorders>
            <w:shd w:val="clear" w:color="auto" w:fill="auto"/>
            <w:noWrap/>
            <w:vAlign w:val="center"/>
            <w:hideMark/>
          </w:tcPr>
          <w:p w14:paraId="027213F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nil"/>
              <w:right w:val="single" w:sz="4" w:space="0" w:color="auto"/>
            </w:tcBorders>
            <w:shd w:val="clear" w:color="auto" w:fill="auto"/>
            <w:noWrap/>
            <w:vAlign w:val="center"/>
            <w:hideMark/>
          </w:tcPr>
          <w:p w14:paraId="6D74B2E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46 (31 to 62)</w:t>
            </w:r>
          </w:p>
        </w:tc>
      </w:tr>
      <w:tr w:rsidR="009D652F" w:rsidRPr="00C44F34" w14:paraId="291BFA9A" w14:textId="77777777" w:rsidTr="00005CF2">
        <w:trPr>
          <w:trHeight w:val="300"/>
          <w:jc w:val="center"/>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5A72663"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2.3.  Are all predictors available at the time the model is intended to be used?</w:t>
            </w:r>
          </w:p>
        </w:tc>
        <w:tc>
          <w:tcPr>
            <w:tcW w:w="1361" w:type="dxa"/>
            <w:tcBorders>
              <w:top w:val="nil"/>
              <w:left w:val="single" w:sz="4" w:space="0" w:color="auto"/>
              <w:bottom w:val="single" w:sz="4" w:space="0" w:color="auto"/>
              <w:right w:val="nil"/>
            </w:tcBorders>
            <w:shd w:val="clear" w:color="auto" w:fill="auto"/>
            <w:noWrap/>
            <w:vAlign w:val="center"/>
            <w:hideMark/>
          </w:tcPr>
          <w:p w14:paraId="08788AC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57 (42 to 71)</w:t>
            </w:r>
          </w:p>
        </w:tc>
        <w:tc>
          <w:tcPr>
            <w:tcW w:w="1361" w:type="dxa"/>
            <w:tcBorders>
              <w:top w:val="nil"/>
              <w:left w:val="nil"/>
              <w:bottom w:val="single" w:sz="4" w:space="0" w:color="auto"/>
              <w:right w:val="nil"/>
            </w:tcBorders>
            <w:shd w:val="clear" w:color="auto" w:fill="auto"/>
            <w:noWrap/>
            <w:vAlign w:val="center"/>
            <w:hideMark/>
          </w:tcPr>
          <w:p w14:paraId="1370632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single" w:sz="4" w:space="0" w:color="auto"/>
              <w:right w:val="single" w:sz="4" w:space="0" w:color="auto"/>
            </w:tcBorders>
            <w:shd w:val="clear" w:color="auto" w:fill="auto"/>
            <w:noWrap/>
            <w:vAlign w:val="center"/>
            <w:hideMark/>
          </w:tcPr>
          <w:p w14:paraId="5997F8B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43 (29 to 58)</w:t>
            </w:r>
          </w:p>
        </w:tc>
        <w:tc>
          <w:tcPr>
            <w:tcW w:w="1361" w:type="dxa"/>
            <w:tcBorders>
              <w:top w:val="nil"/>
              <w:left w:val="single" w:sz="4" w:space="0" w:color="auto"/>
              <w:bottom w:val="single" w:sz="4" w:space="0" w:color="auto"/>
              <w:right w:val="nil"/>
            </w:tcBorders>
            <w:shd w:val="clear" w:color="auto" w:fill="auto"/>
            <w:noWrap/>
            <w:vAlign w:val="center"/>
            <w:hideMark/>
          </w:tcPr>
          <w:p w14:paraId="362CD3B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59 (47 to 70)</w:t>
            </w:r>
          </w:p>
        </w:tc>
        <w:tc>
          <w:tcPr>
            <w:tcW w:w="1361" w:type="dxa"/>
            <w:tcBorders>
              <w:top w:val="nil"/>
              <w:left w:val="nil"/>
              <w:bottom w:val="single" w:sz="4" w:space="0" w:color="auto"/>
              <w:right w:val="nil"/>
            </w:tcBorders>
            <w:shd w:val="clear" w:color="auto" w:fill="auto"/>
            <w:noWrap/>
            <w:vAlign w:val="center"/>
            <w:hideMark/>
          </w:tcPr>
          <w:p w14:paraId="70C270B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single" w:sz="4" w:space="0" w:color="auto"/>
              <w:right w:val="single" w:sz="4" w:space="0" w:color="auto"/>
            </w:tcBorders>
            <w:shd w:val="clear" w:color="auto" w:fill="auto"/>
            <w:noWrap/>
            <w:vAlign w:val="center"/>
            <w:hideMark/>
          </w:tcPr>
          <w:p w14:paraId="6E6AEB8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41 (30 to 53)</w:t>
            </w:r>
          </w:p>
        </w:tc>
        <w:tc>
          <w:tcPr>
            <w:tcW w:w="1361" w:type="dxa"/>
            <w:tcBorders>
              <w:top w:val="nil"/>
              <w:left w:val="single" w:sz="4" w:space="0" w:color="auto"/>
              <w:bottom w:val="single" w:sz="4" w:space="0" w:color="auto"/>
              <w:right w:val="nil"/>
            </w:tcBorders>
            <w:shd w:val="clear" w:color="auto" w:fill="auto"/>
            <w:noWrap/>
            <w:vAlign w:val="center"/>
            <w:hideMark/>
          </w:tcPr>
          <w:p w14:paraId="16DA8C2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64 (48 to 78)</w:t>
            </w:r>
          </w:p>
        </w:tc>
        <w:tc>
          <w:tcPr>
            <w:tcW w:w="1361" w:type="dxa"/>
            <w:tcBorders>
              <w:top w:val="nil"/>
              <w:left w:val="nil"/>
              <w:bottom w:val="single" w:sz="4" w:space="0" w:color="auto"/>
              <w:right w:val="nil"/>
            </w:tcBorders>
            <w:shd w:val="clear" w:color="auto" w:fill="auto"/>
            <w:noWrap/>
            <w:vAlign w:val="center"/>
            <w:hideMark/>
          </w:tcPr>
          <w:p w14:paraId="593FCCF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single" w:sz="4" w:space="0" w:color="auto"/>
              <w:right w:val="single" w:sz="4" w:space="0" w:color="auto"/>
            </w:tcBorders>
            <w:shd w:val="clear" w:color="auto" w:fill="auto"/>
            <w:noWrap/>
            <w:vAlign w:val="center"/>
            <w:hideMark/>
          </w:tcPr>
          <w:p w14:paraId="7FA647C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36 (22 to 52)</w:t>
            </w:r>
          </w:p>
        </w:tc>
      </w:tr>
      <w:tr w:rsidR="009D652F" w:rsidRPr="00C44F34" w14:paraId="68623CEA" w14:textId="77777777" w:rsidTr="00005CF2">
        <w:trPr>
          <w:trHeight w:val="300"/>
          <w:jc w:val="center"/>
        </w:trPr>
        <w:tc>
          <w:tcPr>
            <w:tcW w:w="3261" w:type="dxa"/>
            <w:tcBorders>
              <w:top w:val="single" w:sz="4" w:space="0" w:color="auto"/>
              <w:left w:val="single" w:sz="4" w:space="0" w:color="auto"/>
              <w:bottom w:val="nil"/>
              <w:right w:val="single" w:sz="4" w:space="0" w:color="auto"/>
            </w:tcBorders>
            <w:shd w:val="clear" w:color="auto" w:fill="auto"/>
            <w:noWrap/>
            <w:vAlign w:val="center"/>
            <w:hideMark/>
          </w:tcPr>
          <w:p w14:paraId="3169BC0A" w14:textId="77777777" w:rsidR="009D652F" w:rsidRPr="00C44F34" w:rsidRDefault="009D652F" w:rsidP="00005CF2">
            <w:pPr>
              <w:spacing w:after="0" w:line="240" w:lineRule="auto"/>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3.       OUTCOMES</w:t>
            </w:r>
          </w:p>
        </w:tc>
        <w:tc>
          <w:tcPr>
            <w:tcW w:w="1361" w:type="dxa"/>
            <w:tcBorders>
              <w:top w:val="single" w:sz="4" w:space="0" w:color="auto"/>
              <w:left w:val="single" w:sz="4" w:space="0" w:color="auto"/>
              <w:bottom w:val="nil"/>
              <w:right w:val="nil"/>
            </w:tcBorders>
            <w:shd w:val="clear" w:color="auto" w:fill="auto"/>
            <w:noWrap/>
            <w:vAlign w:val="center"/>
            <w:hideMark/>
          </w:tcPr>
          <w:p w14:paraId="405F9A28" w14:textId="77777777" w:rsidR="009D652F" w:rsidRPr="00C44F34" w:rsidRDefault="009D652F" w:rsidP="00005CF2">
            <w:pPr>
              <w:spacing w:after="0" w:line="240" w:lineRule="auto"/>
              <w:jc w:val="right"/>
              <w:rPr>
                <w:rFonts w:ascii="Calibri" w:eastAsia="Times New Roman" w:hAnsi="Calibri" w:cs="Calibri"/>
                <w:color w:val="000000"/>
                <w:lang w:eastAsia="en-GB"/>
              </w:rPr>
            </w:pPr>
          </w:p>
        </w:tc>
        <w:tc>
          <w:tcPr>
            <w:tcW w:w="1361" w:type="dxa"/>
            <w:tcBorders>
              <w:top w:val="single" w:sz="4" w:space="0" w:color="auto"/>
              <w:left w:val="nil"/>
              <w:bottom w:val="nil"/>
              <w:right w:val="nil"/>
            </w:tcBorders>
            <w:shd w:val="clear" w:color="auto" w:fill="auto"/>
            <w:noWrap/>
            <w:vAlign w:val="center"/>
            <w:hideMark/>
          </w:tcPr>
          <w:p w14:paraId="2EA9D829"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44D65863"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6E09B058"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04BF0CC5"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30598B27"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763C29BC"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7D1A17F1"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6D15621F"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r>
      <w:tr w:rsidR="009D652F" w:rsidRPr="00C44F34" w14:paraId="722B4D73"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1BC7CE60"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3.1.  Was the outcome determined appropriately?</w:t>
            </w:r>
          </w:p>
        </w:tc>
        <w:tc>
          <w:tcPr>
            <w:tcW w:w="1361" w:type="dxa"/>
            <w:tcBorders>
              <w:top w:val="nil"/>
              <w:left w:val="single" w:sz="4" w:space="0" w:color="auto"/>
              <w:bottom w:val="nil"/>
              <w:right w:val="nil"/>
            </w:tcBorders>
            <w:shd w:val="clear" w:color="auto" w:fill="auto"/>
            <w:noWrap/>
            <w:vAlign w:val="center"/>
            <w:hideMark/>
          </w:tcPr>
          <w:p w14:paraId="5B450BE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90 (77 to 96)</w:t>
            </w:r>
          </w:p>
        </w:tc>
        <w:tc>
          <w:tcPr>
            <w:tcW w:w="1361" w:type="dxa"/>
            <w:tcBorders>
              <w:top w:val="nil"/>
              <w:left w:val="nil"/>
              <w:bottom w:val="nil"/>
              <w:right w:val="nil"/>
            </w:tcBorders>
            <w:shd w:val="clear" w:color="auto" w:fill="auto"/>
            <w:noWrap/>
            <w:vAlign w:val="center"/>
            <w:hideMark/>
          </w:tcPr>
          <w:p w14:paraId="02E633E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nil"/>
              <w:right w:val="single" w:sz="4" w:space="0" w:color="auto"/>
            </w:tcBorders>
            <w:shd w:val="clear" w:color="auto" w:fill="auto"/>
            <w:noWrap/>
            <w:vAlign w:val="center"/>
            <w:hideMark/>
          </w:tcPr>
          <w:p w14:paraId="5462B58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23)</w:t>
            </w:r>
          </w:p>
        </w:tc>
        <w:tc>
          <w:tcPr>
            <w:tcW w:w="1361" w:type="dxa"/>
            <w:tcBorders>
              <w:top w:val="nil"/>
              <w:left w:val="single" w:sz="4" w:space="0" w:color="auto"/>
              <w:bottom w:val="nil"/>
              <w:right w:val="nil"/>
            </w:tcBorders>
            <w:shd w:val="clear" w:color="auto" w:fill="auto"/>
            <w:noWrap/>
            <w:vAlign w:val="center"/>
            <w:hideMark/>
          </w:tcPr>
          <w:p w14:paraId="69DA0EB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83 (72 to 90)</w:t>
            </w:r>
          </w:p>
        </w:tc>
        <w:tc>
          <w:tcPr>
            <w:tcW w:w="1361" w:type="dxa"/>
            <w:tcBorders>
              <w:top w:val="nil"/>
              <w:left w:val="nil"/>
              <w:bottom w:val="nil"/>
              <w:right w:val="nil"/>
            </w:tcBorders>
            <w:shd w:val="clear" w:color="auto" w:fill="auto"/>
            <w:noWrap/>
            <w:vAlign w:val="center"/>
            <w:hideMark/>
          </w:tcPr>
          <w:p w14:paraId="6D73BF8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 (1 to 11)</w:t>
            </w:r>
          </w:p>
        </w:tc>
        <w:tc>
          <w:tcPr>
            <w:tcW w:w="1361" w:type="dxa"/>
            <w:tcBorders>
              <w:top w:val="nil"/>
              <w:left w:val="nil"/>
              <w:bottom w:val="nil"/>
              <w:right w:val="single" w:sz="4" w:space="0" w:color="auto"/>
            </w:tcBorders>
            <w:shd w:val="clear" w:color="auto" w:fill="auto"/>
            <w:noWrap/>
            <w:vAlign w:val="center"/>
            <w:hideMark/>
          </w:tcPr>
          <w:p w14:paraId="0C875C3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(8 to 24)</w:t>
            </w:r>
          </w:p>
        </w:tc>
        <w:tc>
          <w:tcPr>
            <w:tcW w:w="1361" w:type="dxa"/>
            <w:tcBorders>
              <w:top w:val="nil"/>
              <w:left w:val="single" w:sz="4" w:space="0" w:color="auto"/>
              <w:bottom w:val="nil"/>
              <w:right w:val="nil"/>
            </w:tcBorders>
            <w:shd w:val="clear" w:color="auto" w:fill="auto"/>
            <w:noWrap/>
            <w:vAlign w:val="center"/>
            <w:hideMark/>
          </w:tcPr>
          <w:p w14:paraId="3FEA3AA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85 (69 to 93)</w:t>
            </w:r>
          </w:p>
        </w:tc>
        <w:tc>
          <w:tcPr>
            <w:tcW w:w="1361" w:type="dxa"/>
            <w:tcBorders>
              <w:top w:val="nil"/>
              <w:left w:val="nil"/>
              <w:bottom w:val="nil"/>
              <w:right w:val="nil"/>
            </w:tcBorders>
            <w:shd w:val="clear" w:color="auto" w:fill="auto"/>
            <w:noWrap/>
            <w:vAlign w:val="center"/>
            <w:hideMark/>
          </w:tcPr>
          <w:p w14:paraId="17D8A56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19)</w:t>
            </w:r>
          </w:p>
        </w:tc>
        <w:tc>
          <w:tcPr>
            <w:tcW w:w="1361" w:type="dxa"/>
            <w:tcBorders>
              <w:top w:val="nil"/>
              <w:left w:val="nil"/>
              <w:bottom w:val="nil"/>
              <w:right w:val="single" w:sz="4" w:space="0" w:color="auto"/>
            </w:tcBorders>
            <w:shd w:val="clear" w:color="auto" w:fill="auto"/>
            <w:noWrap/>
            <w:vAlign w:val="center"/>
            <w:hideMark/>
          </w:tcPr>
          <w:p w14:paraId="6D4E5BF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25)</w:t>
            </w:r>
          </w:p>
        </w:tc>
      </w:tr>
      <w:tr w:rsidR="009D652F" w:rsidRPr="00C44F34" w14:paraId="160DF45D"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0247277F"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3.2. Was a prespecified or standard outcome definition used?</w:t>
            </w:r>
          </w:p>
        </w:tc>
        <w:tc>
          <w:tcPr>
            <w:tcW w:w="1361" w:type="dxa"/>
            <w:tcBorders>
              <w:top w:val="nil"/>
              <w:left w:val="single" w:sz="4" w:space="0" w:color="auto"/>
              <w:bottom w:val="nil"/>
              <w:right w:val="nil"/>
            </w:tcBorders>
            <w:shd w:val="clear" w:color="auto" w:fill="auto"/>
            <w:noWrap/>
            <w:vAlign w:val="center"/>
            <w:hideMark/>
          </w:tcPr>
          <w:p w14:paraId="7EC2EA3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76 (61 to 87)</w:t>
            </w:r>
          </w:p>
        </w:tc>
        <w:tc>
          <w:tcPr>
            <w:tcW w:w="1361" w:type="dxa"/>
            <w:tcBorders>
              <w:top w:val="nil"/>
              <w:left w:val="nil"/>
              <w:bottom w:val="nil"/>
              <w:right w:val="nil"/>
            </w:tcBorders>
            <w:shd w:val="clear" w:color="auto" w:fill="auto"/>
            <w:noWrap/>
            <w:vAlign w:val="center"/>
            <w:hideMark/>
          </w:tcPr>
          <w:p w14:paraId="169FE08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23)</w:t>
            </w:r>
          </w:p>
        </w:tc>
        <w:tc>
          <w:tcPr>
            <w:tcW w:w="1361" w:type="dxa"/>
            <w:tcBorders>
              <w:top w:val="nil"/>
              <w:left w:val="nil"/>
              <w:bottom w:val="nil"/>
              <w:right w:val="single" w:sz="4" w:space="0" w:color="auto"/>
            </w:tcBorders>
            <w:shd w:val="clear" w:color="auto" w:fill="auto"/>
            <w:noWrap/>
            <w:vAlign w:val="center"/>
            <w:hideMark/>
          </w:tcPr>
          <w:p w14:paraId="0E7478F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(6 to 29)</w:t>
            </w:r>
          </w:p>
        </w:tc>
        <w:tc>
          <w:tcPr>
            <w:tcW w:w="1361" w:type="dxa"/>
            <w:tcBorders>
              <w:top w:val="nil"/>
              <w:left w:val="single" w:sz="4" w:space="0" w:color="auto"/>
              <w:bottom w:val="nil"/>
              <w:right w:val="nil"/>
            </w:tcBorders>
            <w:shd w:val="clear" w:color="auto" w:fill="auto"/>
            <w:noWrap/>
            <w:vAlign w:val="center"/>
            <w:hideMark/>
          </w:tcPr>
          <w:p w14:paraId="2551C69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83 (72 to 90)</w:t>
            </w:r>
          </w:p>
        </w:tc>
        <w:tc>
          <w:tcPr>
            <w:tcW w:w="1361" w:type="dxa"/>
            <w:tcBorders>
              <w:top w:val="nil"/>
              <w:left w:val="nil"/>
              <w:bottom w:val="nil"/>
              <w:right w:val="nil"/>
            </w:tcBorders>
            <w:shd w:val="clear" w:color="auto" w:fill="auto"/>
            <w:noWrap/>
            <w:vAlign w:val="center"/>
            <w:hideMark/>
          </w:tcPr>
          <w:p w14:paraId="4D3B87E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 (3 to 16)</w:t>
            </w:r>
          </w:p>
        </w:tc>
        <w:tc>
          <w:tcPr>
            <w:tcW w:w="1361" w:type="dxa"/>
            <w:tcBorders>
              <w:top w:val="nil"/>
              <w:left w:val="nil"/>
              <w:bottom w:val="nil"/>
              <w:right w:val="single" w:sz="4" w:space="0" w:color="auto"/>
            </w:tcBorders>
            <w:shd w:val="clear" w:color="auto" w:fill="auto"/>
            <w:noWrap/>
            <w:vAlign w:val="center"/>
            <w:hideMark/>
          </w:tcPr>
          <w:p w14:paraId="7FD9CA4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(5 to 19)</w:t>
            </w:r>
          </w:p>
        </w:tc>
        <w:tc>
          <w:tcPr>
            <w:tcW w:w="1361" w:type="dxa"/>
            <w:tcBorders>
              <w:top w:val="nil"/>
              <w:left w:val="single" w:sz="4" w:space="0" w:color="auto"/>
              <w:bottom w:val="nil"/>
              <w:right w:val="nil"/>
            </w:tcBorders>
            <w:shd w:val="clear" w:color="auto" w:fill="auto"/>
            <w:noWrap/>
            <w:vAlign w:val="center"/>
            <w:hideMark/>
          </w:tcPr>
          <w:p w14:paraId="613342A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79 (63 to 90)</w:t>
            </w:r>
          </w:p>
        </w:tc>
        <w:tc>
          <w:tcPr>
            <w:tcW w:w="1361" w:type="dxa"/>
            <w:tcBorders>
              <w:top w:val="nil"/>
              <w:left w:val="nil"/>
              <w:bottom w:val="nil"/>
              <w:right w:val="nil"/>
            </w:tcBorders>
            <w:shd w:val="clear" w:color="auto" w:fill="auto"/>
            <w:noWrap/>
            <w:vAlign w:val="center"/>
            <w:hideMark/>
          </w:tcPr>
          <w:p w14:paraId="069076D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25)</w:t>
            </w:r>
          </w:p>
        </w:tc>
        <w:tc>
          <w:tcPr>
            <w:tcW w:w="1361" w:type="dxa"/>
            <w:tcBorders>
              <w:top w:val="nil"/>
              <w:left w:val="nil"/>
              <w:bottom w:val="nil"/>
              <w:right w:val="single" w:sz="4" w:space="0" w:color="auto"/>
            </w:tcBorders>
            <w:shd w:val="clear" w:color="auto" w:fill="auto"/>
            <w:noWrap/>
            <w:vAlign w:val="center"/>
            <w:hideMark/>
          </w:tcPr>
          <w:p w14:paraId="6F2C6AE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25)</w:t>
            </w:r>
          </w:p>
        </w:tc>
      </w:tr>
      <w:tr w:rsidR="009D652F" w:rsidRPr="00C44F34" w14:paraId="5733AC8D"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30646289"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3.3.  Were predictors excluded from the outcome definition?</w:t>
            </w:r>
          </w:p>
        </w:tc>
        <w:tc>
          <w:tcPr>
            <w:tcW w:w="1361" w:type="dxa"/>
            <w:tcBorders>
              <w:top w:val="nil"/>
              <w:left w:val="single" w:sz="4" w:space="0" w:color="auto"/>
              <w:bottom w:val="nil"/>
              <w:right w:val="nil"/>
            </w:tcBorders>
            <w:shd w:val="clear" w:color="auto" w:fill="auto"/>
            <w:noWrap/>
            <w:vAlign w:val="center"/>
            <w:hideMark/>
          </w:tcPr>
          <w:p w14:paraId="1624F7F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81 (66 to 90)</w:t>
            </w:r>
          </w:p>
        </w:tc>
        <w:tc>
          <w:tcPr>
            <w:tcW w:w="1361" w:type="dxa"/>
            <w:tcBorders>
              <w:top w:val="nil"/>
              <w:left w:val="nil"/>
              <w:bottom w:val="nil"/>
              <w:right w:val="nil"/>
            </w:tcBorders>
            <w:shd w:val="clear" w:color="auto" w:fill="auto"/>
            <w:noWrap/>
            <w:vAlign w:val="center"/>
            <w:hideMark/>
          </w:tcPr>
          <w:p w14:paraId="234887A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nil"/>
              <w:right w:val="single" w:sz="4" w:space="0" w:color="auto"/>
            </w:tcBorders>
            <w:shd w:val="clear" w:color="auto" w:fill="auto"/>
            <w:noWrap/>
            <w:vAlign w:val="center"/>
            <w:hideMark/>
          </w:tcPr>
          <w:p w14:paraId="308A01B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(6 to 29)</w:t>
            </w:r>
          </w:p>
        </w:tc>
        <w:tc>
          <w:tcPr>
            <w:tcW w:w="1361" w:type="dxa"/>
            <w:tcBorders>
              <w:top w:val="nil"/>
              <w:left w:val="single" w:sz="4" w:space="0" w:color="auto"/>
              <w:bottom w:val="nil"/>
              <w:right w:val="nil"/>
            </w:tcBorders>
            <w:shd w:val="clear" w:color="auto" w:fill="auto"/>
            <w:noWrap/>
            <w:vAlign w:val="center"/>
            <w:hideMark/>
          </w:tcPr>
          <w:p w14:paraId="3970ABB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73 (62 to 82)</w:t>
            </w:r>
          </w:p>
        </w:tc>
        <w:tc>
          <w:tcPr>
            <w:tcW w:w="1361" w:type="dxa"/>
            <w:tcBorders>
              <w:top w:val="nil"/>
              <w:left w:val="nil"/>
              <w:bottom w:val="nil"/>
              <w:right w:val="nil"/>
            </w:tcBorders>
            <w:shd w:val="clear" w:color="auto" w:fill="auto"/>
            <w:noWrap/>
            <w:vAlign w:val="center"/>
            <w:hideMark/>
          </w:tcPr>
          <w:p w14:paraId="327843F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 (1 to 13)</w:t>
            </w:r>
          </w:p>
        </w:tc>
        <w:tc>
          <w:tcPr>
            <w:tcW w:w="1361" w:type="dxa"/>
            <w:tcBorders>
              <w:top w:val="nil"/>
              <w:left w:val="nil"/>
              <w:bottom w:val="nil"/>
              <w:right w:val="single" w:sz="4" w:space="0" w:color="auto"/>
            </w:tcBorders>
            <w:shd w:val="clear" w:color="auto" w:fill="auto"/>
            <w:noWrap/>
            <w:vAlign w:val="center"/>
            <w:hideMark/>
          </w:tcPr>
          <w:p w14:paraId="4AD4A60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23 (14 to 34)</w:t>
            </w:r>
          </w:p>
        </w:tc>
        <w:tc>
          <w:tcPr>
            <w:tcW w:w="1361" w:type="dxa"/>
            <w:tcBorders>
              <w:top w:val="nil"/>
              <w:left w:val="single" w:sz="4" w:space="0" w:color="auto"/>
              <w:bottom w:val="nil"/>
              <w:right w:val="nil"/>
            </w:tcBorders>
            <w:shd w:val="clear" w:color="auto" w:fill="auto"/>
            <w:noWrap/>
            <w:vAlign w:val="center"/>
            <w:hideMark/>
          </w:tcPr>
          <w:p w14:paraId="5AF192E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79 (63 to 90)</w:t>
            </w:r>
          </w:p>
        </w:tc>
        <w:tc>
          <w:tcPr>
            <w:tcW w:w="1361" w:type="dxa"/>
            <w:tcBorders>
              <w:top w:val="nil"/>
              <w:left w:val="nil"/>
              <w:bottom w:val="nil"/>
              <w:right w:val="nil"/>
            </w:tcBorders>
            <w:shd w:val="clear" w:color="auto" w:fill="auto"/>
            <w:noWrap/>
            <w:vAlign w:val="center"/>
            <w:hideMark/>
          </w:tcPr>
          <w:p w14:paraId="009DDBF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 (0 to 17)</w:t>
            </w:r>
          </w:p>
        </w:tc>
        <w:tc>
          <w:tcPr>
            <w:tcW w:w="1361" w:type="dxa"/>
            <w:tcBorders>
              <w:top w:val="nil"/>
              <w:left w:val="nil"/>
              <w:bottom w:val="nil"/>
              <w:right w:val="single" w:sz="4" w:space="0" w:color="auto"/>
            </w:tcBorders>
            <w:shd w:val="clear" w:color="auto" w:fill="auto"/>
            <w:noWrap/>
            <w:vAlign w:val="center"/>
            <w:hideMark/>
          </w:tcPr>
          <w:p w14:paraId="430CA57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18 (9 to 34)</w:t>
            </w:r>
          </w:p>
        </w:tc>
      </w:tr>
      <w:tr w:rsidR="009D652F" w:rsidRPr="00C44F34" w14:paraId="7CB1A095"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746F93FB"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3.4.  Was the outcome defined and determined in a similar way for all participants?</w:t>
            </w:r>
          </w:p>
        </w:tc>
        <w:tc>
          <w:tcPr>
            <w:tcW w:w="1361" w:type="dxa"/>
            <w:tcBorders>
              <w:top w:val="nil"/>
              <w:left w:val="single" w:sz="4" w:space="0" w:color="auto"/>
              <w:bottom w:val="nil"/>
              <w:right w:val="nil"/>
            </w:tcBorders>
            <w:shd w:val="clear" w:color="auto" w:fill="auto"/>
            <w:noWrap/>
            <w:vAlign w:val="center"/>
            <w:hideMark/>
          </w:tcPr>
          <w:p w14:paraId="778D009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83 (68 to 92)</w:t>
            </w:r>
          </w:p>
        </w:tc>
        <w:tc>
          <w:tcPr>
            <w:tcW w:w="1361" w:type="dxa"/>
            <w:tcBorders>
              <w:top w:val="nil"/>
              <w:left w:val="nil"/>
              <w:bottom w:val="nil"/>
              <w:right w:val="nil"/>
            </w:tcBorders>
            <w:shd w:val="clear" w:color="auto" w:fill="auto"/>
            <w:noWrap/>
            <w:vAlign w:val="center"/>
            <w:hideMark/>
          </w:tcPr>
          <w:p w14:paraId="775B823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nil"/>
              <w:right w:val="single" w:sz="4" w:space="0" w:color="auto"/>
            </w:tcBorders>
            <w:shd w:val="clear" w:color="auto" w:fill="auto"/>
            <w:noWrap/>
            <w:vAlign w:val="center"/>
            <w:hideMark/>
          </w:tcPr>
          <w:p w14:paraId="0C9FFD4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12 (5 to 26)</w:t>
            </w:r>
          </w:p>
        </w:tc>
        <w:tc>
          <w:tcPr>
            <w:tcW w:w="1361" w:type="dxa"/>
            <w:tcBorders>
              <w:top w:val="nil"/>
              <w:left w:val="single" w:sz="4" w:space="0" w:color="auto"/>
              <w:bottom w:val="nil"/>
              <w:right w:val="nil"/>
            </w:tcBorders>
            <w:shd w:val="clear" w:color="auto" w:fill="auto"/>
            <w:noWrap/>
            <w:vAlign w:val="center"/>
            <w:hideMark/>
          </w:tcPr>
          <w:p w14:paraId="70C38F2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72 (60 to 81)</w:t>
            </w:r>
          </w:p>
        </w:tc>
        <w:tc>
          <w:tcPr>
            <w:tcW w:w="1361" w:type="dxa"/>
            <w:tcBorders>
              <w:top w:val="nil"/>
              <w:left w:val="nil"/>
              <w:bottom w:val="nil"/>
              <w:right w:val="nil"/>
            </w:tcBorders>
            <w:shd w:val="clear" w:color="auto" w:fill="auto"/>
            <w:noWrap/>
            <w:vAlign w:val="center"/>
            <w:hideMark/>
          </w:tcPr>
          <w:p w14:paraId="19571A7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(4 to 18)</w:t>
            </w:r>
          </w:p>
        </w:tc>
        <w:tc>
          <w:tcPr>
            <w:tcW w:w="1361" w:type="dxa"/>
            <w:tcBorders>
              <w:top w:val="nil"/>
              <w:left w:val="nil"/>
              <w:bottom w:val="nil"/>
              <w:right w:val="single" w:sz="4" w:space="0" w:color="auto"/>
            </w:tcBorders>
            <w:shd w:val="clear" w:color="auto" w:fill="auto"/>
            <w:noWrap/>
            <w:vAlign w:val="center"/>
            <w:hideMark/>
          </w:tcPr>
          <w:p w14:paraId="3D9F1EA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20 (12 to 31)</w:t>
            </w:r>
          </w:p>
        </w:tc>
        <w:tc>
          <w:tcPr>
            <w:tcW w:w="1361" w:type="dxa"/>
            <w:tcBorders>
              <w:top w:val="nil"/>
              <w:left w:val="single" w:sz="4" w:space="0" w:color="auto"/>
              <w:bottom w:val="nil"/>
              <w:right w:val="nil"/>
            </w:tcBorders>
            <w:shd w:val="clear" w:color="auto" w:fill="auto"/>
            <w:noWrap/>
            <w:vAlign w:val="center"/>
            <w:hideMark/>
          </w:tcPr>
          <w:p w14:paraId="1C68855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74 (58 to 86)</w:t>
            </w:r>
          </w:p>
        </w:tc>
        <w:tc>
          <w:tcPr>
            <w:tcW w:w="1361" w:type="dxa"/>
            <w:tcBorders>
              <w:top w:val="nil"/>
              <w:left w:val="nil"/>
              <w:bottom w:val="nil"/>
              <w:right w:val="nil"/>
            </w:tcBorders>
            <w:shd w:val="clear" w:color="auto" w:fill="auto"/>
            <w:noWrap/>
            <w:vAlign w:val="center"/>
            <w:hideMark/>
          </w:tcPr>
          <w:p w14:paraId="70D0918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(2 to 22)</w:t>
            </w:r>
          </w:p>
        </w:tc>
        <w:tc>
          <w:tcPr>
            <w:tcW w:w="1361" w:type="dxa"/>
            <w:tcBorders>
              <w:top w:val="nil"/>
              <w:left w:val="nil"/>
              <w:bottom w:val="nil"/>
              <w:right w:val="single" w:sz="4" w:space="0" w:color="auto"/>
            </w:tcBorders>
            <w:shd w:val="clear" w:color="auto" w:fill="auto"/>
            <w:noWrap/>
            <w:vAlign w:val="center"/>
            <w:hideMark/>
          </w:tcPr>
          <w:p w14:paraId="0C6AEA7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18 (9 to 34)</w:t>
            </w:r>
          </w:p>
        </w:tc>
      </w:tr>
      <w:tr w:rsidR="009D652F" w:rsidRPr="00C44F34" w14:paraId="5E0F581A"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456A6DAA"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3.5.  Was the outcome determined without knowledge of predictor information?</w:t>
            </w:r>
          </w:p>
        </w:tc>
        <w:tc>
          <w:tcPr>
            <w:tcW w:w="1361" w:type="dxa"/>
            <w:tcBorders>
              <w:top w:val="nil"/>
              <w:left w:val="single" w:sz="4" w:space="0" w:color="auto"/>
              <w:bottom w:val="nil"/>
              <w:right w:val="nil"/>
            </w:tcBorders>
            <w:shd w:val="clear" w:color="auto" w:fill="auto"/>
            <w:noWrap/>
            <w:vAlign w:val="center"/>
            <w:hideMark/>
          </w:tcPr>
          <w:p w14:paraId="1EFDDE3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74 (58 to 85)</w:t>
            </w:r>
          </w:p>
        </w:tc>
        <w:tc>
          <w:tcPr>
            <w:tcW w:w="1361" w:type="dxa"/>
            <w:tcBorders>
              <w:top w:val="nil"/>
              <w:left w:val="nil"/>
              <w:bottom w:val="nil"/>
              <w:right w:val="nil"/>
            </w:tcBorders>
            <w:shd w:val="clear" w:color="auto" w:fill="auto"/>
            <w:noWrap/>
            <w:vAlign w:val="center"/>
            <w:hideMark/>
          </w:tcPr>
          <w:p w14:paraId="0C42941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nil"/>
              <w:right w:val="single" w:sz="4" w:space="0" w:color="auto"/>
            </w:tcBorders>
            <w:shd w:val="clear" w:color="auto" w:fill="auto"/>
            <w:noWrap/>
            <w:vAlign w:val="center"/>
            <w:hideMark/>
          </w:tcPr>
          <w:p w14:paraId="7137DAF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21 (11 to 37)</w:t>
            </w:r>
          </w:p>
        </w:tc>
        <w:tc>
          <w:tcPr>
            <w:tcW w:w="1361" w:type="dxa"/>
            <w:tcBorders>
              <w:top w:val="nil"/>
              <w:left w:val="single" w:sz="4" w:space="0" w:color="auto"/>
              <w:bottom w:val="nil"/>
              <w:right w:val="nil"/>
            </w:tcBorders>
            <w:shd w:val="clear" w:color="auto" w:fill="auto"/>
            <w:noWrap/>
            <w:vAlign w:val="center"/>
            <w:hideMark/>
          </w:tcPr>
          <w:p w14:paraId="06D93BA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68 (56 to 78)</w:t>
            </w:r>
          </w:p>
        </w:tc>
        <w:tc>
          <w:tcPr>
            <w:tcW w:w="1361" w:type="dxa"/>
            <w:tcBorders>
              <w:top w:val="nil"/>
              <w:left w:val="nil"/>
              <w:bottom w:val="nil"/>
              <w:right w:val="nil"/>
            </w:tcBorders>
            <w:shd w:val="clear" w:color="auto" w:fill="auto"/>
            <w:noWrap/>
            <w:vAlign w:val="center"/>
            <w:hideMark/>
          </w:tcPr>
          <w:p w14:paraId="56D27FC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 (1 to 13)</w:t>
            </w:r>
          </w:p>
        </w:tc>
        <w:tc>
          <w:tcPr>
            <w:tcW w:w="1361" w:type="dxa"/>
            <w:tcBorders>
              <w:top w:val="nil"/>
              <w:left w:val="nil"/>
              <w:bottom w:val="nil"/>
              <w:right w:val="single" w:sz="4" w:space="0" w:color="auto"/>
            </w:tcBorders>
            <w:shd w:val="clear" w:color="auto" w:fill="auto"/>
            <w:noWrap/>
            <w:vAlign w:val="center"/>
            <w:hideMark/>
          </w:tcPr>
          <w:p w14:paraId="647C2C9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(19 to 40)</w:t>
            </w:r>
          </w:p>
        </w:tc>
        <w:tc>
          <w:tcPr>
            <w:tcW w:w="1361" w:type="dxa"/>
            <w:tcBorders>
              <w:top w:val="nil"/>
              <w:left w:val="single" w:sz="4" w:space="0" w:color="auto"/>
              <w:bottom w:val="nil"/>
              <w:right w:val="nil"/>
            </w:tcBorders>
            <w:shd w:val="clear" w:color="auto" w:fill="auto"/>
            <w:noWrap/>
            <w:vAlign w:val="center"/>
            <w:hideMark/>
          </w:tcPr>
          <w:p w14:paraId="0AC8558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69 (53 to 82)</w:t>
            </w:r>
          </w:p>
        </w:tc>
        <w:tc>
          <w:tcPr>
            <w:tcW w:w="1361" w:type="dxa"/>
            <w:tcBorders>
              <w:top w:val="nil"/>
              <w:left w:val="nil"/>
              <w:bottom w:val="nil"/>
              <w:right w:val="nil"/>
            </w:tcBorders>
            <w:shd w:val="clear" w:color="auto" w:fill="auto"/>
            <w:noWrap/>
            <w:vAlign w:val="center"/>
            <w:hideMark/>
          </w:tcPr>
          <w:p w14:paraId="42861BB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 (0 to 17)</w:t>
            </w:r>
          </w:p>
        </w:tc>
        <w:tc>
          <w:tcPr>
            <w:tcW w:w="1361" w:type="dxa"/>
            <w:tcBorders>
              <w:top w:val="nil"/>
              <w:left w:val="nil"/>
              <w:bottom w:val="nil"/>
              <w:right w:val="single" w:sz="4" w:space="0" w:color="auto"/>
            </w:tcBorders>
            <w:shd w:val="clear" w:color="auto" w:fill="auto"/>
            <w:noWrap/>
            <w:vAlign w:val="center"/>
            <w:hideMark/>
          </w:tcPr>
          <w:p w14:paraId="2DE24F7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(16 to 45)</w:t>
            </w:r>
          </w:p>
        </w:tc>
      </w:tr>
      <w:tr w:rsidR="009D652F" w:rsidRPr="00C44F34" w14:paraId="6341B6C1" w14:textId="77777777" w:rsidTr="00005CF2">
        <w:trPr>
          <w:trHeight w:val="300"/>
          <w:jc w:val="center"/>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DB3CF6A"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3.6.  Was the time interval between predictor assessment and outcome determination appropriate?</w:t>
            </w:r>
          </w:p>
        </w:tc>
        <w:tc>
          <w:tcPr>
            <w:tcW w:w="1361" w:type="dxa"/>
            <w:tcBorders>
              <w:top w:val="nil"/>
              <w:left w:val="single" w:sz="4" w:space="0" w:color="auto"/>
              <w:bottom w:val="single" w:sz="4" w:space="0" w:color="auto"/>
              <w:right w:val="nil"/>
            </w:tcBorders>
            <w:shd w:val="clear" w:color="auto" w:fill="auto"/>
            <w:noWrap/>
            <w:vAlign w:val="center"/>
            <w:hideMark/>
          </w:tcPr>
          <w:p w14:paraId="4628D38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69 (53 to 81)</w:t>
            </w:r>
          </w:p>
        </w:tc>
        <w:tc>
          <w:tcPr>
            <w:tcW w:w="1361" w:type="dxa"/>
            <w:tcBorders>
              <w:top w:val="nil"/>
              <w:left w:val="nil"/>
              <w:bottom w:val="single" w:sz="4" w:space="0" w:color="auto"/>
              <w:right w:val="nil"/>
            </w:tcBorders>
            <w:shd w:val="clear" w:color="auto" w:fill="auto"/>
            <w:noWrap/>
            <w:vAlign w:val="center"/>
            <w:hideMark/>
          </w:tcPr>
          <w:p w14:paraId="27488AF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single" w:sz="4" w:space="0" w:color="auto"/>
              <w:right w:val="single" w:sz="4" w:space="0" w:color="auto"/>
            </w:tcBorders>
            <w:shd w:val="clear" w:color="auto" w:fill="auto"/>
            <w:noWrap/>
            <w:vAlign w:val="center"/>
            <w:hideMark/>
          </w:tcPr>
          <w:p w14:paraId="2508B95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26 (15 to 42)</w:t>
            </w:r>
          </w:p>
        </w:tc>
        <w:tc>
          <w:tcPr>
            <w:tcW w:w="1361" w:type="dxa"/>
            <w:tcBorders>
              <w:top w:val="nil"/>
              <w:left w:val="single" w:sz="4" w:space="0" w:color="auto"/>
              <w:bottom w:val="single" w:sz="4" w:space="0" w:color="auto"/>
              <w:right w:val="nil"/>
            </w:tcBorders>
            <w:shd w:val="clear" w:color="auto" w:fill="auto"/>
            <w:noWrap/>
            <w:vAlign w:val="center"/>
            <w:hideMark/>
          </w:tcPr>
          <w:p w14:paraId="5ABA351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62 (50 to 73)</w:t>
            </w:r>
          </w:p>
        </w:tc>
        <w:tc>
          <w:tcPr>
            <w:tcW w:w="1361" w:type="dxa"/>
            <w:tcBorders>
              <w:top w:val="nil"/>
              <w:left w:val="nil"/>
              <w:bottom w:val="single" w:sz="4" w:space="0" w:color="auto"/>
              <w:right w:val="nil"/>
            </w:tcBorders>
            <w:shd w:val="clear" w:color="auto" w:fill="auto"/>
            <w:noWrap/>
            <w:vAlign w:val="center"/>
            <w:hideMark/>
          </w:tcPr>
          <w:p w14:paraId="3494677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single" w:sz="4" w:space="0" w:color="auto"/>
              <w:right w:val="single" w:sz="4" w:space="0" w:color="auto"/>
            </w:tcBorders>
            <w:shd w:val="clear" w:color="auto" w:fill="auto"/>
            <w:noWrap/>
            <w:vAlign w:val="center"/>
            <w:hideMark/>
          </w:tcPr>
          <w:p w14:paraId="3C51F01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38 (27 to 50)</w:t>
            </w:r>
          </w:p>
        </w:tc>
        <w:tc>
          <w:tcPr>
            <w:tcW w:w="1361" w:type="dxa"/>
            <w:tcBorders>
              <w:top w:val="nil"/>
              <w:left w:val="single" w:sz="4" w:space="0" w:color="auto"/>
              <w:bottom w:val="single" w:sz="4" w:space="0" w:color="auto"/>
              <w:right w:val="nil"/>
            </w:tcBorders>
            <w:shd w:val="clear" w:color="auto" w:fill="auto"/>
            <w:noWrap/>
            <w:vAlign w:val="center"/>
            <w:hideMark/>
          </w:tcPr>
          <w:p w14:paraId="2E753EA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69 (53 to 82)</w:t>
            </w:r>
          </w:p>
        </w:tc>
        <w:tc>
          <w:tcPr>
            <w:tcW w:w="1361" w:type="dxa"/>
            <w:tcBorders>
              <w:top w:val="nil"/>
              <w:left w:val="nil"/>
              <w:bottom w:val="single" w:sz="4" w:space="0" w:color="auto"/>
              <w:right w:val="nil"/>
            </w:tcBorders>
            <w:shd w:val="clear" w:color="auto" w:fill="auto"/>
            <w:noWrap/>
            <w:vAlign w:val="center"/>
            <w:hideMark/>
          </w:tcPr>
          <w:p w14:paraId="62F0AC3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(2 to 22)</w:t>
            </w:r>
          </w:p>
        </w:tc>
        <w:tc>
          <w:tcPr>
            <w:tcW w:w="1361" w:type="dxa"/>
            <w:tcBorders>
              <w:top w:val="nil"/>
              <w:left w:val="nil"/>
              <w:bottom w:val="single" w:sz="4" w:space="0" w:color="auto"/>
              <w:right w:val="single" w:sz="4" w:space="0" w:color="auto"/>
            </w:tcBorders>
            <w:shd w:val="clear" w:color="auto" w:fill="auto"/>
            <w:noWrap/>
            <w:vAlign w:val="center"/>
            <w:hideMark/>
          </w:tcPr>
          <w:p w14:paraId="460C5C6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23 (12 to 39)</w:t>
            </w:r>
          </w:p>
        </w:tc>
      </w:tr>
      <w:tr w:rsidR="009D652F" w:rsidRPr="00C44F34" w14:paraId="15B9B8F5" w14:textId="77777777" w:rsidTr="00005CF2">
        <w:trPr>
          <w:trHeight w:val="300"/>
          <w:jc w:val="center"/>
        </w:trPr>
        <w:tc>
          <w:tcPr>
            <w:tcW w:w="3261" w:type="dxa"/>
            <w:tcBorders>
              <w:top w:val="single" w:sz="4" w:space="0" w:color="auto"/>
              <w:left w:val="single" w:sz="4" w:space="0" w:color="auto"/>
              <w:bottom w:val="nil"/>
              <w:right w:val="single" w:sz="4" w:space="0" w:color="auto"/>
            </w:tcBorders>
            <w:shd w:val="clear" w:color="auto" w:fill="auto"/>
            <w:noWrap/>
            <w:vAlign w:val="center"/>
            <w:hideMark/>
          </w:tcPr>
          <w:p w14:paraId="6B0CF40F" w14:textId="77777777" w:rsidR="009D652F" w:rsidRPr="00C44F34" w:rsidRDefault="009D652F" w:rsidP="00005CF2">
            <w:pPr>
              <w:spacing w:after="0" w:line="240" w:lineRule="auto"/>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4.       ANALYSIS</w:t>
            </w:r>
          </w:p>
        </w:tc>
        <w:tc>
          <w:tcPr>
            <w:tcW w:w="1361" w:type="dxa"/>
            <w:tcBorders>
              <w:top w:val="single" w:sz="4" w:space="0" w:color="auto"/>
              <w:left w:val="single" w:sz="4" w:space="0" w:color="auto"/>
              <w:bottom w:val="nil"/>
              <w:right w:val="nil"/>
            </w:tcBorders>
            <w:shd w:val="clear" w:color="auto" w:fill="auto"/>
            <w:noWrap/>
            <w:vAlign w:val="center"/>
            <w:hideMark/>
          </w:tcPr>
          <w:p w14:paraId="6AFBDD81" w14:textId="77777777" w:rsidR="009D652F" w:rsidRPr="00C44F34" w:rsidRDefault="009D652F" w:rsidP="00005CF2">
            <w:pPr>
              <w:spacing w:after="0" w:line="240" w:lineRule="auto"/>
              <w:jc w:val="right"/>
              <w:rPr>
                <w:rFonts w:ascii="Calibri" w:eastAsia="Times New Roman" w:hAnsi="Calibri" w:cs="Calibri"/>
                <w:color w:val="000000"/>
                <w:lang w:eastAsia="en-GB"/>
              </w:rPr>
            </w:pPr>
          </w:p>
        </w:tc>
        <w:tc>
          <w:tcPr>
            <w:tcW w:w="1361" w:type="dxa"/>
            <w:tcBorders>
              <w:top w:val="single" w:sz="4" w:space="0" w:color="auto"/>
              <w:left w:val="nil"/>
              <w:bottom w:val="nil"/>
              <w:right w:val="nil"/>
            </w:tcBorders>
            <w:shd w:val="clear" w:color="auto" w:fill="auto"/>
            <w:noWrap/>
            <w:vAlign w:val="center"/>
            <w:hideMark/>
          </w:tcPr>
          <w:p w14:paraId="5B6D9A05"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16BA8AE9"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0D6FBF00"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12FF18E0"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5F6A13DA"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single" w:sz="4" w:space="0" w:color="auto"/>
              <w:bottom w:val="nil"/>
              <w:right w:val="nil"/>
            </w:tcBorders>
            <w:shd w:val="clear" w:color="auto" w:fill="auto"/>
            <w:noWrap/>
            <w:vAlign w:val="center"/>
            <w:hideMark/>
          </w:tcPr>
          <w:p w14:paraId="0388812B"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nil"/>
            </w:tcBorders>
            <w:shd w:val="clear" w:color="auto" w:fill="auto"/>
            <w:noWrap/>
            <w:vAlign w:val="center"/>
            <w:hideMark/>
          </w:tcPr>
          <w:p w14:paraId="26D00279"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c>
          <w:tcPr>
            <w:tcW w:w="1361" w:type="dxa"/>
            <w:tcBorders>
              <w:top w:val="single" w:sz="4" w:space="0" w:color="auto"/>
              <w:left w:val="nil"/>
              <w:bottom w:val="nil"/>
              <w:right w:val="single" w:sz="4" w:space="0" w:color="auto"/>
            </w:tcBorders>
            <w:shd w:val="clear" w:color="auto" w:fill="auto"/>
            <w:noWrap/>
            <w:vAlign w:val="center"/>
            <w:hideMark/>
          </w:tcPr>
          <w:p w14:paraId="14FBAA1C" w14:textId="77777777" w:rsidR="009D652F" w:rsidRPr="00C44F34" w:rsidRDefault="009D652F" w:rsidP="00005CF2">
            <w:pPr>
              <w:spacing w:after="0" w:line="240" w:lineRule="auto"/>
              <w:jc w:val="right"/>
              <w:rPr>
                <w:rFonts w:ascii="Times New Roman" w:eastAsia="Times New Roman" w:hAnsi="Times New Roman" w:cs="Times New Roman"/>
                <w:sz w:val="20"/>
                <w:szCs w:val="20"/>
                <w:lang w:eastAsia="en-GB"/>
              </w:rPr>
            </w:pPr>
          </w:p>
        </w:tc>
      </w:tr>
      <w:tr w:rsidR="009D652F" w:rsidRPr="00C44F34" w14:paraId="51A120A2"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10F95F1B"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4.1.  Were there a reasonable number of participants with the outcome?</w:t>
            </w:r>
          </w:p>
        </w:tc>
        <w:tc>
          <w:tcPr>
            <w:tcW w:w="1361" w:type="dxa"/>
            <w:tcBorders>
              <w:top w:val="nil"/>
              <w:left w:val="single" w:sz="4" w:space="0" w:color="auto"/>
              <w:bottom w:val="nil"/>
              <w:right w:val="nil"/>
            </w:tcBorders>
            <w:shd w:val="clear" w:color="auto" w:fill="auto"/>
            <w:noWrap/>
            <w:vAlign w:val="center"/>
            <w:hideMark/>
          </w:tcPr>
          <w:p w14:paraId="49C248F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31 (19 to 47)</w:t>
            </w:r>
          </w:p>
        </w:tc>
        <w:tc>
          <w:tcPr>
            <w:tcW w:w="1361" w:type="dxa"/>
            <w:tcBorders>
              <w:top w:val="nil"/>
              <w:left w:val="nil"/>
              <w:bottom w:val="nil"/>
              <w:right w:val="nil"/>
            </w:tcBorders>
            <w:shd w:val="clear" w:color="auto" w:fill="auto"/>
            <w:noWrap/>
            <w:vAlign w:val="center"/>
            <w:hideMark/>
          </w:tcPr>
          <w:p w14:paraId="3D7590A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52 (37 to 67)</w:t>
            </w:r>
          </w:p>
        </w:tc>
        <w:tc>
          <w:tcPr>
            <w:tcW w:w="1361" w:type="dxa"/>
            <w:tcBorders>
              <w:top w:val="nil"/>
              <w:left w:val="nil"/>
              <w:bottom w:val="nil"/>
              <w:right w:val="single" w:sz="4" w:space="0" w:color="auto"/>
            </w:tcBorders>
            <w:shd w:val="clear" w:color="auto" w:fill="auto"/>
            <w:noWrap/>
            <w:vAlign w:val="center"/>
            <w:hideMark/>
          </w:tcPr>
          <w:p w14:paraId="623C4D7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17 (8 to 32)</w:t>
            </w:r>
          </w:p>
        </w:tc>
        <w:tc>
          <w:tcPr>
            <w:tcW w:w="1361" w:type="dxa"/>
            <w:tcBorders>
              <w:top w:val="nil"/>
              <w:left w:val="single" w:sz="4" w:space="0" w:color="auto"/>
              <w:bottom w:val="nil"/>
              <w:right w:val="nil"/>
            </w:tcBorders>
            <w:shd w:val="clear" w:color="auto" w:fill="auto"/>
            <w:noWrap/>
            <w:vAlign w:val="center"/>
            <w:hideMark/>
          </w:tcPr>
          <w:p w14:paraId="3E74711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34 (24 to 46)</w:t>
            </w:r>
          </w:p>
        </w:tc>
        <w:tc>
          <w:tcPr>
            <w:tcW w:w="1361" w:type="dxa"/>
            <w:tcBorders>
              <w:top w:val="nil"/>
              <w:left w:val="nil"/>
              <w:bottom w:val="nil"/>
              <w:right w:val="nil"/>
            </w:tcBorders>
            <w:shd w:val="clear" w:color="auto" w:fill="auto"/>
            <w:noWrap/>
            <w:vAlign w:val="center"/>
            <w:hideMark/>
          </w:tcPr>
          <w:p w14:paraId="1422AB2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54 (42 to 65)</w:t>
            </w:r>
          </w:p>
        </w:tc>
        <w:tc>
          <w:tcPr>
            <w:tcW w:w="1361" w:type="dxa"/>
            <w:tcBorders>
              <w:top w:val="nil"/>
              <w:left w:val="nil"/>
              <w:bottom w:val="nil"/>
              <w:right w:val="single" w:sz="4" w:space="0" w:color="auto"/>
            </w:tcBorders>
            <w:shd w:val="clear" w:color="auto" w:fill="auto"/>
            <w:noWrap/>
            <w:vAlign w:val="center"/>
            <w:hideMark/>
          </w:tcPr>
          <w:p w14:paraId="110C314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(7 to 23)</w:t>
            </w:r>
          </w:p>
        </w:tc>
        <w:tc>
          <w:tcPr>
            <w:tcW w:w="1361" w:type="dxa"/>
            <w:tcBorders>
              <w:top w:val="nil"/>
              <w:left w:val="single" w:sz="4" w:space="0" w:color="auto"/>
              <w:bottom w:val="nil"/>
              <w:right w:val="nil"/>
            </w:tcBorders>
            <w:shd w:val="clear" w:color="auto" w:fill="auto"/>
            <w:noWrap/>
            <w:vAlign w:val="center"/>
            <w:hideMark/>
          </w:tcPr>
          <w:p w14:paraId="1BCA9F2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18 (9 to 34)</w:t>
            </w:r>
          </w:p>
        </w:tc>
        <w:tc>
          <w:tcPr>
            <w:tcW w:w="1361" w:type="dxa"/>
            <w:tcBorders>
              <w:top w:val="nil"/>
              <w:left w:val="nil"/>
              <w:bottom w:val="nil"/>
              <w:right w:val="nil"/>
            </w:tcBorders>
            <w:shd w:val="clear" w:color="auto" w:fill="auto"/>
            <w:noWrap/>
            <w:vAlign w:val="center"/>
            <w:hideMark/>
          </w:tcPr>
          <w:p w14:paraId="4747428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44 (29 to 60)</w:t>
            </w:r>
          </w:p>
        </w:tc>
        <w:tc>
          <w:tcPr>
            <w:tcW w:w="1361" w:type="dxa"/>
            <w:tcBorders>
              <w:top w:val="nil"/>
              <w:left w:val="nil"/>
              <w:bottom w:val="nil"/>
              <w:right w:val="single" w:sz="4" w:space="0" w:color="auto"/>
            </w:tcBorders>
            <w:shd w:val="clear" w:color="auto" w:fill="auto"/>
            <w:noWrap/>
            <w:vAlign w:val="center"/>
            <w:hideMark/>
          </w:tcPr>
          <w:p w14:paraId="13D0F05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38 (24 to 55)</w:t>
            </w:r>
          </w:p>
        </w:tc>
      </w:tr>
      <w:tr w:rsidR="009D652F" w:rsidRPr="00C44F34" w14:paraId="0961667C"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2D6DB753"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4.2.  Were continuous and categorical predictors handled appropriately?</w:t>
            </w:r>
          </w:p>
        </w:tc>
        <w:tc>
          <w:tcPr>
            <w:tcW w:w="1361" w:type="dxa"/>
            <w:tcBorders>
              <w:top w:val="nil"/>
              <w:left w:val="single" w:sz="4" w:space="0" w:color="auto"/>
              <w:bottom w:val="nil"/>
              <w:right w:val="nil"/>
            </w:tcBorders>
            <w:shd w:val="clear" w:color="auto" w:fill="auto"/>
            <w:noWrap/>
            <w:vAlign w:val="center"/>
            <w:hideMark/>
          </w:tcPr>
          <w:p w14:paraId="651EC82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21 (11 to 37)</w:t>
            </w:r>
          </w:p>
        </w:tc>
        <w:tc>
          <w:tcPr>
            <w:tcW w:w="1361" w:type="dxa"/>
            <w:tcBorders>
              <w:top w:val="nil"/>
              <w:left w:val="nil"/>
              <w:bottom w:val="nil"/>
              <w:right w:val="nil"/>
            </w:tcBorders>
            <w:shd w:val="clear" w:color="auto" w:fill="auto"/>
            <w:noWrap/>
            <w:vAlign w:val="center"/>
            <w:hideMark/>
          </w:tcPr>
          <w:p w14:paraId="68F0D08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33 (21 to 49)</w:t>
            </w:r>
          </w:p>
        </w:tc>
        <w:tc>
          <w:tcPr>
            <w:tcW w:w="1361" w:type="dxa"/>
            <w:tcBorders>
              <w:top w:val="nil"/>
              <w:left w:val="nil"/>
              <w:bottom w:val="nil"/>
              <w:right w:val="single" w:sz="4" w:space="0" w:color="auto"/>
            </w:tcBorders>
            <w:shd w:val="clear" w:color="auto" w:fill="auto"/>
            <w:noWrap/>
            <w:vAlign w:val="center"/>
            <w:hideMark/>
          </w:tcPr>
          <w:p w14:paraId="797C1DB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45 (31 to 61)</w:t>
            </w:r>
          </w:p>
        </w:tc>
        <w:tc>
          <w:tcPr>
            <w:tcW w:w="1361" w:type="dxa"/>
            <w:tcBorders>
              <w:top w:val="nil"/>
              <w:left w:val="single" w:sz="4" w:space="0" w:color="auto"/>
              <w:bottom w:val="nil"/>
              <w:right w:val="nil"/>
            </w:tcBorders>
            <w:shd w:val="clear" w:color="auto" w:fill="auto"/>
            <w:noWrap/>
            <w:vAlign w:val="center"/>
            <w:hideMark/>
          </w:tcPr>
          <w:p w14:paraId="298CAD1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15 (9 to 26)</w:t>
            </w:r>
          </w:p>
        </w:tc>
        <w:tc>
          <w:tcPr>
            <w:tcW w:w="1361" w:type="dxa"/>
            <w:tcBorders>
              <w:top w:val="nil"/>
              <w:left w:val="nil"/>
              <w:bottom w:val="nil"/>
              <w:right w:val="nil"/>
            </w:tcBorders>
            <w:shd w:val="clear" w:color="auto" w:fill="auto"/>
            <w:noWrap/>
            <w:vAlign w:val="center"/>
            <w:hideMark/>
          </w:tcPr>
          <w:p w14:paraId="14D8A9B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41 (30 to 53)</w:t>
            </w:r>
          </w:p>
        </w:tc>
        <w:tc>
          <w:tcPr>
            <w:tcW w:w="1361" w:type="dxa"/>
            <w:tcBorders>
              <w:top w:val="nil"/>
              <w:left w:val="nil"/>
              <w:bottom w:val="nil"/>
              <w:right w:val="single" w:sz="4" w:space="0" w:color="auto"/>
            </w:tcBorders>
            <w:shd w:val="clear" w:color="auto" w:fill="auto"/>
            <w:noWrap/>
            <w:vAlign w:val="center"/>
            <w:hideMark/>
          </w:tcPr>
          <w:p w14:paraId="56F395F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44 (32 to 56)</w:t>
            </w:r>
          </w:p>
        </w:tc>
        <w:tc>
          <w:tcPr>
            <w:tcW w:w="1361" w:type="dxa"/>
            <w:tcBorders>
              <w:top w:val="nil"/>
              <w:left w:val="single" w:sz="4" w:space="0" w:color="auto"/>
              <w:bottom w:val="nil"/>
              <w:right w:val="nil"/>
            </w:tcBorders>
            <w:shd w:val="clear" w:color="auto" w:fill="auto"/>
            <w:noWrap/>
            <w:vAlign w:val="center"/>
            <w:hideMark/>
          </w:tcPr>
          <w:p w14:paraId="59CCFF5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26 (14 to 42)</w:t>
            </w:r>
          </w:p>
        </w:tc>
        <w:tc>
          <w:tcPr>
            <w:tcW w:w="1361" w:type="dxa"/>
            <w:tcBorders>
              <w:top w:val="nil"/>
              <w:left w:val="nil"/>
              <w:bottom w:val="nil"/>
              <w:right w:val="nil"/>
            </w:tcBorders>
            <w:shd w:val="clear" w:color="auto" w:fill="auto"/>
            <w:noWrap/>
            <w:vAlign w:val="center"/>
            <w:hideMark/>
          </w:tcPr>
          <w:p w14:paraId="286BB76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36 (22 to 52)</w:t>
            </w:r>
          </w:p>
        </w:tc>
        <w:tc>
          <w:tcPr>
            <w:tcW w:w="1361" w:type="dxa"/>
            <w:tcBorders>
              <w:top w:val="nil"/>
              <w:left w:val="nil"/>
              <w:bottom w:val="nil"/>
              <w:right w:val="single" w:sz="4" w:space="0" w:color="auto"/>
            </w:tcBorders>
            <w:shd w:val="clear" w:color="auto" w:fill="auto"/>
            <w:noWrap/>
            <w:vAlign w:val="center"/>
            <w:hideMark/>
          </w:tcPr>
          <w:p w14:paraId="47685A6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38 (24 to 55)</w:t>
            </w:r>
          </w:p>
        </w:tc>
      </w:tr>
      <w:tr w:rsidR="009D652F" w:rsidRPr="00C44F34" w14:paraId="5ED4230D"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78A54B94"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4.3.  Were all enrolled participants included in the analysis?</w:t>
            </w:r>
          </w:p>
        </w:tc>
        <w:tc>
          <w:tcPr>
            <w:tcW w:w="1361" w:type="dxa"/>
            <w:tcBorders>
              <w:top w:val="nil"/>
              <w:left w:val="single" w:sz="4" w:space="0" w:color="auto"/>
              <w:bottom w:val="nil"/>
              <w:right w:val="nil"/>
            </w:tcBorders>
            <w:shd w:val="clear" w:color="auto" w:fill="auto"/>
            <w:noWrap/>
            <w:vAlign w:val="center"/>
            <w:hideMark/>
          </w:tcPr>
          <w:p w14:paraId="7851773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31 (19 to 47)</w:t>
            </w:r>
          </w:p>
        </w:tc>
        <w:tc>
          <w:tcPr>
            <w:tcW w:w="1361" w:type="dxa"/>
            <w:tcBorders>
              <w:top w:val="nil"/>
              <w:left w:val="nil"/>
              <w:bottom w:val="nil"/>
              <w:right w:val="nil"/>
            </w:tcBorders>
            <w:shd w:val="clear" w:color="auto" w:fill="auto"/>
            <w:noWrap/>
            <w:vAlign w:val="center"/>
            <w:hideMark/>
          </w:tcPr>
          <w:p w14:paraId="6858060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33 (21 to 49)</w:t>
            </w:r>
          </w:p>
        </w:tc>
        <w:tc>
          <w:tcPr>
            <w:tcW w:w="1361" w:type="dxa"/>
            <w:tcBorders>
              <w:top w:val="nil"/>
              <w:left w:val="nil"/>
              <w:bottom w:val="nil"/>
              <w:right w:val="single" w:sz="4" w:space="0" w:color="auto"/>
            </w:tcBorders>
            <w:shd w:val="clear" w:color="auto" w:fill="auto"/>
            <w:noWrap/>
            <w:vAlign w:val="center"/>
            <w:hideMark/>
          </w:tcPr>
          <w:p w14:paraId="13ECDEB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36 (22 to 52)</w:t>
            </w:r>
          </w:p>
        </w:tc>
        <w:tc>
          <w:tcPr>
            <w:tcW w:w="1361" w:type="dxa"/>
            <w:tcBorders>
              <w:top w:val="nil"/>
              <w:left w:val="single" w:sz="4" w:space="0" w:color="auto"/>
              <w:bottom w:val="nil"/>
              <w:right w:val="nil"/>
            </w:tcBorders>
            <w:shd w:val="clear" w:color="auto" w:fill="auto"/>
            <w:noWrap/>
            <w:vAlign w:val="center"/>
            <w:hideMark/>
          </w:tcPr>
          <w:p w14:paraId="0127E81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24 (15 to 35)</w:t>
            </w:r>
          </w:p>
        </w:tc>
        <w:tc>
          <w:tcPr>
            <w:tcW w:w="1361" w:type="dxa"/>
            <w:tcBorders>
              <w:top w:val="nil"/>
              <w:left w:val="nil"/>
              <w:bottom w:val="nil"/>
              <w:right w:val="nil"/>
            </w:tcBorders>
            <w:shd w:val="clear" w:color="auto" w:fill="auto"/>
            <w:noWrap/>
            <w:vAlign w:val="center"/>
            <w:hideMark/>
          </w:tcPr>
          <w:p w14:paraId="72FFB89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32 (22 to 44)</w:t>
            </w:r>
          </w:p>
        </w:tc>
        <w:tc>
          <w:tcPr>
            <w:tcW w:w="1361" w:type="dxa"/>
            <w:tcBorders>
              <w:top w:val="nil"/>
              <w:left w:val="nil"/>
              <w:bottom w:val="nil"/>
              <w:right w:val="single" w:sz="4" w:space="0" w:color="auto"/>
            </w:tcBorders>
            <w:shd w:val="clear" w:color="auto" w:fill="auto"/>
            <w:noWrap/>
            <w:vAlign w:val="center"/>
            <w:hideMark/>
          </w:tcPr>
          <w:p w14:paraId="575A14F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44 (32 to 56)</w:t>
            </w:r>
          </w:p>
        </w:tc>
        <w:tc>
          <w:tcPr>
            <w:tcW w:w="1361" w:type="dxa"/>
            <w:tcBorders>
              <w:top w:val="nil"/>
              <w:left w:val="single" w:sz="4" w:space="0" w:color="auto"/>
              <w:bottom w:val="nil"/>
              <w:right w:val="nil"/>
            </w:tcBorders>
            <w:shd w:val="clear" w:color="auto" w:fill="auto"/>
            <w:noWrap/>
            <w:vAlign w:val="center"/>
            <w:hideMark/>
          </w:tcPr>
          <w:p w14:paraId="35E3E48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33 (20 to 50)</w:t>
            </w:r>
          </w:p>
        </w:tc>
        <w:tc>
          <w:tcPr>
            <w:tcW w:w="1361" w:type="dxa"/>
            <w:tcBorders>
              <w:top w:val="nil"/>
              <w:left w:val="nil"/>
              <w:bottom w:val="nil"/>
              <w:right w:val="nil"/>
            </w:tcBorders>
            <w:shd w:val="clear" w:color="auto" w:fill="auto"/>
            <w:noWrap/>
            <w:vAlign w:val="center"/>
            <w:hideMark/>
          </w:tcPr>
          <w:p w14:paraId="02C31F3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31 (18 to 47)</w:t>
            </w:r>
          </w:p>
        </w:tc>
        <w:tc>
          <w:tcPr>
            <w:tcW w:w="1361" w:type="dxa"/>
            <w:tcBorders>
              <w:top w:val="nil"/>
              <w:left w:val="nil"/>
              <w:bottom w:val="nil"/>
              <w:right w:val="single" w:sz="4" w:space="0" w:color="auto"/>
            </w:tcBorders>
            <w:shd w:val="clear" w:color="auto" w:fill="auto"/>
            <w:noWrap/>
            <w:vAlign w:val="center"/>
            <w:hideMark/>
          </w:tcPr>
          <w:p w14:paraId="1290FA0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36 (22 to 52)</w:t>
            </w:r>
          </w:p>
        </w:tc>
      </w:tr>
      <w:tr w:rsidR="009D652F" w:rsidRPr="00C44F34" w14:paraId="4ECC475C"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0B519207"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4.4.  Were participants with missing data handled appropriately?</w:t>
            </w:r>
          </w:p>
        </w:tc>
        <w:tc>
          <w:tcPr>
            <w:tcW w:w="1361" w:type="dxa"/>
            <w:tcBorders>
              <w:top w:val="nil"/>
              <w:left w:val="single" w:sz="4" w:space="0" w:color="auto"/>
              <w:bottom w:val="nil"/>
              <w:right w:val="nil"/>
            </w:tcBorders>
            <w:shd w:val="clear" w:color="auto" w:fill="auto"/>
            <w:noWrap/>
            <w:vAlign w:val="center"/>
            <w:hideMark/>
          </w:tcPr>
          <w:p w14:paraId="535BC40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19 (10 to 34)</w:t>
            </w:r>
          </w:p>
        </w:tc>
        <w:tc>
          <w:tcPr>
            <w:tcW w:w="1361" w:type="dxa"/>
            <w:tcBorders>
              <w:top w:val="nil"/>
              <w:left w:val="nil"/>
              <w:bottom w:val="nil"/>
              <w:right w:val="nil"/>
            </w:tcBorders>
            <w:shd w:val="clear" w:color="auto" w:fill="auto"/>
            <w:noWrap/>
            <w:vAlign w:val="center"/>
            <w:hideMark/>
          </w:tcPr>
          <w:p w14:paraId="027BFDD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52 (37 to 67)</w:t>
            </w:r>
          </w:p>
        </w:tc>
        <w:tc>
          <w:tcPr>
            <w:tcW w:w="1361" w:type="dxa"/>
            <w:tcBorders>
              <w:top w:val="nil"/>
              <w:left w:val="nil"/>
              <w:bottom w:val="nil"/>
              <w:right w:val="single" w:sz="4" w:space="0" w:color="auto"/>
            </w:tcBorders>
            <w:shd w:val="clear" w:color="auto" w:fill="auto"/>
            <w:noWrap/>
            <w:vAlign w:val="center"/>
            <w:hideMark/>
          </w:tcPr>
          <w:p w14:paraId="69C5C48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29 (17 to 44)</w:t>
            </w:r>
          </w:p>
        </w:tc>
        <w:tc>
          <w:tcPr>
            <w:tcW w:w="1361" w:type="dxa"/>
            <w:tcBorders>
              <w:top w:val="nil"/>
              <w:left w:val="single" w:sz="4" w:space="0" w:color="auto"/>
              <w:bottom w:val="nil"/>
              <w:right w:val="nil"/>
            </w:tcBorders>
            <w:shd w:val="clear" w:color="auto" w:fill="auto"/>
            <w:noWrap/>
            <w:vAlign w:val="center"/>
            <w:hideMark/>
          </w:tcPr>
          <w:p w14:paraId="6312057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11 (6 to 21)</w:t>
            </w:r>
          </w:p>
        </w:tc>
        <w:tc>
          <w:tcPr>
            <w:tcW w:w="1361" w:type="dxa"/>
            <w:tcBorders>
              <w:top w:val="nil"/>
              <w:left w:val="nil"/>
              <w:bottom w:val="nil"/>
              <w:right w:val="nil"/>
            </w:tcBorders>
            <w:shd w:val="clear" w:color="auto" w:fill="auto"/>
            <w:noWrap/>
            <w:vAlign w:val="center"/>
            <w:hideMark/>
          </w:tcPr>
          <w:p w14:paraId="4569094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41 (30 to 53)</w:t>
            </w:r>
          </w:p>
        </w:tc>
        <w:tc>
          <w:tcPr>
            <w:tcW w:w="1361" w:type="dxa"/>
            <w:tcBorders>
              <w:top w:val="nil"/>
              <w:left w:val="nil"/>
              <w:bottom w:val="nil"/>
              <w:right w:val="single" w:sz="4" w:space="0" w:color="auto"/>
            </w:tcBorders>
            <w:shd w:val="clear" w:color="auto" w:fill="auto"/>
            <w:noWrap/>
            <w:vAlign w:val="center"/>
            <w:hideMark/>
          </w:tcPr>
          <w:p w14:paraId="6995376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48 (36 to 60)</w:t>
            </w:r>
          </w:p>
        </w:tc>
        <w:tc>
          <w:tcPr>
            <w:tcW w:w="1361" w:type="dxa"/>
            <w:tcBorders>
              <w:top w:val="nil"/>
              <w:left w:val="single" w:sz="4" w:space="0" w:color="auto"/>
              <w:bottom w:val="nil"/>
              <w:right w:val="nil"/>
            </w:tcBorders>
            <w:shd w:val="clear" w:color="auto" w:fill="auto"/>
            <w:noWrap/>
            <w:vAlign w:val="center"/>
            <w:hideMark/>
          </w:tcPr>
          <w:p w14:paraId="1C7BC2D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21 (10 to 37)</w:t>
            </w:r>
          </w:p>
        </w:tc>
        <w:tc>
          <w:tcPr>
            <w:tcW w:w="1361" w:type="dxa"/>
            <w:tcBorders>
              <w:top w:val="nil"/>
              <w:left w:val="nil"/>
              <w:bottom w:val="nil"/>
              <w:right w:val="nil"/>
            </w:tcBorders>
            <w:shd w:val="clear" w:color="auto" w:fill="auto"/>
            <w:noWrap/>
            <w:vAlign w:val="center"/>
            <w:hideMark/>
          </w:tcPr>
          <w:p w14:paraId="52ED6F3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49 (33 to 65)</w:t>
            </w:r>
          </w:p>
        </w:tc>
        <w:tc>
          <w:tcPr>
            <w:tcW w:w="1361" w:type="dxa"/>
            <w:tcBorders>
              <w:top w:val="nil"/>
              <w:left w:val="nil"/>
              <w:bottom w:val="nil"/>
              <w:right w:val="single" w:sz="4" w:space="0" w:color="auto"/>
            </w:tcBorders>
            <w:shd w:val="clear" w:color="auto" w:fill="auto"/>
            <w:noWrap/>
            <w:vAlign w:val="center"/>
            <w:hideMark/>
          </w:tcPr>
          <w:p w14:paraId="79D0800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31 (18 to 47)</w:t>
            </w:r>
          </w:p>
        </w:tc>
      </w:tr>
      <w:tr w:rsidR="009D652F" w:rsidRPr="00C44F34" w14:paraId="008B6D61"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0DDA84E5"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4.5.  Was selection of predictors based on univariable analysis avoided?</w:t>
            </w:r>
          </w:p>
        </w:tc>
        <w:tc>
          <w:tcPr>
            <w:tcW w:w="1361" w:type="dxa"/>
            <w:tcBorders>
              <w:top w:val="nil"/>
              <w:left w:val="single" w:sz="4" w:space="0" w:color="auto"/>
              <w:bottom w:val="nil"/>
              <w:right w:val="nil"/>
            </w:tcBorders>
            <w:shd w:val="clear" w:color="auto" w:fill="auto"/>
            <w:noWrap/>
            <w:vAlign w:val="center"/>
            <w:hideMark/>
          </w:tcPr>
          <w:p w14:paraId="1328EAF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48 (33 to 63)</w:t>
            </w:r>
          </w:p>
        </w:tc>
        <w:tc>
          <w:tcPr>
            <w:tcW w:w="1361" w:type="dxa"/>
            <w:tcBorders>
              <w:top w:val="nil"/>
              <w:left w:val="nil"/>
              <w:bottom w:val="nil"/>
              <w:right w:val="nil"/>
            </w:tcBorders>
            <w:shd w:val="clear" w:color="auto" w:fill="auto"/>
            <w:noWrap/>
            <w:vAlign w:val="center"/>
            <w:hideMark/>
          </w:tcPr>
          <w:p w14:paraId="23CA817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38 (24 to 54)</w:t>
            </w:r>
          </w:p>
        </w:tc>
        <w:tc>
          <w:tcPr>
            <w:tcW w:w="1361" w:type="dxa"/>
            <w:tcBorders>
              <w:top w:val="nil"/>
              <w:left w:val="nil"/>
              <w:bottom w:val="nil"/>
              <w:right w:val="single" w:sz="4" w:space="0" w:color="auto"/>
            </w:tcBorders>
            <w:shd w:val="clear" w:color="auto" w:fill="auto"/>
            <w:noWrap/>
            <w:vAlign w:val="center"/>
            <w:hideMark/>
          </w:tcPr>
          <w:p w14:paraId="2AD5582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(6 to 29)</w:t>
            </w:r>
          </w:p>
        </w:tc>
        <w:tc>
          <w:tcPr>
            <w:tcW w:w="1361" w:type="dxa"/>
            <w:tcBorders>
              <w:top w:val="nil"/>
              <w:left w:val="single" w:sz="4" w:space="0" w:color="auto"/>
              <w:bottom w:val="nil"/>
              <w:right w:val="nil"/>
            </w:tcBorders>
            <w:shd w:val="clear" w:color="auto" w:fill="auto"/>
            <w:noWrap/>
            <w:vAlign w:val="center"/>
            <w:hideMark/>
          </w:tcPr>
          <w:p w14:paraId="55A359D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44 (32 to 56)</w:t>
            </w:r>
          </w:p>
        </w:tc>
        <w:tc>
          <w:tcPr>
            <w:tcW w:w="1361" w:type="dxa"/>
            <w:tcBorders>
              <w:top w:val="nil"/>
              <w:left w:val="nil"/>
              <w:bottom w:val="nil"/>
              <w:right w:val="nil"/>
            </w:tcBorders>
            <w:shd w:val="clear" w:color="auto" w:fill="auto"/>
            <w:noWrap/>
            <w:vAlign w:val="center"/>
            <w:hideMark/>
          </w:tcPr>
          <w:p w14:paraId="76BA2AC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(19 to 40)</w:t>
            </w:r>
          </w:p>
        </w:tc>
        <w:tc>
          <w:tcPr>
            <w:tcW w:w="1361" w:type="dxa"/>
            <w:tcBorders>
              <w:top w:val="nil"/>
              <w:left w:val="nil"/>
              <w:bottom w:val="nil"/>
              <w:right w:val="single" w:sz="4" w:space="0" w:color="auto"/>
            </w:tcBorders>
            <w:shd w:val="clear" w:color="auto" w:fill="auto"/>
            <w:noWrap/>
            <w:vAlign w:val="center"/>
            <w:hideMark/>
          </w:tcPr>
          <w:p w14:paraId="5F07EB6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(19 to 40)</w:t>
            </w:r>
          </w:p>
        </w:tc>
        <w:tc>
          <w:tcPr>
            <w:tcW w:w="1361" w:type="dxa"/>
            <w:tcBorders>
              <w:top w:val="nil"/>
              <w:left w:val="single" w:sz="4" w:space="0" w:color="auto"/>
              <w:bottom w:val="nil"/>
              <w:right w:val="nil"/>
            </w:tcBorders>
            <w:shd w:val="clear" w:color="auto" w:fill="auto"/>
            <w:noWrap/>
            <w:vAlign w:val="center"/>
            <w:hideMark/>
          </w:tcPr>
          <w:p w14:paraId="4DDFE4C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44 (29 to 60)</w:t>
            </w:r>
          </w:p>
        </w:tc>
        <w:tc>
          <w:tcPr>
            <w:tcW w:w="1361" w:type="dxa"/>
            <w:tcBorders>
              <w:top w:val="nil"/>
              <w:left w:val="nil"/>
              <w:bottom w:val="nil"/>
              <w:right w:val="nil"/>
            </w:tcBorders>
            <w:shd w:val="clear" w:color="auto" w:fill="auto"/>
            <w:noWrap/>
            <w:vAlign w:val="center"/>
            <w:hideMark/>
          </w:tcPr>
          <w:p w14:paraId="21579B6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33 (20 to 50)</w:t>
            </w:r>
          </w:p>
        </w:tc>
        <w:tc>
          <w:tcPr>
            <w:tcW w:w="1361" w:type="dxa"/>
            <w:tcBorders>
              <w:top w:val="nil"/>
              <w:left w:val="nil"/>
              <w:bottom w:val="nil"/>
              <w:right w:val="single" w:sz="4" w:space="0" w:color="auto"/>
            </w:tcBorders>
            <w:shd w:val="clear" w:color="auto" w:fill="auto"/>
            <w:noWrap/>
            <w:vAlign w:val="center"/>
            <w:hideMark/>
          </w:tcPr>
          <w:p w14:paraId="38F094D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23 (12 to 39)</w:t>
            </w:r>
          </w:p>
        </w:tc>
      </w:tr>
      <w:tr w:rsidR="009D652F" w:rsidRPr="00C44F34" w14:paraId="2B62E844"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7FEFD137"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4.6.  Were complexities in the data (e.g., censoring, competing risks, sampling of control participants) accounted for appropriately?</w:t>
            </w:r>
          </w:p>
        </w:tc>
        <w:tc>
          <w:tcPr>
            <w:tcW w:w="1361" w:type="dxa"/>
            <w:tcBorders>
              <w:top w:val="nil"/>
              <w:left w:val="single" w:sz="4" w:space="0" w:color="auto"/>
              <w:bottom w:val="nil"/>
              <w:right w:val="nil"/>
            </w:tcBorders>
            <w:shd w:val="clear" w:color="auto" w:fill="auto"/>
            <w:noWrap/>
            <w:vAlign w:val="center"/>
            <w:hideMark/>
          </w:tcPr>
          <w:p w14:paraId="2E3A26E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(6 to 29)</w:t>
            </w:r>
          </w:p>
        </w:tc>
        <w:tc>
          <w:tcPr>
            <w:tcW w:w="1361" w:type="dxa"/>
            <w:tcBorders>
              <w:top w:val="nil"/>
              <w:left w:val="nil"/>
              <w:bottom w:val="nil"/>
              <w:right w:val="nil"/>
            </w:tcBorders>
            <w:shd w:val="clear" w:color="auto" w:fill="auto"/>
            <w:noWrap/>
            <w:vAlign w:val="center"/>
            <w:hideMark/>
          </w:tcPr>
          <w:p w14:paraId="07F3AEA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17 (8 to 32)</w:t>
            </w:r>
          </w:p>
        </w:tc>
        <w:tc>
          <w:tcPr>
            <w:tcW w:w="1361" w:type="dxa"/>
            <w:tcBorders>
              <w:top w:val="nil"/>
              <w:left w:val="nil"/>
              <w:bottom w:val="nil"/>
              <w:right w:val="single" w:sz="4" w:space="0" w:color="auto"/>
            </w:tcBorders>
            <w:shd w:val="clear" w:color="auto" w:fill="auto"/>
            <w:noWrap/>
            <w:vAlign w:val="center"/>
            <w:hideMark/>
          </w:tcPr>
          <w:p w14:paraId="2A80401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69 (53 to 81)</w:t>
            </w:r>
          </w:p>
        </w:tc>
        <w:tc>
          <w:tcPr>
            <w:tcW w:w="1361" w:type="dxa"/>
            <w:tcBorders>
              <w:top w:val="nil"/>
              <w:left w:val="single" w:sz="4" w:space="0" w:color="auto"/>
              <w:bottom w:val="nil"/>
              <w:right w:val="nil"/>
            </w:tcBorders>
            <w:shd w:val="clear" w:color="auto" w:fill="auto"/>
            <w:noWrap/>
            <w:vAlign w:val="center"/>
            <w:hideMark/>
          </w:tcPr>
          <w:p w14:paraId="1527A32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 (0 to 10)</w:t>
            </w:r>
          </w:p>
        </w:tc>
        <w:tc>
          <w:tcPr>
            <w:tcW w:w="1361" w:type="dxa"/>
            <w:tcBorders>
              <w:top w:val="nil"/>
              <w:left w:val="nil"/>
              <w:bottom w:val="nil"/>
              <w:right w:val="nil"/>
            </w:tcBorders>
            <w:shd w:val="clear" w:color="auto" w:fill="auto"/>
            <w:noWrap/>
            <w:vAlign w:val="center"/>
            <w:hideMark/>
          </w:tcPr>
          <w:p w14:paraId="2CA9C44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18 (11 to 29)</w:t>
            </w:r>
          </w:p>
        </w:tc>
        <w:tc>
          <w:tcPr>
            <w:tcW w:w="1361" w:type="dxa"/>
            <w:tcBorders>
              <w:top w:val="nil"/>
              <w:left w:val="nil"/>
              <w:bottom w:val="nil"/>
              <w:right w:val="single" w:sz="4" w:space="0" w:color="auto"/>
            </w:tcBorders>
            <w:shd w:val="clear" w:color="auto" w:fill="auto"/>
            <w:noWrap/>
            <w:vAlign w:val="center"/>
            <w:hideMark/>
          </w:tcPr>
          <w:p w14:paraId="07DB1CA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80 (69 to 88)</w:t>
            </w:r>
          </w:p>
        </w:tc>
        <w:tc>
          <w:tcPr>
            <w:tcW w:w="1361" w:type="dxa"/>
            <w:tcBorders>
              <w:top w:val="nil"/>
              <w:left w:val="single" w:sz="4" w:space="0" w:color="auto"/>
              <w:bottom w:val="nil"/>
              <w:right w:val="nil"/>
            </w:tcBorders>
            <w:shd w:val="clear" w:color="auto" w:fill="auto"/>
            <w:noWrap/>
            <w:vAlign w:val="center"/>
            <w:hideMark/>
          </w:tcPr>
          <w:p w14:paraId="7BE7E69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(2 to 22)</w:t>
            </w:r>
          </w:p>
        </w:tc>
        <w:tc>
          <w:tcPr>
            <w:tcW w:w="1361" w:type="dxa"/>
            <w:tcBorders>
              <w:top w:val="nil"/>
              <w:left w:val="nil"/>
              <w:bottom w:val="nil"/>
              <w:right w:val="nil"/>
            </w:tcBorders>
            <w:shd w:val="clear" w:color="auto" w:fill="auto"/>
            <w:noWrap/>
            <w:vAlign w:val="center"/>
            <w:hideMark/>
          </w:tcPr>
          <w:p w14:paraId="0A87506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21 (10 to 37)</w:t>
            </w:r>
          </w:p>
        </w:tc>
        <w:tc>
          <w:tcPr>
            <w:tcW w:w="1361" w:type="dxa"/>
            <w:tcBorders>
              <w:top w:val="nil"/>
              <w:left w:val="nil"/>
              <w:bottom w:val="nil"/>
              <w:right w:val="single" w:sz="4" w:space="0" w:color="auto"/>
            </w:tcBorders>
            <w:shd w:val="clear" w:color="auto" w:fill="auto"/>
            <w:noWrap/>
            <w:vAlign w:val="center"/>
            <w:hideMark/>
          </w:tcPr>
          <w:p w14:paraId="042570B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72 (55 to 84)</w:t>
            </w:r>
          </w:p>
        </w:tc>
      </w:tr>
      <w:tr w:rsidR="009D652F" w:rsidRPr="00C44F34" w14:paraId="323C50AA"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0C7537DF"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4.7.  Were relevant model performance measures evaluated appropriately?</w:t>
            </w:r>
          </w:p>
        </w:tc>
        <w:tc>
          <w:tcPr>
            <w:tcW w:w="1361" w:type="dxa"/>
            <w:tcBorders>
              <w:top w:val="nil"/>
              <w:left w:val="single" w:sz="4" w:space="0" w:color="auto"/>
              <w:bottom w:val="nil"/>
              <w:right w:val="nil"/>
            </w:tcBorders>
            <w:shd w:val="clear" w:color="auto" w:fill="auto"/>
            <w:noWrap/>
            <w:vAlign w:val="center"/>
            <w:hideMark/>
          </w:tcPr>
          <w:p w14:paraId="07ED1E3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19 (10 to 34)</w:t>
            </w:r>
          </w:p>
        </w:tc>
        <w:tc>
          <w:tcPr>
            <w:tcW w:w="1361" w:type="dxa"/>
            <w:tcBorders>
              <w:top w:val="nil"/>
              <w:left w:val="nil"/>
              <w:bottom w:val="nil"/>
              <w:right w:val="nil"/>
            </w:tcBorders>
            <w:shd w:val="clear" w:color="auto" w:fill="auto"/>
            <w:noWrap/>
            <w:vAlign w:val="center"/>
            <w:hideMark/>
          </w:tcPr>
          <w:p w14:paraId="2EACB9F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52 (37 to 67)</w:t>
            </w:r>
          </w:p>
        </w:tc>
        <w:tc>
          <w:tcPr>
            <w:tcW w:w="1361" w:type="dxa"/>
            <w:tcBorders>
              <w:top w:val="nil"/>
              <w:left w:val="nil"/>
              <w:bottom w:val="nil"/>
              <w:right w:val="single" w:sz="4" w:space="0" w:color="auto"/>
            </w:tcBorders>
            <w:shd w:val="clear" w:color="auto" w:fill="auto"/>
            <w:noWrap/>
            <w:vAlign w:val="center"/>
            <w:hideMark/>
          </w:tcPr>
          <w:p w14:paraId="3365E82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29 (17 to 44)</w:t>
            </w:r>
          </w:p>
        </w:tc>
        <w:tc>
          <w:tcPr>
            <w:tcW w:w="1361" w:type="dxa"/>
            <w:tcBorders>
              <w:top w:val="nil"/>
              <w:left w:val="single" w:sz="4" w:space="0" w:color="auto"/>
              <w:bottom w:val="nil"/>
              <w:right w:val="nil"/>
            </w:tcBorders>
            <w:shd w:val="clear" w:color="auto" w:fill="auto"/>
            <w:noWrap/>
            <w:vAlign w:val="center"/>
            <w:hideMark/>
          </w:tcPr>
          <w:p w14:paraId="67871FD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20 (12 to 31)</w:t>
            </w:r>
          </w:p>
        </w:tc>
        <w:tc>
          <w:tcPr>
            <w:tcW w:w="1361" w:type="dxa"/>
            <w:tcBorders>
              <w:top w:val="nil"/>
              <w:left w:val="nil"/>
              <w:bottom w:val="nil"/>
              <w:right w:val="nil"/>
            </w:tcBorders>
            <w:shd w:val="clear" w:color="auto" w:fill="auto"/>
            <w:noWrap/>
            <w:vAlign w:val="center"/>
            <w:hideMark/>
          </w:tcPr>
          <w:p w14:paraId="45DC68F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61 (49 to 71)</w:t>
            </w:r>
          </w:p>
        </w:tc>
        <w:tc>
          <w:tcPr>
            <w:tcW w:w="1361" w:type="dxa"/>
            <w:tcBorders>
              <w:top w:val="nil"/>
              <w:left w:val="nil"/>
              <w:bottom w:val="nil"/>
              <w:right w:val="single" w:sz="4" w:space="0" w:color="auto"/>
            </w:tcBorders>
            <w:shd w:val="clear" w:color="auto" w:fill="auto"/>
            <w:noWrap/>
            <w:vAlign w:val="center"/>
            <w:hideMark/>
          </w:tcPr>
          <w:p w14:paraId="33B4D0D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20 (12 to 31)</w:t>
            </w:r>
          </w:p>
        </w:tc>
        <w:tc>
          <w:tcPr>
            <w:tcW w:w="1361" w:type="dxa"/>
            <w:tcBorders>
              <w:top w:val="nil"/>
              <w:left w:val="single" w:sz="4" w:space="0" w:color="auto"/>
              <w:bottom w:val="nil"/>
              <w:right w:val="nil"/>
            </w:tcBorders>
            <w:shd w:val="clear" w:color="auto" w:fill="auto"/>
            <w:noWrap/>
            <w:vAlign w:val="center"/>
            <w:hideMark/>
          </w:tcPr>
          <w:p w14:paraId="3ABC5F2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15 (7 to 31)</w:t>
            </w:r>
          </w:p>
        </w:tc>
        <w:tc>
          <w:tcPr>
            <w:tcW w:w="1361" w:type="dxa"/>
            <w:tcBorders>
              <w:top w:val="nil"/>
              <w:left w:val="nil"/>
              <w:bottom w:val="nil"/>
              <w:right w:val="nil"/>
            </w:tcBorders>
            <w:shd w:val="clear" w:color="auto" w:fill="auto"/>
            <w:noWrap/>
            <w:vAlign w:val="center"/>
            <w:hideMark/>
          </w:tcPr>
          <w:p w14:paraId="679C65D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56 (40 to 71)</w:t>
            </w:r>
          </w:p>
        </w:tc>
        <w:tc>
          <w:tcPr>
            <w:tcW w:w="1361" w:type="dxa"/>
            <w:tcBorders>
              <w:top w:val="nil"/>
              <w:left w:val="nil"/>
              <w:bottom w:val="nil"/>
              <w:right w:val="single" w:sz="4" w:space="0" w:color="auto"/>
            </w:tcBorders>
            <w:shd w:val="clear" w:color="auto" w:fill="auto"/>
            <w:noWrap/>
            <w:vAlign w:val="center"/>
            <w:hideMark/>
          </w:tcPr>
          <w:p w14:paraId="75FAD14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(16 to 45)</w:t>
            </w:r>
          </w:p>
        </w:tc>
      </w:tr>
      <w:tr w:rsidR="009D652F" w:rsidRPr="00C44F34" w14:paraId="753D27C8"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4EEF4D91"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4.8.  Were model overfitting and optimism in model performance accounted for?</w:t>
            </w:r>
          </w:p>
        </w:tc>
        <w:tc>
          <w:tcPr>
            <w:tcW w:w="1361" w:type="dxa"/>
            <w:tcBorders>
              <w:top w:val="nil"/>
              <w:left w:val="single" w:sz="4" w:space="0" w:color="auto"/>
              <w:bottom w:val="nil"/>
              <w:right w:val="nil"/>
            </w:tcBorders>
            <w:shd w:val="clear" w:color="auto" w:fill="auto"/>
            <w:noWrap/>
            <w:vAlign w:val="center"/>
            <w:hideMark/>
          </w:tcPr>
          <w:p w14:paraId="4D7F9C4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52 (37 to 67)</w:t>
            </w:r>
          </w:p>
        </w:tc>
        <w:tc>
          <w:tcPr>
            <w:tcW w:w="1361" w:type="dxa"/>
            <w:tcBorders>
              <w:top w:val="nil"/>
              <w:left w:val="nil"/>
              <w:bottom w:val="nil"/>
              <w:right w:val="nil"/>
            </w:tcBorders>
            <w:shd w:val="clear" w:color="auto" w:fill="auto"/>
            <w:noWrap/>
            <w:vAlign w:val="center"/>
            <w:hideMark/>
          </w:tcPr>
          <w:p w14:paraId="339B192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38 (24 to 54)</w:t>
            </w:r>
          </w:p>
        </w:tc>
        <w:tc>
          <w:tcPr>
            <w:tcW w:w="1361" w:type="dxa"/>
            <w:tcBorders>
              <w:top w:val="nil"/>
              <w:left w:val="nil"/>
              <w:bottom w:val="nil"/>
              <w:right w:val="single" w:sz="4" w:space="0" w:color="auto"/>
            </w:tcBorders>
            <w:shd w:val="clear" w:color="auto" w:fill="auto"/>
            <w:noWrap/>
            <w:vAlign w:val="center"/>
            <w:hideMark/>
          </w:tcPr>
          <w:p w14:paraId="602099F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23)</w:t>
            </w:r>
          </w:p>
        </w:tc>
        <w:tc>
          <w:tcPr>
            <w:tcW w:w="1361" w:type="dxa"/>
            <w:tcBorders>
              <w:top w:val="nil"/>
              <w:left w:val="single" w:sz="4" w:space="0" w:color="auto"/>
              <w:bottom w:val="nil"/>
              <w:right w:val="nil"/>
            </w:tcBorders>
            <w:shd w:val="clear" w:color="auto" w:fill="auto"/>
            <w:noWrap/>
            <w:vAlign w:val="center"/>
            <w:hideMark/>
          </w:tcPr>
          <w:p w14:paraId="5DBFD71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27 (18 to 38)</w:t>
            </w:r>
          </w:p>
        </w:tc>
        <w:tc>
          <w:tcPr>
            <w:tcW w:w="1361" w:type="dxa"/>
            <w:tcBorders>
              <w:top w:val="nil"/>
              <w:left w:val="nil"/>
              <w:bottom w:val="nil"/>
              <w:right w:val="nil"/>
            </w:tcBorders>
            <w:shd w:val="clear" w:color="auto" w:fill="auto"/>
            <w:noWrap/>
            <w:vAlign w:val="center"/>
            <w:hideMark/>
          </w:tcPr>
          <w:p w14:paraId="23ACAF2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61 (49 to 71)</w:t>
            </w:r>
          </w:p>
        </w:tc>
        <w:tc>
          <w:tcPr>
            <w:tcW w:w="1361" w:type="dxa"/>
            <w:tcBorders>
              <w:top w:val="nil"/>
              <w:left w:val="nil"/>
              <w:bottom w:val="nil"/>
              <w:right w:val="single" w:sz="4" w:space="0" w:color="auto"/>
            </w:tcBorders>
            <w:shd w:val="clear" w:color="auto" w:fill="auto"/>
            <w:noWrap/>
            <w:vAlign w:val="center"/>
            <w:hideMark/>
          </w:tcPr>
          <w:p w14:paraId="32C864C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(7 to 23)</w:t>
            </w:r>
          </w:p>
        </w:tc>
        <w:tc>
          <w:tcPr>
            <w:tcW w:w="1361" w:type="dxa"/>
            <w:tcBorders>
              <w:top w:val="nil"/>
              <w:left w:val="single" w:sz="4" w:space="0" w:color="auto"/>
              <w:bottom w:val="nil"/>
              <w:right w:val="nil"/>
            </w:tcBorders>
            <w:shd w:val="clear" w:color="auto" w:fill="auto"/>
            <w:noWrap/>
            <w:vAlign w:val="center"/>
            <w:hideMark/>
          </w:tcPr>
          <w:p w14:paraId="4CCEF89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28 (16 to 45)</w:t>
            </w:r>
          </w:p>
        </w:tc>
        <w:tc>
          <w:tcPr>
            <w:tcW w:w="1361" w:type="dxa"/>
            <w:tcBorders>
              <w:top w:val="nil"/>
              <w:left w:val="nil"/>
              <w:bottom w:val="nil"/>
              <w:right w:val="nil"/>
            </w:tcBorders>
            <w:shd w:val="clear" w:color="auto" w:fill="auto"/>
            <w:noWrap/>
            <w:vAlign w:val="center"/>
            <w:hideMark/>
          </w:tcPr>
          <w:p w14:paraId="3B229716"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64 (48 to 78)</w:t>
            </w:r>
          </w:p>
        </w:tc>
        <w:tc>
          <w:tcPr>
            <w:tcW w:w="1361" w:type="dxa"/>
            <w:tcBorders>
              <w:top w:val="nil"/>
              <w:left w:val="nil"/>
              <w:bottom w:val="nil"/>
              <w:right w:val="single" w:sz="4" w:space="0" w:color="auto"/>
            </w:tcBorders>
            <w:shd w:val="clear" w:color="auto" w:fill="auto"/>
            <w:noWrap/>
            <w:vAlign w:val="center"/>
            <w:hideMark/>
          </w:tcPr>
          <w:p w14:paraId="390AFA9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(2 to 22)</w:t>
            </w:r>
          </w:p>
        </w:tc>
      </w:tr>
      <w:tr w:rsidR="009D652F" w:rsidRPr="00C44F34" w14:paraId="5B603183" w14:textId="77777777" w:rsidTr="00005CF2">
        <w:trPr>
          <w:trHeight w:val="300"/>
          <w:jc w:val="center"/>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62C2030"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4.9.  Do predictors and their assigned weights in the final model correspond to the results from the reported multivariable analysis?</w:t>
            </w:r>
          </w:p>
        </w:tc>
        <w:tc>
          <w:tcPr>
            <w:tcW w:w="1361" w:type="dxa"/>
            <w:tcBorders>
              <w:top w:val="nil"/>
              <w:left w:val="single" w:sz="4" w:space="0" w:color="auto"/>
              <w:bottom w:val="single" w:sz="4" w:space="0" w:color="auto"/>
              <w:right w:val="nil"/>
            </w:tcBorders>
            <w:shd w:val="clear" w:color="auto" w:fill="auto"/>
            <w:noWrap/>
            <w:vAlign w:val="center"/>
            <w:hideMark/>
          </w:tcPr>
          <w:p w14:paraId="25DBA71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17 (8 to 32)</w:t>
            </w:r>
          </w:p>
        </w:tc>
        <w:tc>
          <w:tcPr>
            <w:tcW w:w="1361" w:type="dxa"/>
            <w:tcBorders>
              <w:top w:val="nil"/>
              <w:left w:val="nil"/>
              <w:bottom w:val="single" w:sz="4" w:space="0" w:color="auto"/>
              <w:right w:val="nil"/>
            </w:tcBorders>
            <w:shd w:val="clear" w:color="auto" w:fill="auto"/>
            <w:noWrap/>
            <w:vAlign w:val="center"/>
            <w:hideMark/>
          </w:tcPr>
          <w:p w14:paraId="76A59BB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23)</w:t>
            </w:r>
          </w:p>
        </w:tc>
        <w:tc>
          <w:tcPr>
            <w:tcW w:w="1361" w:type="dxa"/>
            <w:tcBorders>
              <w:top w:val="nil"/>
              <w:left w:val="nil"/>
              <w:bottom w:val="single" w:sz="4" w:space="0" w:color="auto"/>
              <w:right w:val="single" w:sz="4" w:space="0" w:color="auto"/>
            </w:tcBorders>
            <w:shd w:val="clear" w:color="auto" w:fill="auto"/>
            <w:noWrap/>
            <w:vAlign w:val="center"/>
            <w:hideMark/>
          </w:tcPr>
          <w:p w14:paraId="4A5348B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74 (58 to 85)</w:t>
            </w:r>
          </w:p>
        </w:tc>
        <w:tc>
          <w:tcPr>
            <w:tcW w:w="1361" w:type="dxa"/>
            <w:tcBorders>
              <w:top w:val="nil"/>
              <w:left w:val="single" w:sz="4" w:space="0" w:color="auto"/>
              <w:bottom w:val="single" w:sz="4" w:space="0" w:color="auto"/>
              <w:right w:val="nil"/>
            </w:tcBorders>
            <w:shd w:val="clear" w:color="auto" w:fill="auto"/>
            <w:noWrap/>
            <w:vAlign w:val="center"/>
            <w:hideMark/>
          </w:tcPr>
          <w:p w14:paraId="781A80B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23 (14 to 34)</w:t>
            </w:r>
          </w:p>
        </w:tc>
        <w:tc>
          <w:tcPr>
            <w:tcW w:w="1361" w:type="dxa"/>
            <w:tcBorders>
              <w:top w:val="nil"/>
              <w:left w:val="nil"/>
              <w:bottom w:val="single" w:sz="4" w:space="0" w:color="auto"/>
              <w:right w:val="nil"/>
            </w:tcBorders>
            <w:shd w:val="clear" w:color="auto" w:fill="auto"/>
            <w:noWrap/>
            <w:vAlign w:val="center"/>
            <w:hideMark/>
          </w:tcPr>
          <w:p w14:paraId="2BC877D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 (1 to 11)</w:t>
            </w:r>
          </w:p>
        </w:tc>
        <w:tc>
          <w:tcPr>
            <w:tcW w:w="1361" w:type="dxa"/>
            <w:tcBorders>
              <w:top w:val="nil"/>
              <w:left w:val="nil"/>
              <w:bottom w:val="single" w:sz="4" w:space="0" w:color="auto"/>
              <w:right w:val="single" w:sz="4" w:space="0" w:color="auto"/>
            </w:tcBorders>
            <w:shd w:val="clear" w:color="auto" w:fill="auto"/>
            <w:noWrap/>
            <w:vAlign w:val="center"/>
            <w:hideMark/>
          </w:tcPr>
          <w:p w14:paraId="44AB70D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75 (63 to 84)</w:t>
            </w:r>
          </w:p>
        </w:tc>
        <w:tc>
          <w:tcPr>
            <w:tcW w:w="1361" w:type="dxa"/>
            <w:tcBorders>
              <w:top w:val="nil"/>
              <w:left w:val="single" w:sz="4" w:space="0" w:color="auto"/>
              <w:bottom w:val="single" w:sz="4" w:space="0" w:color="auto"/>
              <w:right w:val="nil"/>
            </w:tcBorders>
            <w:shd w:val="clear" w:color="auto" w:fill="auto"/>
            <w:noWrap/>
            <w:vAlign w:val="center"/>
            <w:hideMark/>
          </w:tcPr>
          <w:p w14:paraId="0015B9B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 (0 to 17)</w:t>
            </w:r>
          </w:p>
        </w:tc>
        <w:tc>
          <w:tcPr>
            <w:tcW w:w="1361" w:type="dxa"/>
            <w:tcBorders>
              <w:top w:val="nil"/>
              <w:left w:val="nil"/>
              <w:bottom w:val="single" w:sz="4" w:space="0" w:color="auto"/>
              <w:right w:val="nil"/>
            </w:tcBorders>
            <w:shd w:val="clear" w:color="auto" w:fill="auto"/>
            <w:noWrap/>
            <w:vAlign w:val="center"/>
            <w:hideMark/>
          </w:tcPr>
          <w:p w14:paraId="5C8326E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19)</w:t>
            </w:r>
          </w:p>
        </w:tc>
        <w:tc>
          <w:tcPr>
            <w:tcW w:w="1361" w:type="dxa"/>
            <w:tcBorders>
              <w:top w:val="nil"/>
              <w:left w:val="nil"/>
              <w:bottom w:val="single" w:sz="4" w:space="0" w:color="auto"/>
              <w:right w:val="single" w:sz="4" w:space="0" w:color="auto"/>
            </w:tcBorders>
            <w:shd w:val="clear" w:color="auto" w:fill="auto"/>
            <w:noWrap/>
            <w:vAlign w:val="center"/>
            <w:hideMark/>
          </w:tcPr>
          <w:p w14:paraId="2E78624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92 (78 to 98)</w:t>
            </w:r>
          </w:p>
        </w:tc>
      </w:tr>
      <w:tr w:rsidR="009D652F" w:rsidRPr="00C44F34" w14:paraId="68CFF972" w14:textId="77777777" w:rsidTr="00005CF2">
        <w:trPr>
          <w:trHeight w:val="300"/>
          <w:jc w:val="center"/>
        </w:trPr>
        <w:tc>
          <w:tcPr>
            <w:tcW w:w="3261" w:type="dxa"/>
            <w:vMerge w:val="restart"/>
            <w:tcBorders>
              <w:top w:val="single" w:sz="4" w:space="0" w:color="auto"/>
              <w:left w:val="single" w:sz="4" w:space="0" w:color="auto"/>
              <w:right w:val="single" w:sz="4" w:space="0" w:color="auto"/>
            </w:tcBorders>
            <w:shd w:val="clear" w:color="auto" w:fill="B4C6E7" w:themeFill="accent1" w:themeFillTint="66"/>
            <w:noWrap/>
            <w:vAlign w:val="center"/>
            <w:hideMark/>
          </w:tcPr>
          <w:p w14:paraId="14584D01" w14:textId="77777777" w:rsidR="009D652F" w:rsidRPr="00C44F34" w:rsidRDefault="009D652F" w:rsidP="00005CF2">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Domain</w:t>
            </w:r>
          </w:p>
        </w:tc>
        <w:tc>
          <w:tcPr>
            <w:tcW w:w="1361" w:type="dxa"/>
            <w:tcBorders>
              <w:top w:val="single" w:sz="4" w:space="0" w:color="auto"/>
              <w:left w:val="single" w:sz="4" w:space="0" w:color="auto"/>
              <w:bottom w:val="nil"/>
              <w:right w:val="nil"/>
            </w:tcBorders>
            <w:shd w:val="clear" w:color="auto" w:fill="B4C6E7" w:themeFill="accent1" w:themeFillTint="66"/>
            <w:noWrap/>
            <w:vAlign w:val="center"/>
            <w:hideMark/>
          </w:tcPr>
          <w:p w14:paraId="1A8ECDBF"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Low</w:t>
            </w:r>
          </w:p>
        </w:tc>
        <w:tc>
          <w:tcPr>
            <w:tcW w:w="1361" w:type="dxa"/>
            <w:tcBorders>
              <w:top w:val="single" w:sz="4" w:space="0" w:color="auto"/>
              <w:left w:val="nil"/>
              <w:bottom w:val="nil"/>
              <w:right w:val="nil"/>
            </w:tcBorders>
            <w:shd w:val="clear" w:color="auto" w:fill="B4C6E7" w:themeFill="accent1" w:themeFillTint="66"/>
            <w:noWrap/>
            <w:vAlign w:val="center"/>
            <w:hideMark/>
          </w:tcPr>
          <w:p w14:paraId="7377DC92"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High</w:t>
            </w:r>
          </w:p>
        </w:tc>
        <w:tc>
          <w:tcPr>
            <w:tcW w:w="1361" w:type="dxa"/>
            <w:tcBorders>
              <w:top w:val="single" w:sz="4" w:space="0" w:color="auto"/>
              <w:left w:val="nil"/>
              <w:bottom w:val="nil"/>
              <w:right w:val="single" w:sz="4" w:space="0" w:color="auto"/>
            </w:tcBorders>
            <w:shd w:val="clear" w:color="auto" w:fill="B4C6E7" w:themeFill="accent1" w:themeFillTint="66"/>
            <w:noWrap/>
            <w:vAlign w:val="center"/>
            <w:hideMark/>
          </w:tcPr>
          <w:p w14:paraId="5855B21E"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NI</w:t>
            </w:r>
          </w:p>
        </w:tc>
        <w:tc>
          <w:tcPr>
            <w:tcW w:w="1361" w:type="dxa"/>
            <w:tcBorders>
              <w:top w:val="single" w:sz="4" w:space="0" w:color="auto"/>
              <w:left w:val="single" w:sz="4" w:space="0" w:color="auto"/>
              <w:bottom w:val="nil"/>
              <w:right w:val="nil"/>
            </w:tcBorders>
            <w:shd w:val="clear" w:color="auto" w:fill="B4C6E7" w:themeFill="accent1" w:themeFillTint="66"/>
            <w:noWrap/>
            <w:vAlign w:val="center"/>
            <w:hideMark/>
          </w:tcPr>
          <w:p w14:paraId="6A9F0415"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Low</w:t>
            </w:r>
          </w:p>
        </w:tc>
        <w:tc>
          <w:tcPr>
            <w:tcW w:w="1361" w:type="dxa"/>
            <w:tcBorders>
              <w:top w:val="single" w:sz="4" w:space="0" w:color="auto"/>
              <w:left w:val="nil"/>
              <w:bottom w:val="nil"/>
              <w:right w:val="nil"/>
            </w:tcBorders>
            <w:shd w:val="clear" w:color="auto" w:fill="B4C6E7" w:themeFill="accent1" w:themeFillTint="66"/>
            <w:noWrap/>
            <w:vAlign w:val="center"/>
            <w:hideMark/>
          </w:tcPr>
          <w:p w14:paraId="716C9C00"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High</w:t>
            </w:r>
          </w:p>
        </w:tc>
        <w:tc>
          <w:tcPr>
            <w:tcW w:w="1361" w:type="dxa"/>
            <w:tcBorders>
              <w:top w:val="single" w:sz="4" w:space="0" w:color="auto"/>
              <w:left w:val="nil"/>
              <w:bottom w:val="nil"/>
              <w:right w:val="single" w:sz="4" w:space="0" w:color="auto"/>
            </w:tcBorders>
            <w:shd w:val="clear" w:color="auto" w:fill="B4C6E7" w:themeFill="accent1" w:themeFillTint="66"/>
            <w:noWrap/>
            <w:vAlign w:val="center"/>
            <w:hideMark/>
          </w:tcPr>
          <w:p w14:paraId="6EA9AE4C"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NI</w:t>
            </w:r>
          </w:p>
        </w:tc>
        <w:tc>
          <w:tcPr>
            <w:tcW w:w="1361" w:type="dxa"/>
            <w:tcBorders>
              <w:top w:val="single" w:sz="4" w:space="0" w:color="auto"/>
              <w:left w:val="single" w:sz="4" w:space="0" w:color="auto"/>
              <w:bottom w:val="nil"/>
              <w:right w:val="nil"/>
            </w:tcBorders>
            <w:shd w:val="clear" w:color="auto" w:fill="B4C6E7" w:themeFill="accent1" w:themeFillTint="66"/>
            <w:noWrap/>
            <w:vAlign w:val="center"/>
            <w:hideMark/>
          </w:tcPr>
          <w:p w14:paraId="7E909503"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Low</w:t>
            </w:r>
          </w:p>
        </w:tc>
        <w:tc>
          <w:tcPr>
            <w:tcW w:w="1361" w:type="dxa"/>
            <w:tcBorders>
              <w:top w:val="single" w:sz="4" w:space="0" w:color="auto"/>
              <w:left w:val="nil"/>
              <w:bottom w:val="nil"/>
              <w:right w:val="nil"/>
            </w:tcBorders>
            <w:shd w:val="clear" w:color="auto" w:fill="B4C6E7" w:themeFill="accent1" w:themeFillTint="66"/>
            <w:noWrap/>
            <w:vAlign w:val="center"/>
            <w:hideMark/>
          </w:tcPr>
          <w:p w14:paraId="0BB19A97"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High</w:t>
            </w:r>
          </w:p>
        </w:tc>
        <w:tc>
          <w:tcPr>
            <w:tcW w:w="1361" w:type="dxa"/>
            <w:tcBorders>
              <w:top w:val="single" w:sz="4" w:space="0" w:color="auto"/>
              <w:left w:val="nil"/>
              <w:bottom w:val="nil"/>
              <w:right w:val="single" w:sz="4" w:space="0" w:color="auto"/>
            </w:tcBorders>
            <w:shd w:val="clear" w:color="auto" w:fill="B4C6E7" w:themeFill="accent1" w:themeFillTint="66"/>
            <w:noWrap/>
            <w:vAlign w:val="center"/>
            <w:hideMark/>
          </w:tcPr>
          <w:p w14:paraId="37844821"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NI</w:t>
            </w:r>
          </w:p>
        </w:tc>
      </w:tr>
      <w:tr w:rsidR="009D652F" w:rsidRPr="00C44F34" w14:paraId="2842F392" w14:textId="77777777" w:rsidTr="00005CF2">
        <w:trPr>
          <w:trHeight w:val="300"/>
          <w:jc w:val="center"/>
        </w:trPr>
        <w:tc>
          <w:tcPr>
            <w:tcW w:w="3261" w:type="dxa"/>
            <w:vMerge/>
            <w:tcBorders>
              <w:left w:val="single" w:sz="4" w:space="0" w:color="auto"/>
              <w:bottom w:val="single" w:sz="4" w:space="0" w:color="auto"/>
              <w:right w:val="single" w:sz="4" w:space="0" w:color="auto"/>
            </w:tcBorders>
            <w:shd w:val="clear" w:color="auto" w:fill="B4C6E7" w:themeFill="accent1" w:themeFillTint="66"/>
            <w:noWrap/>
            <w:vAlign w:val="center"/>
            <w:hideMark/>
          </w:tcPr>
          <w:p w14:paraId="0DA173FE" w14:textId="77777777" w:rsidR="009D652F" w:rsidRPr="00C44F34" w:rsidRDefault="009D652F" w:rsidP="00005CF2">
            <w:pPr>
              <w:spacing w:after="0" w:line="240" w:lineRule="auto"/>
              <w:rPr>
                <w:rFonts w:ascii="Calibri" w:eastAsia="Times New Roman" w:hAnsi="Calibri" w:cs="Calibri"/>
                <w:b/>
                <w:bCs/>
                <w:color w:val="000000"/>
                <w:lang w:eastAsia="en-GB"/>
              </w:rPr>
            </w:pPr>
          </w:p>
        </w:tc>
        <w:tc>
          <w:tcPr>
            <w:tcW w:w="1361" w:type="dxa"/>
            <w:tcBorders>
              <w:top w:val="nil"/>
              <w:left w:val="single" w:sz="4" w:space="0" w:color="auto"/>
              <w:bottom w:val="single" w:sz="4" w:space="0" w:color="auto"/>
              <w:right w:val="nil"/>
            </w:tcBorders>
            <w:shd w:val="clear" w:color="auto" w:fill="B4C6E7" w:themeFill="accent1" w:themeFillTint="66"/>
            <w:noWrap/>
            <w:vAlign w:val="center"/>
            <w:hideMark/>
          </w:tcPr>
          <w:p w14:paraId="05EB8821"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nil"/>
            </w:tcBorders>
            <w:shd w:val="clear" w:color="auto" w:fill="B4C6E7" w:themeFill="accent1" w:themeFillTint="66"/>
            <w:noWrap/>
            <w:vAlign w:val="center"/>
            <w:hideMark/>
          </w:tcPr>
          <w:p w14:paraId="37D21DF3"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single" w:sz="4" w:space="0" w:color="auto"/>
            </w:tcBorders>
            <w:shd w:val="clear" w:color="auto" w:fill="B4C6E7" w:themeFill="accent1" w:themeFillTint="66"/>
            <w:noWrap/>
            <w:vAlign w:val="center"/>
            <w:hideMark/>
          </w:tcPr>
          <w:p w14:paraId="12D3C374"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single" w:sz="4" w:space="0" w:color="auto"/>
              <w:bottom w:val="single" w:sz="4" w:space="0" w:color="auto"/>
              <w:right w:val="nil"/>
            </w:tcBorders>
            <w:shd w:val="clear" w:color="auto" w:fill="B4C6E7" w:themeFill="accent1" w:themeFillTint="66"/>
            <w:noWrap/>
            <w:vAlign w:val="center"/>
            <w:hideMark/>
          </w:tcPr>
          <w:p w14:paraId="60FDFA40"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nil"/>
            </w:tcBorders>
            <w:shd w:val="clear" w:color="auto" w:fill="B4C6E7" w:themeFill="accent1" w:themeFillTint="66"/>
            <w:noWrap/>
            <w:vAlign w:val="center"/>
            <w:hideMark/>
          </w:tcPr>
          <w:p w14:paraId="0A766389"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single" w:sz="4" w:space="0" w:color="auto"/>
            </w:tcBorders>
            <w:shd w:val="clear" w:color="auto" w:fill="B4C6E7" w:themeFill="accent1" w:themeFillTint="66"/>
            <w:noWrap/>
            <w:vAlign w:val="center"/>
            <w:hideMark/>
          </w:tcPr>
          <w:p w14:paraId="7AD54307"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single" w:sz="4" w:space="0" w:color="auto"/>
              <w:bottom w:val="single" w:sz="4" w:space="0" w:color="auto"/>
              <w:right w:val="nil"/>
            </w:tcBorders>
            <w:shd w:val="clear" w:color="auto" w:fill="B4C6E7" w:themeFill="accent1" w:themeFillTint="66"/>
            <w:noWrap/>
            <w:vAlign w:val="center"/>
            <w:hideMark/>
          </w:tcPr>
          <w:p w14:paraId="62794F96"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nil"/>
            </w:tcBorders>
            <w:shd w:val="clear" w:color="auto" w:fill="B4C6E7" w:themeFill="accent1" w:themeFillTint="66"/>
            <w:noWrap/>
            <w:vAlign w:val="center"/>
            <w:hideMark/>
          </w:tcPr>
          <w:p w14:paraId="62EF2AFF"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c>
          <w:tcPr>
            <w:tcW w:w="1361" w:type="dxa"/>
            <w:tcBorders>
              <w:top w:val="nil"/>
              <w:left w:val="nil"/>
              <w:bottom w:val="single" w:sz="4" w:space="0" w:color="auto"/>
              <w:right w:val="single" w:sz="4" w:space="0" w:color="auto"/>
            </w:tcBorders>
            <w:shd w:val="clear" w:color="auto" w:fill="B4C6E7" w:themeFill="accent1" w:themeFillTint="66"/>
            <w:noWrap/>
            <w:vAlign w:val="center"/>
            <w:hideMark/>
          </w:tcPr>
          <w:p w14:paraId="0C515BFF" w14:textId="77777777" w:rsidR="009D652F" w:rsidRPr="00C44F34" w:rsidRDefault="009D652F" w:rsidP="00005CF2">
            <w:pPr>
              <w:spacing w:after="0" w:line="240" w:lineRule="auto"/>
              <w:jc w:val="center"/>
              <w:rPr>
                <w:rFonts w:ascii="Calibri" w:eastAsia="Times New Roman" w:hAnsi="Calibri" w:cs="Calibri"/>
                <w:b/>
                <w:bCs/>
                <w:color w:val="000000"/>
                <w:lang w:eastAsia="en-GB"/>
              </w:rPr>
            </w:pPr>
            <w:r w:rsidRPr="00C44F34">
              <w:rPr>
                <w:rFonts w:ascii="Calibri" w:eastAsia="Times New Roman" w:hAnsi="Calibri" w:cs="Calibri"/>
                <w:b/>
                <w:bCs/>
                <w:color w:val="000000"/>
                <w:lang w:eastAsia="en-GB"/>
              </w:rPr>
              <w:t>%, 95% CI</w:t>
            </w:r>
          </w:p>
        </w:tc>
      </w:tr>
      <w:tr w:rsidR="009D652F" w:rsidRPr="00C44F34" w14:paraId="2D1E09BA" w14:textId="77777777" w:rsidTr="00005CF2">
        <w:trPr>
          <w:trHeight w:val="300"/>
          <w:jc w:val="center"/>
        </w:trPr>
        <w:tc>
          <w:tcPr>
            <w:tcW w:w="3261" w:type="dxa"/>
            <w:tcBorders>
              <w:top w:val="single" w:sz="4" w:space="0" w:color="auto"/>
              <w:left w:val="single" w:sz="4" w:space="0" w:color="auto"/>
              <w:bottom w:val="nil"/>
              <w:right w:val="single" w:sz="4" w:space="0" w:color="auto"/>
            </w:tcBorders>
            <w:shd w:val="clear" w:color="auto" w:fill="auto"/>
            <w:noWrap/>
            <w:vAlign w:val="center"/>
            <w:hideMark/>
          </w:tcPr>
          <w:p w14:paraId="2B86E8C7"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Participants</w:t>
            </w:r>
          </w:p>
        </w:tc>
        <w:tc>
          <w:tcPr>
            <w:tcW w:w="1361" w:type="dxa"/>
            <w:tcBorders>
              <w:top w:val="single" w:sz="4" w:space="0" w:color="auto"/>
              <w:left w:val="single" w:sz="4" w:space="0" w:color="auto"/>
              <w:bottom w:val="nil"/>
              <w:right w:val="nil"/>
            </w:tcBorders>
            <w:shd w:val="clear" w:color="auto" w:fill="auto"/>
            <w:noWrap/>
            <w:vAlign w:val="center"/>
            <w:hideMark/>
          </w:tcPr>
          <w:p w14:paraId="719CF1B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69 (53 to 81)</w:t>
            </w:r>
          </w:p>
        </w:tc>
        <w:tc>
          <w:tcPr>
            <w:tcW w:w="1361" w:type="dxa"/>
            <w:tcBorders>
              <w:top w:val="single" w:sz="4" w:space="0" w:color="auto"/>
              <w:left w:val="nil"/>
              <w:bottom w:val="nil"/>
              <w:right w:val="nil"/>
            </w:tcBorders>
            <w:shd w:val="clear" w:color="auto" w:fill="auto"/>
            <w:noWrap/>
            <w:vAlign w:val="center"/>
            <w:hideMark/>
          </w:tcPr>
          <w:p w14:paraId="2CF2922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 (2 to 21)</w:t>
            </w:r>
          </w:p>
        </w:tc>
        <w:tc>
          <w:tcPr>
            <w:tcW w:w="1361" w:type="dxa"/>
            <w:tcBorders>
              <w:top w:val="single" w:sz="4" w:space="0" w:color="auto"/>
              <w:left w:val="nil"/>
              <w:bottom w:val="nil"/>
              <w:right w:val="single" w:sz="4" w:space="0" w:color="auto"/>
            </w:tcBorders>
            <w:shd w:val="clear" w:color="auto" w:fill="auto"/>
            <w:noWrap/>
            <w:vAlign w:val="center"/>
            <w:hideMark/>
          </w:tcPr>
          <w:p w14:paraId="70DE193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24 (13 to 39)</w:t>
            </w:r>
          </w:p>
        </w:tc>
        <w:tc>
          <w:tcPr>
            <w:tcW w:w="1361" w:type="dxa"/>
            <w:tcBorders>
              <w:top w:val="single" w:sz="4" w:space="0" w:color="auto"/>
              <w:left w:val="single" w:sz="4" w:space="0" w:color="auto"/>
              <w:bottom w:val="nil"/>
              <w:right w:val="nil"/>
            </w:tcBorders>
            <w:shd w:val="clear" w:color="auto" w:fill="auto"/>
            <w:noWrap/>
            <w:vAlign w:val="center"/>
            <w:hideMark/>
          </w:tcPr>
          <w:p w14:paraId="137A498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55 (43 to 66)</w:t>
            </w:r>
          </w:p>
        </w:tc>
        <w:tc>
          <w:tcPr>
            <w:tcW w:w="1361" w:type="dxa"/>
            <w:tcBorders>
              <w:top w:val="single" w:sz="4" w:space="0" w:color="auto"/>
              <w:left w:val="nil"/>
              <w:bottom w:val="nil"/>
              <w:right w:val="nil"/>
            </w:tcBorders>
            <w:shd w:val="clear" w:color="auto" w:fill="auto"/>
            <w:noWrap/>
            <w:vAlign w:val="center"/>
            <w:hideMark/>
          </w:tcPr>
          <w:p w14:paraId="5563349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15 (9 to 26)</w:t>
            </w:r>
          </w:p>
        </w:tc>
        <w:tc>
          <w:tcPr>
            <w:tcW w:w="1361" w:type="dxa"/>
            <w:tcBorders>
              <w:top w:val="single" w:sz="4" w:space="0" w:color="auto"/>
              <w:left w:val="nil"/>
              <w:bottom w:val="nil"/>
              <w:right w:val="single" w:sz="4" w:space="0" w:color="auto"/>
            </w:tcBorders>
            <w:shd w:val="clear" w:color="auto" w:fill="auto"/>
            <w:noWrap/>
            <w:vAlign w:val="center"/>
            <w:hideMark/>
          </w:tcPr>
          <w:p w14:paraId="59E4F39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30 (20 to 41)</w:t>
            </w:r>
          </w:p>
        </w:tc>
        <w:tc>
          <w:tcPr>
            <w:tcW w:w="1361" w:type="dxa"/>
            <w:tcBorders>
              <w:top w:val="single" w:sz="4" w:space="0" w:color="auto"/>
              <w:left w:val="single" w:sz="4" w:space="0" w:color="auto"/>
              <w:bottom w:val="nil"/>
              <w:right w:val="nil"/>
            </w:tcBorders>
            <w:shd w:val="clear" w:color="auto" w:fill="auto"/>
            <w:noWrap/>
            <w:vAlign w:val="center"/>
            <w:hideMark/>
          </w:tcPr>
          <w:p w14:paraId="3F62FD2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64 (48 to 78)</w:t>
            </w:r>
          </w:p>
        </w:tc>
        <w:tc>
          <w:tcPr>
            <w:tcW w:w="1361" w:type="dxa"/>
            <w:tcBorders>
              <w:top w:val="single" w:sz="4" w:space="0" w:color="auto"/>
              <w:left w:val="nil"/>
              <w:bottom w:val="nil"/>
              <w:right w:val="nil"/>
            </w:tcBorders>
            <w:shd w:val="clear" w:color="auto" w:fill="auto"/>
            <w:noWrap/>
            <w:vAlign w:val="center"/>
            <w:hideMark/>
          </w:tcPr>
          <w:p w14:paraId="53963AE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25)</w:t>
            </w:r>
          </w:p>
        </w:tc>
        <w:tc>
          <w:tcPr>
            <w:tcW w:w="1361" w:type="dxa"/>
            <w:tcBorders>
              <w:top w:val="single" w:sz="4" w:space="0" w:color="auto"/>
              <w:left w:val="nil"/>
              <w:bottom w:val="nil"/>
              <w:right w:val="single" w:sz="4" w:space="0" w:color="auto"/>
            </w:tcBorders>
            <w:shd w:val="clear" w:color="auto" w:fill="auto"/>
            <w:noWrap/>
            <w:vAlign w:val="center"/>
            <w:hideMark/>
          </w:tcPr>
          <w:p w14:paraId="455D735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26 (14 to 42)</w:t>
            </w:r>
          </w:p>
        </w:tc>
      </w:tr>
      <w:tr w:rsidR="009D652F" w:rsidRPr="00C44F34" w14:paraId="7C147531"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7467DE7D"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Predictors</w:t>
            </w:r>
          </w:p>
        </w:tc>
        <w:tc>
          <w:tcPr>
            <w:tcW w:w="1361" w:type="dxa"/>
            <w:tcBorders>
              <w:top w:val="nil"/>
              <w:left w:val="single" w:sz="4" w:space="0" w:color="auto"/>
              <w:bottom w:val="nil"/>
              <w:right w:val="nil"/>
            </w:tcBorders>
            <w:shd w:val="clear" w:color="auto" w:fill="auto"/>
            <w:noWrap/>
            <w:vAlign w:val="center"/>
            <w:hideMark/>
          </w:tcPr>
          <w:p w14:paraId="4FCF4AE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55 (39 to 69)</w:t>
            </w:r>
          </w:p>
        </w:tc>
        <w:tc>
          <w:tcPr>
            <w:tcW w:w="1361" w:type="dxa"/>
            <w:tcBorders>
              <w:top w:val="nil"/>
              <w:left w:val="nil"/>
              <w:bottom w:val="nil"/>
              <w:right w:val="nil"/>
            </w:tcBorders>
            <w:shd w:val="clear" w:color="auto" w:fill="auto"/>
            <w:noWrap/>
            <w:vAlign w:val="center"/>
            <w:hideMark/>
          </w:tcPr>
          <w:p w14:paraId="5E799CE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nil"/>
              <w:right w:val="single" w:sz="4" w:space="0" w:color="auto"/>
            </w:tcBorders>
            <w:shd w:val="clear" w:color="auto" w:fill="auto"/>
            <w:noWrap/>
            <w:vAlign w:val="center"/>
            <w:hideMark/>
          </w:tcPr>
          <w:p w14:paraId="7A84C54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45 (31 to 61)</w:t>
            </w:r>
          </w:p>
        </w:tc>
        <w:tc>
          <w:tcPr>
            <w:tcW w:w="1361" w:type="dxa"/>
            <w:tcBorders>
              <w:top w:val="nil"/>
              <w:left w:val="single" w:sz="4" w:space="0" w:color="auto"/>
              <w:bottom w:val="nil"/>
              <w:right w:val="nil"/>
            </w:tcBorders>
            <w:shd w:val="clear" w:color="auto" w:fill="auto"/>
            <w:noWrap/>
            <w:vAlign w:val="center"/>
            <w:hideMark/>
          </w:tcPr>
          <w:p w14:paraId="5290DE3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54 (42 to 65)</w:t>
            </w:r>
          </w:p>
        </w:tc>
        <w:tc>
          <w:tcPr>
            <w:tcW w:w="1361" w:type="dxa"/>
            <w:tcBorders>
              <w:top w:val="nil"/>
              <w:left w:val="nil"/>
              <w:bottom w:val="nil"/>
              <w:right w:val="nil"/>
            </w:tcBorders>
            <w:shd w:val="clear" w:color="auto" w:fill="auto"/>
            <w:noWrap/>
            <w:vAlign w:val="center"/>
            <w:hideMark/>
          </w:tcPr>
          <w:p w14:paraId="1AAA422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 (0 to 10)</w:t>
            </w:r>
          </w:p>
        </w:tc>
        <w:tc>
          <w:tcPr>
            <w:tcW w:w="1361" w:type="dxa"/>
            <w:tcBorders>
              <w:top w:val="nil"/>
              <w:left w:val="nil"/>
              <w:bottom w:val="nil"/>
              <w:right w:val="single" w:sz="4" w:space="0" w:color="auto"/>
            </w:tcBorders>
            <w:shd w:val="clear" w:color="auto" w:fill="auto"/>
            <w:noWrap/>
            <w:vAlign w:val="center"/>
            <w:hideMark/>
          </w:tcPr>
          <w:p w14:paraId="10B84E9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45 (34 to 57)</w:t>
            </w:r>
          </w:p>
        </w:tc>
        <w:tc>
          <w:tcPr>
            <w:tcW w:w="1361" w:type="dxa"/>
            <w:tcBorders>
              <w:top w:val="nil"/>
              <w:left w:val="single" w:sz="4" w:space="0" w:color="auto"/>
              <w:bottom w:val="nil"/>
              <w:right w:val="nil"/>
            </w:tcBorders>
            <w:shd w:val="clear" w:color="auto" w:fill="auto"/>
            <w:noWrap/>
            <w:vAlign w:val="center"/>
            <w:hideMark/>
          </w:tcPr>
          <w:p w14:paraId="09AB1BAC"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51 (35 to 67)</w:t>
            </w:r>
          </w:p>
        </w:tc>
        <w:tc>
          <w:tcPr>
            <w:tcW w:w="1361" w:type="dxa"/>
            <w:tcBorders>
              <w:top w:val="nil"/>
              <w:left w:val="nil"/>
              <w:bottom w:val="nil"/>
              <w:right w:val="nil"/>
            </w:tcBorders>
            <w:shd w:val="clear" w:color="auto" w:fill="auto"/>
            <w:noWrap/>
            <w:vAlign w:val="center"/>
            <w:hideMark/>
          </w:tcPr>
          <w:p w14:paraId="045146C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0 (0 to 0)</w:t>
            </w:r>
          </w:p>
        </w:tc>
        <w:tc>
          <w:tcPr>
            <w:tcW w:w="1361" w:type="dxa"/>
            <w:tcBorders>
              <w:top w:val="nil"/>
              <w:left w:val="nil"/>
              <w:bottom w:val="nil"/>
              <w:right w:val="single" w:sz="4" w:space="0" w:color="auto"/>
            </w:tcBorders>
            <w:shd w:val="clear" w:color="auto" w:fill="auto"/>
            <w:noWrap/>
            <w:vAlign w:val="center"/>
            <w:hideMark/>
          </w:tcPr>
          <w:p w14:paraId="3D157AC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49 (33 to 65)</w:t>
            </w:r>
          </w:p>
        </w:tc>
      </w:tr>
      <w:tr w:rsidR="009D652F" w:rsidRPr="00C44F34" w14:paraId="791FC961"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37E0C287"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Outcome</w:t>
            </w:r>
            <w:r>
              <w:rPr>
                <w:rFonts w:ascii="Calibri" w:eastAsia="Times New Roman" w:hAnsi="Calibri" w:cs="Calibri"/>
                <w:color w:val="000000"/>
                <w:lang w:eastAsia="en-GB"/>
              </w:rPr>
              <w:t>s</w:t>
            </w:r>
          </w:p>
        </w:tc>
        <w:tc>
          <w:tcPr>
            <w:tcW w:w="1361" w:type="dxa"/>
            <w:tcBorders>
              <w:top w:val="nil"/>
              <w:left w:val="single" w:sz="4" w:space="0" w:color="auto"/>
              <w:bottom w:val="nil"/>
              <w:right w:val="nil"/>
            </w:tcBorders>
            <w:shd w:val="clear" w:color="auto" w:fill="auto"/>
            <w:noWrap/>
            <w:vAlign w:val="center"/>
            <w:hideMark/>
          </w:tcPr>
          <w:p w14:paraId="449373E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81 (66 to 90)</w:t>
            </w:r>
          </w:p>
        </w:tc>
        <w:tc>
          <w:tcPr>
            <w:tcW w:w="1361" w:type="dxa"/>
            <w:tcBorders>
              <w:top w:val="nil"/>
              <w:left w:val="nil"/>
              <w:bottom w:val="nil"/>
              <w:right w:val="nil"/>
            </w:tcBorders>
            <w:shd w:val="clear" w:color="auto" w:fill="auto"/>
            <w:noWrap/>
            <w:vAlign w:val="center"/>
            <w:hideMark/>
          </w:tcPr>
          <w:p w14:paraId="67D2745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nil"/>
              <w:right w:val="single" w:sz="4" w:space="0" w:color="auto"/>
            </w:tcBorders>
            <w:shd w:val="clear" w:color="auto" w:fill="auto"/>
            <w:noWrap/>
            <w:vAlign w:val="center"/>
            <w:hideMark/>
          </w:tcPr>
          <w:p w14:paraId="0FC5ADA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14 (6 to 29)</w:t>
            </w:r>
          </w:p>
        </w:tc>
        <w:tc>
          <w:tcPr>
            <w:tcW w:w="1361" w:type="dxa"/>
            <w:tcBorders>
              <w:top w:val="nil"/>
              <w:left w:val="single" w:sz="4" w:space="0" w:color="auto"/>
              <w:bottom w:val="nil"/>
              <w:right w:val="nil"/>
            </w:tcBorders>
            <w:shd w:val="clear" w:color="auto" w:fill="auto"/>
            <w:noWrap/>
            <w:vAlign w:val="center"/>
            <w:hideMark/>
          </w:tcPr>
          <w:p w14:paraId="2DA4CD0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70 (59 to 80)</w:t>
            </w:r>
          </w:p>
        </w:tc>
        <w:tc>
          <w:tcPr>
            <w:tcW w:w="1361" w:type="dxa"/>
            <w:tcBorders>
              <w:top w:val="nil"/>
              <w:left w:val="nil"/>
              <w:bottom w:val="nil"/>
              <w:right w:val="nil"/>
            </w:tcBorders>
            <w:shd w:val="clear" w:color="auto" w:fill="auto"/>
            <w:noWrap/>
            <w:vAlign w:val="center"/>
            <w:hideMark/>
          </w:tcPr>
          <w:p w14:paraId="265A065E"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 (3 to 16)</w:t>
            </w:r>
          </w:p>
        </w:tc>
        <w:tc>
          <w:tcPr>
            <w:tcW w:w="1361" w:type="dxa"/>
            <w:tcBorders>
              <w:top w:val="nil"/>
              <w:left w:val="nil"/>
              <w:bottom w:val="nil"/>
              <w:right w:val="single" w:sz="4" w:space="0" w:color="auto"/>
            </w:tcBorders>
            <w:shd w:val="clear" w:color="auto" w:fill="auto"/>
            <w:noWrap/>
            <w:vAlign w:val="center"/>
            <w:hideMark/>
          </w:tcPr>
          <w:p w14:paraId="66B31DE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23 (14 to 34)</w:t>
            </w:r>
          </w:p>
        </w:tc>
        <w:tc>
          <w:tcPr>
            <w:tcW w:w="1361" w:type="dxa"/>
            <w:tcBorders>
              <w:top w:val="nil"/>
              <w:left w:val="single" w:sz="4" w:space="0" w:color="auto"/>
              <w:bottom w:val="nil"/>
              <w:right w:val="nil"/>
            </w:tcBorders>
            <w:shd w:val="clear" w:color="auto" w:fill="auto"/>
            <w:noWrap/>
            <w:vAlign w:val="center"/>
            <w:hideMark/>
          </w:tcPr>
          <w:p w14:paraId="008F64B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69 (53 to 82)</w:t>
            </w:r>
          </w:p>
        </w:tc>
        <w:tc>
          <w:tcPr>
            <w:tcW w:w="1361" w:type="dxa"/>
            <w:tcBorders>
              <w:top w:val="nil"/>
              <w:left w:val="nil"/>
              <w:bottom w:val="nil"/>
              <w:right w:val="nil"/>
            </w:tcBorders>
            <w:shd w:val="clear" w:color="auto" w:fill="auto"/>
            <w:noWrap/>
            <w:vAlign w:val="center"/>
            <w:hideMark/>
          </w:tcPr>
          <w:p w14:paraId="181777A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(5 to 28)</w:t>
            </w:r>
          </w:p>
        </w:tc>
        <w:tc>
          <w:tcPr>
            <w:tcW w:w="1361" w:type="dxa"/>
            <w:tcBorders>
              <w:top w:val="nil"/>
              <w:left w:val="nil"/>
              <w:bottom w:val="nil"/>
              <w:right w:val="single" w:sz="4" w:space="0" w:color="auto"/>
            </w:tcBorders>
            <w:shd w:val="clear" w:color="auto" w:fill="auto"/>
            <w:noWrap/>
            <w:vAlign w:val="center"/>
            <w:hideMark/>
          </w:tcPr>
          <w:p w14:paraId="5755295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18 (9 to 34)</w:t>
            </w:r>
          </w:p>
        </w:tc>
      </w:tr>
      <w:tr w:rsidR="009D652F" w:rsidRPr="00C44F34" w14:paraId="60E80DDD" w14:textId="77777777" w:rsidTr="00005CF2">
        <w:trPr>
          <w:trHeight w:val="300"/>
          <w:jc w:val="center"/>
        </w:trPr>
        <w:tc>
          <w:tcPr>
            <w:tcW w:w="3261" w:type="dxa"/>
            <w:tcBorders>
              <w:top w:val="nil"/>
              <w:left w:val="single" w:sz="4" w:space="0" w:color="auto"/>
              <w:bottom w:val="nil"/>
              <w:right w:val="single" w:sz="4" w:space="0" w:color="auto"/>
            </w:tcBorders>
            <w:shd w:val="clear" w:color="auto" w:fill="auto"/>
            <w:noWrap/>
            <w:vAlign w:val="center"/>
            <w:hideMark/>
          </w:tcPr>
          <w:p w14:paraId="537D7D6E"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Analysis</w:t>
            </w:r>
          </w:p>
        </w:tc>
        <w:tc>
          <w:tcPr>
            <w:tcW w:w="1361" w:type="dxa"/>
            <w:tcBorders>
              <w:top w:val="nil"/>
              <w:left w:val="single" w:sz="4" w:space="0" w:color="auto"/>
              <w:bottom w:val="nil"/>
              <w:right w:val="nil"/>
            </w:tcBorders>
            <w:shd w:val="clear" w:color="auto" w:fill="auto"/>
            <w:noWrap/>
            <w:vAlign w:val="center"/>
            <w:hideMark/>
          </w:tcPr>
          <w:p w14:paraId="1041D415"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23)</w:t>
            </w:r>
          </w:p>
        </w:tc>
        <w:tc>
          <w:tcPr>
            <w:tcW w:w="1361" w:type="dxa"/>
            <w:tcBorders>
              <w:top w:val="nil"/>
              <w:left w:val="nil"/>
              <w:bottom w:val="nil"/>
              <w:right w:val="nil"/>
            </w:tcBorders>
            <w:shd w:val="clear" w:color="auto" w:fill="auto"/>
            <w:noWrap/>
            <w:vAlign w:val="center"/>
            <w:hideMark/>
          </w:tcPr>
          <w:p w14:paraId="4871EB6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79 (63 to 89)</w:t>
            </w:r>
          </w:p>
        </w:tc>
        <w:tc>
          <w:tcPr>
            <w:tcW w:w="1361" w:type="dxa"/>
            <w:tcBorders>
              <w:top w:val="nil"/>
              <w:left w:val="nil"/>
              <w:bottom w:val="nil"/>
              <w:right w:val="single" w:sz="4" w:space="0" w:color="auto"/>
            </w:tcBorders>
            <w:shd w:val="clear" w:color="auto" w:fill="auto"/>
            <w:noWrap/>
            <w:vAlign w:val="center"/>
            <w:hideMark/>
          </w:tcPr>
          <w:p w14:paraId="55612DC7"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12 (5 to 26)</w:t>
            </w:r>
          </w:p>
        </w:tc>
        <w:tc>
          <w:tcPr>
            <w:tcW w:w="1361" w:type="dxa"/>
            <w:tcBorders>
              <w:top w:val="nil"/>
              <w:left w:val="single" w:sz="4" w:space="0" w:color="auto"/>
              <w:bottom w:val="nil"/>
              <w:right w:val="nil"/>
            </w:tcBorders>
            <w:shd w:val="clear" w:color="auto" w:fill="auto"/>
            <w:noWrap/>
            <w:vAlign w:val="center"/>
            <w:hideMark/>
          </w:tcPr>
          <w:p w14:paraId="0C26173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 (4 to 18)</w:t>
            </w:r>
          </w:p>
        </w:tc>
        <w:tc>
          <w:tcPr>
            <w:tcW w:w="1361" w:type="dxa"/>
            <w:tcBorders>
              <w:top w:val="nil"/>
              <w:left w:val="nil"/>
              <w:bottom w:val="nil"/>
              <w:right w:val="nil"/>
            </w:tcBorders>
            <w:shd w:val="clear" w:color="auto" w:fill="auto"/>
            <w:noWrap/>
            <w:vAlign w:val="center"/>
            <w:hideMark/>
          </w:tcPr>
          <w:p w14:paraId="2C547BDB"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85 (74 to 91)</w:t>
            </w:r>
          </w:p>
        </w:tc>
        <w:tc>
          <w:tcPr>
            <w:tcW w:w="1361" w:type="dxa"/>
            <w:tcBorders>
              <w:top w:val="nil"/>
              <w:left w:val="nil"/>
              <w:bottom w:val="nil"/>
              <w:right w:val="single" w:sz="4" w:space="0" w:color="auto"/>
            </w:tcBorders>
            <w:shd w:val="clear" w:color="auto" w:fill="auto"/>
            <w:noWrap/>
            <w:vAlign w:val="center"/>
            <w:hideMark/>
          </w:tcPr>
          <w:p w14:paraId="40205E38"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 (3 to 16)</w:t>
            </w:r>
          </w:p>
        </w:tc>
        <w:tc>
          <w:tcPr>
            <w:tcW w:w="1361" w:type="dxa"/>
            <w:tcBorders>
              <w:top w:val="nil"/>
              <w:left w:val="single" w:sz="4" w:space="0" w:color="auto"/>
              <w:bottom w:val="nil"/>
              <w:right w:val="nil"/>
            </w:tcBorders>
            <w:shd w:val="clear" w:color="auto" w:fill="auto"/>
            <w:noWrap/>
            <w:vAlign w:val="center"/>
            <w:hideMark/>
          </w:tcPr>
          <w:p w14:paraId="34CB662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25)</w:t>
            </w:r>
          </w:p>
        </w:tc>
        <w:tc>
          <w:tcPr>
            <w:tcW w:w="1361" w:type="dxa"/>
            <w:tcBorders>
              <w:top w:val="nil"/>
              <w:left w:val="nil"/>
              <w:bottom w:val="nil"/>
              <w:right w:val="nil"/>
            </w:tcBorders>
            <w:shd w:val="clear" w:color="auto" w:fill="auto"/>
            <w:noWrap/>
            <w:vAlign w:val="center"/>
            <w:hideMark/>
          </w:tcPr>
          <w:p w14:paraId="7A19ED61"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77 (61 to 88)</w:t>
            </w:r>
          </w:p>
        </w:tc>
        <w:tc>
          <w:tcPr>
            <w:tcW w:w="1361" w:type="dxa"/>
            <w:tcBorders>
              <w:top w:val="nil"/>
              <w:left w:val="nil"/>
              <w:bottom w:val="nil"/>
              <w:right w:val="single" w:sz="4" w:space="0" w:color="auto"/>
            </w:tcBorders>
            <w:shd w:val="clear" w:color="auto" w:fill="auto"/>
            <w:noWrap/>
            <w:vAlign w:val="center"/>
            <w:hideMark/>
          </w:tcPr>
          <w:p w14:paraId="4FB4A9E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13 (5 to 28)</w:t>
            </w:r>
          </w:p>
        </w:tc>
      </w:tr>
      <w:tr w:rsidR="009D652F" w:rsidRPr="00C44F34" w14:paraId="12EBBF12" w14:textId="77777777" w:rsidTr="00005CF2">
        <w:trPr>
          <w:trHeight w:val="300"/>
          <w:jc w:val="center"/>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168C189" w14:textId="77777777" w:rsidR="009D652F" w:rsidRPr="00C44F34" w:rsidRDefault="009D652F" w:rsidP="00005CF2">
            <w:pPr>
              <w:spacing w:after="0" w:line="240" w:lineRule="auto"/>
              <w:rPr>
                <w:rFonts w:ascii="Calibri" w:eastAsia="Times New Roman" w:hAnsi="Calibri" w:cs="Calibri"/>
                <w:color w:val="000000"/>
                <w:lang w:eastAsia="en-GB"/>
              </w:rPr>
            </w:pPr>
            <w:r w:rsidRPr="00C44F34">
              <w:rPr>
                <w:rFonts w:ascii="Calibri" w:eastAsia="Times New Roman" w:hAnsi="Calibri" w:cs="Calibri"/>
                <w:color w:val="000000"/>
                <w:lang w:eastAsia="en-GB"/>
              </w:rPr>
              <w:t>Overall</w:t>
            </w:r>
          </w:p>
        </w:tc>
        <w:tc>
          <w:tcPr>
            <w:tcW w:w="1361" w:type="dxa"/>
            <w:tcBorders>
              <w:top w:val="nil"/>
              <w:left w:val="single" w:sz="4" w:space="0" w:color="auto"/>
              <w:bottom w:val="single" w:sz="4" w:space="0" w:color="auto"/>
              <w:right w:val="nil"/>
            </w:tcBorders>
            <w:shd w:val="clear" w:color="auto" w:fill="auto"/>
            <w:noWrap/>
            <w:vAlign w:val="center"/>
            <w:hideMark/>
          </w:tcPr>
          <w:p w14:paraId="6AD56DF9"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18)</w:t>
            </w:r>
          </w:p>
        </w:tc>
        <w:tc>
          <w:tcPr>
            <w:tcW w:w="1361" w:type="dxa"/>
            <w:tcBorders>
              <w:top w:val="nil"/>
              <w:left w:val="nil"/>
              <w:bottom w:val="single" w:sz="4" w:space="0" w:color="auto"/>
              <w:right w:val="nil"/>
            </w:tcBorders>
            <w:shd w:val="clear" w:color="auto" w:fill="auto"/>
            <w:noWrap/>
            <w:vAlign w:val="center"/>
            <w:hideMark/>
          </w:tcPr>
          <w:p w14:paraId="18E8D50F"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83 (68 to 92)</w:t>
            </w:r>
          </w:p>
        </w:tc>
        <w:tc>
          <w:tcPr>
            <w:tcW w:w="1361" w:type="dxa"/>
            <w:tcBorders>
              <w:top w:val="nil"/>
              <w:left w:val="nil"/>
              <w:bottom w:val="single" w:sz="4" w:space="0" w:color="auto"/>
              <w:right w:val="single" w:sz="4" w:space="0" w:color="auto"/>
            </w:tcBorders>
            <w:shd w:val="clear" w:color="auto" w:fill="auto"/>
            <w:noWrap/>
            <w:vAlign w:val="center"/>
            <w:hideMark/>
          </w:tcPr>
          <w:p w14:paraId="37424DA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12 (5 to 26)</w:t>
            </w:r>
          </w:p>
        </w:tc>
        <w:tc>
          <w:tcPr>
            <w:tcW w:w="1361" w:type="dxa"/>
            <w:tcBorders>
              <w:top w:val="nil"/>
              <w:left w:val="single" w:sz="4" w:space="0" w:color="auto"/>
              <w:bottom w:val="single" w:sz="4" w:space="0" w:color="auto"/>
              <w:right w:val="nil"/>
            </w:tcBorders>
            <w:shd w:val="clear" w:color="auto" w:fill="auto"/>
            <w:noWrap/>
            <w:vAlign w:val="center"/>
            <w:hideMark/>
          </w:tcPr>
          <w:p w14:paraId="05A907A3"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4 (1 to 13)</w:t>
            </w:r>
          </w:p>
        </w:tc>
        <w:tc>
          <w:tcPr>
            <w:tcW w:w="1361" w:type="dxa"/>
            <w:tcBorders>
              <w:top w:val="nil"/>
              <w:left w:val="nil"/>
              <w:bottom w:val="single" w:sz="4" w:space="0" w:color="auto"/>
              <w:right w:val="nil"/>
            </w:tcBorders>
            <w:shd w:val="clear" w:color="auto" w:fill="auto"/>
            <w:noWrap/>
            <w:vAlign w:val="center"/>
            <w:hideMark/>
          </w:tcPr>
          <w:p w14:paraId="4096AC24"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85 (74 to 91)</w:t>
            </w:r>
          </w:p>
        </w:tc>
        <w:tc>
          <w:tcPr>
            <w:tcW w:w="1361" w:type="dxa"/>
            <w:tcBorders>
              <w:top w:val="nil"/>
              <w:left w:val="nil"/>
              <w:bottom w:val="single" w:sz="4" w:space="0" w:color="auto"/>
              <w:right w:val="single" w:sz="4" w:space="0" w:color="auto"/>
            </w:tcBorders>
            <w:shd w:val="clear" w:color="auto" w:fill="auto"/>
            <w:noWrap/>
            <w:vAlign w:val="center"/>
            <w:hideMark/>
          </w:tcPr>
          <w:p w14:paraId="6F56B632"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11 (6 to 21)</w:t>
            </w:r>
          </w:p>
        </w:tc>
        <w:tc>
          <w:tcPr>
            <w:tcW w:w="1361" w:type="dxa"/>
            <w:tcBorders>
              <w:top w:val="nil"/>
              <w:left w:val="single" w:sz="4" w:space="0" w:color="auto"/>
              <w:bottom w:val="single" w:sz="4" w:space="0" w:color="auto"/>
              <w:right w:val="nil"/>
            </w:tcBorders>
            <w:shd w:val="clear" w:color="auto" w:fill="auto"/>
            <w:noWrap/>
            <w:vAlign w:val="center"/>
            <w:hideMark/>
          </w:tcPr>
          <w:p w14:paraId="6C988330"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5 (1 to 19)</w:t>
            </w:r>
          </w:p>
        </w:tc>
        <w:tc>
          <w:tcPr>
            <w:tcW w:w="1361" w:type="dxa"/>
            <w:tcBorders>
              <w:top w:val="nil"/>
              <w:left w:val="nil"/>
              <w:bottom w:val="single" w:sz="4" w:space="0" w:color="auto"/>
              <w:right w:val="nil"/>
            </w:tcBorders>
            <w:shd w:val="clear" w:color="auto" w:fill="auto"/>
            <w:noWrap/>
            <w:vAlign w:val="center"/>
            <w:hideMark/>
          </w:tcPr>
          <w:p w14:paraId="31EDBF5A"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85 (69 to 93)</w:t>
            </w:r>
          </w:p>
        </w:tc>
        <w:tc>
          <w:tcPr>
            <w:tcW w:w="1361" w:type="dxa"/>
            <w:tcBorders>
              <w:top w:val="nil"/>
              <w:left w:val="nil"/>
              <w:bottom w:val="single" w:sz="4" w:space="0" w:color="auto"/>
              <w:right w:val="single" w:sz="4" w:space="0" w:color="auto"/>
            </w:tcBorders>
            <w:shd w:val="clear" w:color="auto" w:fill="auto"/>
            <w:noWrap/>
            <w:vAlign w:val="center"/>
            <w:hideMark/>
          </w:tcPr>
          <w:p w14:paraId="08D29D5D" w14:textId="77777777" w:rsidR="009D652F" w:rsidRPr="00C44F34" w:rsidRDefault="009D652F" w:rsidP="00005CF2">
            <w:pPr>
              <w:spacing w:after="0" w:line="240" w:lineRule="auto"/>
              <w:jc w:val="right"/>
              <w:rPr>
                <w:rFonts w:ascii="Calibri" w:eastAsia="Times New Roman" w:hAnsi="Calibri" w:cs="Calibri"/>
                <w:color w:val="000000"/>
                <w:lang w:eastAsia="en-GB"/>
              </w:rPr>
            </w:pPr>
            <w:r w:rsidRPr="00C44F34">
              <w:rPr>
                <w:rFonts w:ascii="Calibri" w:eastAsia="Times New Roman" w:hAnsi="Calibri" w:cs="Calibri"/>
                <w:color w:val="000000"/>
                <w:lang w:eastAsia="en-GB"/>
              </w:rPr>
              <w:t>10 (4 to 25)</w:t>
            </w:r>
          </w:p>
        </w:tc>
      </w:tr>
    </w:tbl>
    <w:p w14:paraId="790DD78C" w14:textId="77777777" w:rsidR="009D652F" w:rsidRPr="008B5EA2" w:rsidRDefault="009D652F" w:rsidP="009D652F"/>
    <w:p w14:paraId="17A06FA5" w14:textId="77777777" w:rsidR="00D729CC" w:rsidRDefault="00D729CC">
      <w:pPr>
        <w:sectPr w:rsidR="00D729CC" w:rsidSect="00005CF2">
          <w:pgSz w:w="16838" w:h="11906" w:orient="landscape"/>
          <w:pgMar w:top="1440" w:right="1440" w:bottom="1440" w:left="1440" w:header="708" w:footer="708" w:gutter="0"/>
          <w:cols w:space="708"/>
          <w:docGrid w:linePitch="360"/>
        </w:sectPr>
      </w:pPr>
    </w:p>
    <w:p w14:paraId="219E7E6A" w14:textId="35214910" w:rsidR="00005CF2" w:rsidRDefault="00D729CC">
      <w:pPr>
        <w:rPr>
          <w:b/>
          <w:bCs/>
          <w:u w:val="single"/>
        </w:rPr>
      </w:pPr>
      <w:r w:rsidRPr="00D729CC">
        <w:rPr>
          <w:b/>
          <w:bCs/>
          <w:u w:val="single"/>
        </w:rPr>
        <w:t>References for supplementary information</w:t>
      </w:r>
    </w:p>
    <w:p w14:paraId="73B54E99"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 </w:t>
      </w:r>
      <w:r w:rsidRPr="009F4200">
        <w:rPr>
          <w:rFonts w:ascii="Calibri" w:eastAsia="Calibri" w:hAnsi="Calibri" w:cs="Times New Roman"/>
        </w:rPr>
        <w:tab/>
        <w:t xml:space="preserve">Kaviarasi R, Gandhi RR . Accuracy Enhanced Lung Cancer Prognosis for Improving Patient Survivability Using Proposed Gaussian Classifier System. J Med Syst 2019;43:201. </w:t>
      </w:r>
      <w:hyperlink r:id="rId5" w:history="1">
        <w:r w:rsidRPr="004733D9">
          <w:rPr>
            <w:rStyle w:val="Hyperlink"/>
            <w:rFonts w:ascii="Calibri" w:eastAsia="Calibri" w:hAnsi="Calibri" w:cs="Times New Roman"/>
          </w:rPr>
          <w:t>https://doi.org/10.1007/s10916-019-1297-2</w:t>
        </w:r>
      </w:hyperlink>
      <w:r>
        <w:rPr>
          <w:rFonts w:ascii="Calibri" w:eastAsia="Calibri" w:hAnsi="Calibri" w:cs="Times New Roman"/>
        </w:rPr>
        <w:t xml:space="preserve"> </w:t>
      </w:r>
    </w:p>
    <w:p w14:paraId="0D95369A"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 </w:t>
      </w:r>
      <w:r w:rsidRPr="009F4200">
        <w:rPr>
          <w:rFonts w:ascii="Calibri" w:eastAsia="Calibri" w:hAnsi="Calibri" w:cs="Times New Roman"/>
        </w:rPr>
        <w:tab/>
        <w:t xml:space="preserve">Alcantud JCR, Varela G, Santos-Buitrago B, et al. Analysis of survival for lung cancer resections cases with fuzzy and soft set theory in surgical decision making. PLoS One 2019;14:e0218283. </w:t>
      </w:r>
      <w:hyperlink r:id="rId6" w:history="1">
        <w:r w:rsidRPr="004733D9">
          <w:rPr>
            <w:rStyle w:val="Hyperlink"/>
            <w:rFonts w:ascii="Calibri" w:eastAsia="Calibri" w:hAnsi="Calibri" w:cs="Times New Roman"/>
          </w:rPr>
          <w:t>https://doi.org/10.1371/journal.pone.0218283</w:t>
        </w:r>
      </w:hyperlink>
      <w:r>
        <w:rPr>
          <w:rFonts w:ascii="Calibri" w:eastAsia="Calibri" w:hAnsi="Calibri" w:cs="Times New Roman"/>
        </w:rPr>
        <w:t xml:space="preserve"> </w:t>
      </w:r>
    </w:p>
    <w:p w14:paraId="305C5E87"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 </w:t>
      </w:r>
      <w:r w:rsidRPr="009F4200">
        <w:rPr>
          <w:rFonts w:ascii="Calibri" w:eastAsia="Calibri" w:hAnsi="Calibri" w:cs="Times New Roman"/>
        </w:rPr>
        <w:tab/>
        <w:t xml:space="preserve">Celik S, Sohail A, Ashraf S, et al. Application of machine learning techniques to analyze anastomosis integrity after Total gastrectomy for prediction of clinical leakage. Health Technol 2019;9:757–63. </w:t>
      </w:r>
      <w:hyperlink r:id="rId7" w:history="1">
        <w:r w:rsidRPr="004733D9">
          <w:rPr>
            <w:rStyle w:val="Hyperlink"/>
            <w:rFonts w:ascii="Calibri" w:eastAsia="Calibri" w:hAnsi="Calibri" w:cs="Times New Roman"/>
          </w:rPr>
          <w:t>https://doi.org/10.1007/s12553-019-00334-3</w:t>
        </w:r>
      </w:hyperlink>
      <w:r>
        <w:rPr>
          <w:rFonts w:ascii="Calibri" w:eastAsia="Calibri" w:hAnsi="Calibri" w:cs="Times New Roman"/>
        </w:rPr>
        <w:t xml:space="preserve"> </w:t>
      </w:r>
    </w:p>
    <w:p w14:paraId="62A33DC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 </w:t>
      </w:r>
      <w:r w:rsidRPr="009F4200">
        <w:rPr>
          <w:rFonts w:ascii="Calibri" w:eastAsia="Calibri" w:hAnsi="Calibri" w:cs="Times New Roman"/>
        </w:rPr>
        <w:tab/>
        <w:t xml:space="preserve">Dihge L, Ohlsson M, Edén P, et al. Artificial neural network models to predict nodal status in clinically node-negative breast cancer. BMC Cancer 2019;19:610. </w:t>
      </w:r>
      <w:hyperlink r:id="rId8" w:history="1">
        <w:r w:rsidRPr="004733D9">
          <w:rPr>
            <w:rStyle w:val="Hyperlink"/>
            <w:rFonts w:ascii="Calibri" w:eastAsia="Calibri" w:hAnsi="Calibri" w:cs="Times New Roman"/>
          </w:rPr>
          <w:t>https://doi.org/10.1186/s12885-019-5827-6</w:t>
        </w:r>
      </w:hyperlink>
      <w:r>
        <w:rPr>
          <w:rFonts w:ascii="Calibri" w:eastAsia="Calibri" w:hAnsi="Calibri" w:cs="Times New Roman"/>
        </w:rPr>
        <w:t xml:space="preserve"> </w:t>
      </w:r>
    </w:p>
    <w:p w14:paraId="2B86DCBB"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 </w:t>
      </w:r>
      <w:r w:rsidRPr="009F4200">
        <w:rPr>
          <w:rFonts w:ascii="Calibri" w:eastAsia="Calibri" w:hAnsi="Calibri" w:cs="Times New Roman"/>
        </w:rPr>
        <w:tab/>
        <w:t xml:space="preserve">Auffenberg GB, Ghani KR, Ramani S, et al. askMUSIC: Leveraging a Clinical Registry to Develop a New Machine Learning Model to Inform Patients of Prostate Cancer Treatments Chosen by Similar Men. Eur Urol 2019;75:901–7. </w:t>
      </w:r>
      <w:hyperlink r:id="rId9" w:history="1">
        <w:r w:rsidRPr="004733D9">
          <w:rPr>
            <w:rStyle w:val="Hyperlink"/>
            <w:rFonts w:ascii="Calibri" w:eastAsia="Calibri" w:hAnsi="Calibri" w:cs="Times New Roman"/>
          </w:rPr>
          <w:t>https://doi.org/10.1016/j.eururo.2018.09.050</w:t>
        </w:r>
      </w:hyperlink>
      <w:r>
        <w:rPr>
          <w:rFonts w:ascii="Calibri" w:eastAsia="Calibri" w:hAnsi="Calibri" w:cs="Times New Roman"/>
        </w:rPr>
        <w:t xml:space="preserve"> </w:t>
      </w:r>
    </w:p>
    <w:p w14:paraId="6FCEC40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6 </w:t>
      </w:r>
      <w:r w:rsidRPr="009F4200">
        <w:rPr>
          <w:rFonts w:ascii="Calibri" w:eastAsia="Calibri" w:hAnsi="Calibri" w:cs="Times New Roman"/>
        </w:rPr>
        <w:tab/>
        <w:t xml:space="preserve">Wang H-H, Wang Y-H, Liang C-W, et al. Assessment of Deep Learning Using Nonimaging Information and Sequential Medical Records to Develop a Prediction Model for Nonmelanoma Skin Cancer. JAMA Dermatol 2019. 155(11):1277-1283. </w:t>
      </w:r>
      <w:hyperlink r:id="rId10" w:history="1">
        <w:r w:rsidRPr="004733D9">
          <w:rPr>
            <w:rStyle w:val="Hyperlink"/>
            <w:rFonts w:ascii="Calibri" w:eastAsia="Calibri" w:hAnsi="Calibri" w:cs="Times New Roman"/>
          </w:rPr>
          <w:t>https://doi.org/10.1001/jamadermatol.2019.2335</w:t>
        </w:r>
      </w:hyperlink>
      <w:r>
        <w:rPr>
          <w:rFonts w:ascii="Calibri" w:eastAsia="Calibri" w:hAnsi="Calibri" w:cs="Times New Roman"/>
        </w:rPr>
        <w:t xml:space="preserve"> </w:t>
      </w:r>
    </w:p>
    <w:p w14:paraId="6A4429EB"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7 </w:t>
      </w:r>
      <w:r w:rsidRPr="009F4200">
        <w:rPr>
          <w:rFonts w:ascii="Calibri" w:eastAsia="Calibri" w:hAnsi="Calibri" w:cs="Times New Roman"/>
        </w:rPr>
        <w:tab/>
        <w:t xml:space="preserve">Lindsay WD, Ahern CA, Tobias JS, et al. Automated data extraction and ensemble methods for predictive modeling of breast cancer outcomes after radiation therapy. Med Phys 2019;46:1054–63. </w:t>
      </w:r>
      <w:hyperlink r:id="rId11" w:history="1">
        <w:r w:rsidRPr="004733D9">
          <w:rPr>
            <w:rStyle w:val="Hyperlink"/>
            <w:rFonts w:ascii="Calibri" w:eastAsia="Calibri" w:hAnsi="Calibri" w:cs="Times New Roman"/>
          </w:rPr>
          <w:t>https://doi.org/10.1002/mp.13314</w:t>
        </w:r>
      </w:hyperlink>
      <w:r>
        <w:rPr>
          <w:rFonts w:ascii="Calibri" w:eastAsia="Calibri" w:hAnsi="Calibri" w:cs="Times New Roman"/>
        </w:rPr>
        <w:t xml:space="preserve"> </w:t>
      </w:r>
    </w:p>
    <w:p w14:paraId="54091EAC"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8 </w:t>
      </w:r>
      <w:r w:rsidRPr="009F4200">
        <w:rPr>
          <w:rFonts w:ascii="Calibri" w:eastAsia="Calibri" w:hAnsi="Calibri" w:cs="Times New Roman"/>
        </w:rPr>
        <w:tab/>
        <w:t xml:space="preserve">Maubert A, Birtwisle L, Bernard JL, et al. Can machine learning predict resecability of a peritoneal carcinomatosis? Surg Oncol 2019;29:120–5. </w:t>
      </w:r>
      <w:hyperlink r:id="rId12" w:history="1">
        <w:r w:rsidRPr="004733D9">
          <w:rPr>
            <w:rStyle w:val="Hyperlink"/>
            <w:rFonts w:ascii="Calibri" w:eastAsia="Calibri" w:hAnsi="Calibri" w:cs="Times New Roman"/>
          </w:rPr>
          <w:t>https://doi.org/10.1016/j.suronc.2019.04.008</w:t>
        </w:r>
      </w:hyperlink>
      <w:r>
        <w:rPr>
          <w:rFonts w:ascii="Calibri" w:eastAsia="Calibri" w:hAnsi="Calibri" w:cs="Times New Roman"/>
        </w:rPr>
        <w:t xml:space="preserve"> </w:t>
      </w:r>
    </w:p>
    <w:p w14:paraId="7CEA8173"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9 </w:t>
      </w:r>
      <w:r w:rsidRPr="009F4200">
        <w:rPr>
          <w:rFonts w:ascii="Calibri" w:eastAsia="Calibri" w:hAnsi="Calibri" w:cs="Times New Roman"/>
        </w:rPr>
        <w:tab/>
        <w:t xml:space="preserve">Rojas L, Cardona AF, Trejo-Rosales R, et al. Characteristics and long-term outcomes of advanced pleural mesothelioma in Latin America (MeSO-CLICaP). Thorac Cancer 2019;10:508–18. </w:t>
      </w:r>
      <w:hyperlink r:id="rId13" w:history="1">
        <w:r w:rsidRPr="004733D9">
          <w:rPr>
            <w:rStyle w:val="Hyperlink"/>
            <w:rFonts w:ascii="Calibri" w:eastAsia="Calibri" w:hAnsi="Calibri" w:cs="Times New Roman"/>
          </w:rPr>
          <w:t>https://doi.org/10.1111/1759-7714.12967</w:t>
        </w:r>
      </w:hyperlink>
      <w:r>
        <w:rPr>
          <w:rFonts w:ascii="Calibri" w:eastAsia="Calibri" w:hAnsi="Calibri" w:cs="Times New Roman"/>
        </w:rPr>
        <w:t xml:space="preserve"> </w:t>
      </w:r>
    </w:p>
    <w:p w14:paraId="4B75183B"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10</w:t>
      </w:r>
      <w:r w:rsidRPr="009F4200">
        <w:rPr>
          <w:rFonts w:ascii="Calibri" w:eastAsia="Calibri" w:hAnsi="Calibri" w:cs="Times New Roman"/>
        </w:rPr>
        <w:tab/>
        <w:t xml:space="preserve">Feng S-S, Li H, Fan F, et al. Clinical characteristics and disease-specific prognostic nomogram for primary gliosarcoma: a SEER population-based analysis. Sci Rep 2019;9:10744. </w:t>
      </w:r>
      <w:hyperlink r:id="rId14" w:history="1">
        <w:r w:rsidRPr="004733D9">
          <w:rPr>
            <w:rStyle w:val="Hyperlink"/>
            <w:rFonts w:ascii="Calibri" w:eastAsia="Calibri" w:hAnsi="Calibri" w:cs="Times New Roman"/>
          </w:rPr>
          <w:t>https://doi.org/10.1038/s41598-019-47211-7</w:t>
        </w:r>
      </w:hyperlink>
      <w:r>
        <w:rPr>
          <w:rFonts w:ascii="Calibri" w:eastAsia="Calibri" w:hAnsi="Calibri" w:cs="Times New Roman"/>
        </w:rPr>
        <w:t xml:space="preserve"> </w:t>
      </w:r>
    </w:p>
    <w:p w14:paraId="662F6839"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11 </w:t>
      </w:r>
      <w:r w:rsidRPr="009F4200">
        <w:rPr>
          <w:rFonts w:ascii="Calibri" w:eastAsia="Calibri" w:hAnsi="Calibri" w:cs="Times New Roman"/>
        </w:rPr>
        <w:tab/>
        <w:t xml:space="preserve">Yang CQ, Gardiner L, Wang H, et al. Creating Prognostic Systems for Well-Differentiated Thyroid Cancer Using Machine Learning. Front Endocrinol (Lausanne) 2019;10:288. </w:t>
      </w:r>
      <w:hyperlink r:id="rId15" w:history="1">
        <w:r w:rsidRPr="004733D9">
          <w:rPr>
            <w:rStyle w:val="Hyperlink"/>
            <w:rFonts w:ascii="Calibri" w:eastAsia="Calibri" w:hAnsi="Calibri" w:cs="Times New Roman"/>
          </w:rPr>
          <w:t>https://doi.org/10.3389/fendo.2019.00288</w:t>
        </w:r>
      </w:hyperlink>
      <w:r>
        <w:rPr>
          <w:rFonts w:ascii="Calibri" w:eastAsia="Calibri" w:hAnsi="Calibri" w:cs="Times New Roman"/>
        </w:rPr>
        <w:t xml:space="preserve"> </w:t>
      </w:r>
    </w:p>
    <w:p w14:paraId="43BE35EA"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12 </w:t>
      </w:r>
      <w:r w:rsidRPr="009F4200">
        <w:rPr>
          <w:rFonts w:ascii="Calibri" w:eastAsia="Calibri" w:hAnsi="Calibri" w:cs="Times New Roman"/>
        </w:rPr>
        <w:tab/>
        <w:t xml:space="preserve">Kim DW, Lee S, Kwon S, et al. Deep learning-based survival prediction of oral cancer patients. Sci Rep 2019;9:6994. </w:t>
      </w:r>
      <w:hyperlink r:id="rId16" w:history="1">
        <w:r w:rsidRPr="004733D9">
          <w:rPr>
            <w:rStyle w:val="Hyperlink"/>
            <w:rFonts w:ascii="Calibri" w:eastAsia="Calibri" w:hAnsi="Calibri" w:cs="Times New Roman"/>
          </w:rPr>
          <w:t>https://doi.org/10.1038/s41598-019-43372-7</w:t>
        </w:r>
      </w:hyperlink>
      <w:r>
        <w:rPr>
          <w:rFonts w:ascii="Calibri" w:eastAsia="Calibri" w:hAnsi="Calibri" w:cs="Times New Roman"/>
        </w:rPr>
        <w:t xml:space="preserve"> </w:t>
      </w:r>
    </w:p>
    <w:p w14:paraId="7327185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13 </w:t>
      </w:r>
      <w:r w:rsidRPr="009F4200">
        <w:rPr>
          <w:rFonts w:ascii="Calibri" w:eastAsia="Calibri" w:hAnsi="Calibri" w:cs="Times New Roman"/>
        </w:rPr>
        <w:tab/>
        <w:t xml:space="preserve">Iraji MS. Deep stacked sparse auto-encoders for prediction of post-operative survival expectancy in thoracic lung cancer surgery. J Appl Biomed 2019;17:75–75. </w:t>
      </w:r>
      <w:hyperlink r:id="rId17" w:history="1">
        <w:r w:rsidRPr="004733D9">
          <w:rPr>
            <w:rStyle w:val="Hyperlink"/>
            <w:rFonts w:ascii="Calibri" w:eastAsia="Calibri" w:hAnsi="Calibri" w:cs="Times New Roman"/>
          </w:rPr>
          <w:t>https://doi.org/10.32725/jab.2018.007</w:t>
        </w:r>
      </w:hyperlink>
      <w:r>
        <w:rPr>
          <w:rFonts w:ascii="Calibri" w:eastAsia="Calibri" w:hAnsi="Calibri" w:cs="Times New Roman"/>
        </w:rPr>
        <w:t xml:space="preserve"> </w:t>
      </w:r>
    </w:p>
    <w:p w14:paraId="3DDE9721"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14 </w:t>
      </w:r>
      <w:r w:rsidRPr="009F4200">
        <w:rPr>
          <w:rFonts w:ascii="Calibri" w:eastAsia="Calibri" w:hAnsi="Calibri" w:cs="Times New Roman"/>
        </w:rPr>
        <w:tab/>
        <w:t xml:space="preserve">Xu Y, Kong S, Cheung WY, et al. Developing case-finding algorithms for second events of oropharyngeal cancer using administrative data: A population-based validation study. Head Neck 2019;41:2291–8. </w:t>
      </w:r>
      <w:hyperlink r:id="rId18" w:history="1">
        <w:r w:rsidRPr="004733D9">
          <w:rPr>
            <w:rStyle w:val="Hyperlink"/>
            <w:rFonts w:ascii="Calibri" w:eastAsia="Calibri" w:hAnsi="Calibri" w:cs="Times New Roman"/>
          </w:rPr>
          <w:t>https://doi.org/10.1002/hed.25682</w:t>
        </w:r>
      </w:hyperlink>
      <w:r>
        <w:rPr>
          <w:rFonts w:ascii="Calibri" w:eastAsia="Calibri" w:hAnsi="Calibri" w:cs="Times New Roman"/>
        </w:rPr>
        <w:t xml:space="preserve"> </w:t>
      </w:r>
    </w:p>
    <w:p w14:paraId="1F58A3D5"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15 </w:t>
      </w:r>
      <w:r w:rsidRPr="009F4200">
        <w:rPr>
          <w:rFonts w:ascii="Calibri" w:eastAsia="Calibri" w:hAnsi="Calibri" w:cs="Times New Roman"/>
        </w:rPr>
        <w:tab/>
        <w:t xml:space="preserve">Karadaghy OA, Shew M, New J, et al. Development and Assessment of a Machine Learning Model to Help Predict Survival Among Patients With Oral Squamous Cell Carcinoma. JAMA Otolaryngol Head Neck Surg 2019;145(12):1115-1120. </w:t>
      </w:r>
      <w:hyperlink r:id="rId19" w:history="1">
        <w:r w:rsidRPr="004733D9">
          <w:rPr>
            <w:rStyle w:val="Hyperlink"/>
            <w:rFonts w:ascii="Calibri" w:eastAsia="Calibri" w:hAnsi="Calibri" w:cs="Times New Roman"/>
          </w:rPr>
          <w:t>https://doi.org/10.1001/jamaoto.2019.0981</w:t>
        </w:r>
      </w:hyperlink>
      <w:r>
        <w:rPr>
          <w:rFonts w:ascii="Calibri" w:eastAsia="Calibri" w:hAnsi="Calibri" w:cs="Times New Roman"/>
        </w:rPr>
        <w:t xml:space="preserve"> </w:t>
      </w:r>
    </w:p>
    <w:p w14:paraId="2691E9D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16 </w:t>
      </w:r>
      <w:r w:rsidRPr="009F4200">
        <w:rPr>
          <w:rFonts w:ascii="Calibri" w:eastAsia="Calibri" w:hAnsi="Calibri" w:cs="Times New Roman"/>
        </w:rPr>
        <w:tab/>
        <w:t xml:space="preserve">Xu Y, Kong S, Cheung WY, et al. Development and validation of case-finding algorithms for recurrence of breast cancer using routinely collected administrative data. BMC Cancer 2019;19:210. </w:t>
      </w:r>
      <w:hyperlink r:id="rId20" w:history="1">
        <w:r w:rsidRPr="004733D9">
          <w:rPr>
            <w:rStyle w:val="Hyperlink"/>
            <w:rFonts w:ascii="Calibri" w:eastAsia="Calibri" w:hAnsi="Calibri" w:cs="Times New Roman"/>
          </w:rPr>
          <w:t>https://doi.org/10.1186/s12885-019-5432-8</w:t>
        </w:r>
      </w:hyperlink>
      <w:r>
        <w:rPr>
          <w:rFonts w:ascii="Calibri" w:eastAsia="Calibri" w:hAnsi="Calibri" w:cs="Times New Roman"/>
        </w:rPr>
        <w:t xml:space="preserve"> </w:t>
      </w:r>
    </w:p>
    <w:p w14:paraId="46C581B3"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17 </w:t>
      </w:r>
      <w:r w:rsidRPr="009F4200">
        <w:rPr>
          <w:rFonts w:ascii="Calibri" w:eastAsia="Calibri" w:hAnsi="Calibri" w:cs="Times New Roman"/>
        </w:rPr>
        <w:tab/>
        <w:t xml:space="preserve">Velazquez N, Press B, Renson A, et al. Development of a Novel Prognostic Risk Score for Predicting Complications of Penectomy in the Surgical Management of Penile Cancer. Clin Genitourin Cancer 2019;17:e123–9. </w:t>
      </w:r>
      <w:hyperlink r:id="rId21" w:history="1">
        <w:r w:rsidRPr="004733D9">
          <w:rPr>
            <w:rStyle w:val="Hyperlink"/>
            <w:rFonts w:ascii="Calibri" w:eastAsia="Calibri" w:hAnsi="Calibri" w:cs="Times New Roman"/>
          </w:rPr>
          <w:t>https://doi.org/10.1016/j.clgc.2018.09.018</w:t>
        </w:r>
      </w:hyperlink>
      <w:r>
        <w:rPr>
          <w:rFonts w:ascii="Calibri" w:eastAsia="Calibri" w:hAnsi="Calibri" w:cs="Times New Roman"/>
        </w:rPr>
        <w:t xml:space="preserve"> </w:t>
      </w:r>
    </w:p>
    <w:p w14:paraId="220D95A2"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18 </w:t>
      </w:r>
      <w:r w:rsidRPr="009F4200">
        <w:rPr>
          <w:rFonts w:ascii="Calibri" w:eastAsia="Calibri" w:hAnsi="Calibri" w:cs="Times New Roman"/>
        </w:rPr>
        <w:tab/>
        <w:t xml:space="preserve">Wang Y-H, Nguyen P-A, Islam MM, et al. Development of Deep Learning Algorithm for Detection of Colorectal Cancer in EHR Data. Stud Health Technol Inform 2019;264:438–41. </w:t>
      </w:r>
      <w:hyperlink r:id="rId22" w:history="1">
        <w:r w:rsidRPr="004733D9">
          <w:rPr>
            <w:rStyle w:val="Hyperlink"/>
            <w:rFonts w:ascii="Calibri" w:eastAsia="Calibri" w:hAnsi="Calibri" w:cs="Times New Roman"/>
          </w:rPr>
          <w:t>https://doi.org/10.3233/SHTI190259</w:t>
        </w:r>
      </w:hyperlink>
      <w:r>
        <w:rPr>
          <w:rFonts w:ascii="Calibri" w:eastAsia="Calibri" w:hAnsi="Calibri" w:cs="Times New Roman"/>
        </w:rPr>
        <w:t xml:space="preserve"> </w:t>
      </w:r>
    </w:p>
    <w:p w14:paraId="7E322703"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19 </w:t>
      </w:r>
      <w:r w:rsidRPr="009F4200">
        <w:rPr>
          <w:rFonts w:ascii="Calibri" w:eastAsia="Calibri" w:hAnsi="Calibri" w:cs="Times New Roman"/>
        </w:rPr>
        <w:tab/>
        <w:t xml:space="preserve">Karhade AV, Thio QCBS, Ogink PT, et al. Development of Machine Learning Algorithms for Prediction of 30-Day Mortality After Surgery for Spinal Metastasis. Neurosurgery 2019;85:E83–91. </w:t>
      </w:r>
      <w:hyperlink r:id="rId23" w:history="1">
        <w:r w:rsidRPr="004733D9">
          <w:rPr>
            <w:rStyle w:val="Hyperlink"/>
            <w:rFonts w:ascii="Calibri" w:eastAsia="Calibri" w:hAnsi="Calibri" w:cs="Times New Roman"/>
          </w:rPr>
          <w:t>https://doi.org/10.1093/neuros/nyy469</w:t>
        </w:r>
      </w:hyperlink>
      <w:r>
        <w:rPr>
          <w:rFonts w:ascii="Calibri" w:eastAsia="Calibri" w:hAnsi="Calibri" w:cs="Times New Roman"/>
        </w:rPr>
        <w:t xml:space="preserve"> </w:t>
      </w:r>
    </w:p>
    <w:p w14:paraId="650FA303"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20 </w:t>
      </w:r>
      <w:r w:rsidRPr="009F4200">
        <w:rPr>
          <w:rFonts w:ascii="Calibri" w:eastAsia="Calibri" w:hAnsi="Calibri" w:cs="Times New Roman"/>
        </w:rPr>
        <w:tab/>
        <w:t xml:space="preserve">Lemée J-M, Corniola MV, Da Broi M, et al. Extent of Resection in Meningioma: Predictive Factors and Clinical Implications. Sci Rep 2019;9:5944. </w:t>
      </w:r>
      <w:hyperlink r:id="rId24" w:history="1">
        <w:r w:rsidRPr="004733D9">
          <w:rPr>
            <w:rStyle w:val="Hyperlink"/>
            <w:rFonts w:ascii="Calibri" w:eastAsia="Calibri" w:hAnsi="Calibri" w:cs="Times New Roman"/>
          </w:rPr>
          <w:t>https://doi.org/10.1038/s41598-019-42451-z</w:t>
        </w:r>
      </w:hyperlink>
      <w:r>
        <w:rPr>
          <w:rFonts w:ascii="Calibri" w:eastAsia="Calibri" w:hAnsi="Calibri" w:cs="Times New Roman"/>
        </w:rPr>
        <w:t xml:space="preserve"> </w:t>
      </w:r>
    </w:p>
    <w:p w14:paraId="23ED8CEC"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21 </w:t>
      </w:r>
      <w:r w:rsidRPr="009F4200">
        <w:rPr>
          <w:rFonts w:ascii="Calibri" w:eastAsia="Calibri" w:hAnsi="Calibri" w:cs="Times New Roman"/>
        </w:rPr>
        <w:tab/>
        <w:t xml:space="preserve">Sasani K, Catanese HN, Ghods A, et al. Gait speed and survival of older surgical patient with cancer: Prediction after machine learning. J Geriatr Oncol 2019;10:120–5. </w:t>
      </w:r>
      <w:hyperlink r:id="rId25" w:history="1">
        <w:r w:rsidRPr="004733D9">
          <w:rPr>
            <w:rStyle w:val="Hyperlink"/>
            <w:rFonts w:ascii="Calibri" w:eastAsia="Calibri" w:hAnsi="Calibri" w:cs="Times New Roman"/>
          </w:rPr>
          <w:t>https://doi.org/10.1016/j.jgo.2018.06.012</w:t>
        </w:r>
      </w:hyperlink>
      <w:r>
        <w:rPr>
          <w:rFonts w:ascii="Calibri" w:eastAsia="Calibri" w:hAnsi="Calibri" w:cs="Times New Roman"/>
        </w:rPr>
        <w:t xml:space="preserve"> </w:t>
      </w:r>
    </w:p>
    <w:p w14:paraId="6B44039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22 </w:t>
      </w:r>
      <w:r w:rsidRPr="009F4200">
        <w:rPr>
          <w:rFonts w:ascii="Calibri" w:eastAsia="Calibri" w:hAnsi="Calibri" w:cs="Times New Roman"/>
        </w:rPr>
        <w:tab/>
        <w:t xml:space="preserve">van Niftrik CHB, van der Wouden F, Staartjes VE, et al. Machine Learning Algorithm Identifies Patients at High Risk for Early Complications After Intracranial Tumor Surgery: Registry-Based Cohort Study. Neurosurgery 2019;85:E756–64. </w:t>
      </w:r>
      <w:hyperlink r:id="rId26" w:history="1">
        <w:r w:rsidRPr="004733D9">
          <w:rPr>
            <w:rStyle w:val="Hyperlink"/>
            <w:rFonts w:ascii="Calibri" w:eastAsia="Calibri" w:hAnsi="Calibri" w:cs="Times New Roman"/>
          </w:rPr>
          <w:t>https://doi.org/10.1093/neuros/nyz145</w:t>
        </w:r>
      </w:hyperlink>
      <w:r>
        <w:rPr>
          <w:rFonts w:ascii="Calibri" w:eastAsia="Calibri" w:hAnsi="Calibri" w:cs="Times New Roman"/>
        </w:rPr>
        <w:t xml:space="preserve"> </w:t>
      </w:r>
    </w:p>
    <w:p w14:paraId="2B4B7B9F"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23 </w:t>
      </w:r>
      <w:r w:rsidRPr="009F4200">
        <w:rPr>
          <w:rFonts w:ascii="Calibri" w:eastAsia="Calibri" w:hAnsi="Calibri" w:cs="Times New Roman"/>
        </w:rPr>
        <w:tab/>
        <w:t xml:space="preserve">Tighe D, Lewis-Morris T, Freitas A. Machine learning methods applied to audit of surgical outcomes after treatment for cancer of the head and neck. Br J Oral and Maxillofac Surg 2019;57:771–7. </w:t>
      </w:r>
      <w:hyperlink r:id="rId27" w:history="1">
        <w:r w:rsidRPr="004733D9">
          <w:rPr>
            <w:rStyle w:val="Hyperlink"/>
            <w:rFonts w:ascii="Calibri" w:eastAsia="Calibri" w:hAnsi="Calibri" w:cs="Times New Roman"/>
          </w:rPr>
          <w:t>https://doi.org/10.1016/j.bjoms.2019.05.026</w:t>
        </w:r>
      </w:hyperlink>
      <w:r>
        <w:rPr>
          <w:rFonts w:ascii="Calibri" w:eastAsia="Calibri" w:hAnsi="Calibri" w:cs="Times New Roman"/>
        </w:rPr>
        <w:t xml:space="preserve"> </w:t>
      </w:r>
    </w:p>
    <w:p w14:paraId="09D257A9"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24 </w:t>
      </w:r>
      <w:r w:rsidRPr="009F4200">
        <w:rPr>
          <w:rFonts w:ascii="Calibri" w:eastAsia="Calibri" w:hAnsi="Calibri" w:cs="Times New Roman"/>
        </w:rPr>
        <w:tab/>
        <w:t xml:space="preserve">Shew M, New J, Bur AM. Machine Learning to Predict Delays in Adjuvant Radiation following Surgery for Head and Neck Cancer. Otolaryngol Head Neck Surg 2019;160:1058–64. </w:t>
      </w:r>
      <w:hyperlink r:id="rId28" w:history="1">
        <w:r w:rsidRPr="004733D9">
          <w:rPr>
            <w:rStyle w:val="Hyperlink"/>
            <w:rFonts w:ascii="Calibri" w:eastAsia="Calibri" w:hAnsi="Calibri" w:cs="Times New Roman"/>
          </w:rPr>
          <w:t>https://doi.org/10.1177/0194599818823200</w:t>
        </w:r>
      </w:hyperlink>
      <w:r>
        <w:rPr>
          <w:rFonts w:ascii="Calibri" w:eastAsia="Calibri" w:hAnsi="Calibri" w:cs="Times New Roman"/>
        </w:rPr>
        <w:t xml:space="preserve"> </w:t>
      </w:r>
    </w:p>
    <w:p w14:paraId="65799A27"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25 </w:t>
      </w:r>
      <w:r w:rsidRPr="009F4200">
        <w:rPr>
          <w:rFonts w:ascii="Calibri" w:eastAsia="Calibri" w:hAnsi="Calibri" w:cs="Times New Roman"/>
        </w:rPr>
        <w:tab/>
        <w:t xml:space="preserve">Tian Z, Yen A, Zhou Z, et al. A machine-learning–based prediction model of fistula formation after interstitial brachytherapy for locally advanced gynecological malignancies. Brachytherapy 2019;18:530–8. </w:t>
      </w:r>
      <w:hyperlink r:id="rId29" w:history="1">
        <w:r w:rsidRPr="004733D9">
          <w:rPr>
            <w:rStyle w:val="Hyperlink"/>
            <w:rFonts w:ascii="Calibri" w:eastAsia="Calibri" w:hAnsi="Calibri" w:cs="Times New Roman"/>
          </w:rPr>
          <w:t>https://doi.org/10.1016/j.brachy.2019.04.004</w:t>
        </w:r>
      </w:hyperlink>
      <w:r>
        <w:rPr>
          <w:rFonts w:ascii="Calibri" w:eastAsia="Calibri" w:hAnsi="Calibri" w:cs="Times New Roman"/>
        </w:rPr>
        <w:t xml:space="preserve"> </w:t>
      </w:r>
    </w:p>
    <w:p w14:paraId="051BA702"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26 </w:t>
      </w:r>
      <w:r w:rsidRPr="009F4200">
        <w:rPr>
          <w:rFonts w:ascii="Calibri" w:eastAsia="Calibri" w:hAnsi="Calibri" w:cs="Times New Roman"/>
        </w:rPr>
        <w:tab/>
        <w:t xml:space="preserve">Günakan E, Atan S, Haberal AN, et al. A novel prediction method for lymph node involvement in endometrial cancer: machine learning. Int J Gynecol Cancer 2019;29. </w:t>
      </w:r>
      <w:hyperlink r:id="rId30" w:history="1">
        <w:r w:rsidRPr="004733D9">
          <w:rPr>
            <w:rStyle w:val="Hyperlink"/>
            <w:rFonts w:ascii="Calibri" w:eastAsia="Calibri" w:hAnsi="Calibri" w:cs="Times New Roman"/>
          </w:rPr>
          <w:t>https://doi.org/10.1136/ijgc-2018-000033</w:t>
        </w:r>
      </w:hyperlink>
      <w:r>
        <w:rPr>
          <w:rFonts w:ascii="Calibri" w:eastAsia="Calibri" w:hAnsi="Calibri" w:cs="Times New Roman"/>
        </w:rPr>
        <w:t xml:space="preserve"> </w:t>
      </w:r>
    </w:p>
    <w:p w14:paraId="10E2AD3B"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27 </w:t>
      </w:r>
      <w:r w:rsidRPr="009F4200">
        <w:rPr>
          <w:rFonts w:ascii="Calibri" w:eastAsia="Calibri" w:hAnsi="Calibri" w:cs="Times New Roman"/>
        </w:rPr>
        <w:tab/>
        <w:t xml:space="preserve">Corniola MV, Lemée J-M, Da Broi M, et al. Posterior fossa meningiomas: perioperative predictors of extent of resection, overall survival and progression-free survival. Acta Neurochir (Wien) 2019;161:1003–11. </w:t>
      </w:r>
      <w:hyperlink r:id="rId31" w:history="1">
        <w:r w:rsidRPr="004733D9">
          <w:rPr>
            <w:rStyle w:val="Hyperlink"/>
            <w:rFonts w:ascii="Calibri" w:eastAsia="Calibri" w:hAnsi="Calibri" w:cs="Times New Roman"/>
          </w:rPr>
          <w:t>https://doi.org/10.1007/s00701-019-03862-z</w:t>
        </w:r>
      </w:hyperlink>
      <w:r>
        <w:rPr>
          <w:rFonts w:ascii="Calibri" w:eastAsia="Calibri" w:hAnsi="Calibri" w:cs="Times New Roman"/>
        </w:rPr>
        <w:t xml:space="preserve"> </w:t>
      </w:r>
    </w:p>
    <w:p w14:paraId="631C5812"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28 </w:t>
      </w:r>
      <w:r w:rsidRPr="009F4200">
        <w:rPr>
          <w:rFonts w:ascii="Calibri" w:eastAsia="Calibri" w:hAnsi="Calibri" w:cs="Times New Roman"/>
        </w:rPr>
        <w:tab/>
        <w:t xml:space="preserve">Karhade AV, Thio QCBS, Ogink PT, et al. Predicting 90-Day and 1-Year Mortality in Spinal Metastatic Disease: Development and Internal Validation. Neurosurgery 2019;85:E671–81. </w:t>
      </w:r>
      <w:hyperlink r:id="rId32" w:history="1">
        <w:r w:rsidRPr="004733D9">
          <w:rPr>
            <w:rStyle w:val="Hyperlink"/>
            <w:rFonts w:ascii="Calibri" w:eastAsia="Calibri" w:hAnsi="Calibri" w:cs="Times New Roman"/>
          </w:rPr>
          <w:t>https://doi.org/10.1093/neuros/nyz070</w:t>
        </w:r>
      </w:hyperlink>
      <w:r>
        <w:rPr>
          <w:rFonts w:ascii="Calibri" w:eastAsia="Calibri" w:hAnsi="Calibri" w:cs="Times New Roman"/>
        </w:rPr>
        <w:t xml:space="preserve"> </w:t>
      </w:r>
    </w:p>
    <w:p w14:paraId="516B87C0"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29 </w:t>
      </w:r>
      <w:r w:rsidRPr="009F4200">
        <w:rPr>
          <w:rFonts w:ascii="Calibri" w:eastAsia="Calibri" w:hAnsi="Calibri" w:cs="Times New Roman"/>
        </w:rPr>
        <w:tab/>
        <w:t xml:space="preserve">Tseng Y-J, Huang C-E, Wen C-N, et al. Predicting breast cancer metastasis by using serum biomarkers and clinicopathological data with machine learning technologies. Int J Med Inform 2019;128:79–86. </w:t>
      </w:r>
      <w:hyperlink r:id="rId33" w:history="1">
        <w:r w:rsidRPr="004733D9">
          <w:rPr>
            <w:rStyle w:val="Hyperlink"/>
            <w:rFonts w:ascii="Calibri" w:eastAsia="Calibri" w:hAnsi="Calibri" w:cs="Times New Roman"/>
          </w:rPr>
          <w:t>https://doi.org/10.1016/j.ijmedinf.2019.05.003</w:t>
        </w:r>
      </w:hyperlink>
      <w:r>
        <w:rPr>
          <w:rFonts w:ascii="Calibri" w:eastAsia="Calibri" w:hAnsi="Calibri" w:cs="Times New Roman"/>
        </w:rPr>
        <w:t xml:space="preserve"> </w:t>
      </w:r>
    </w:p>
    <w:p w14:paraId="2543A918"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30 </w:t>
      </w:r>
      <w:r w:rsidRPr="009F4200">
        <w:rPr>
          <w:rFonts w:ascii="Calibri" w:eastAsia="Calibri" w:hAnsi="Calibri" w:cs="Times New Roman"/>
        </w:rPr>
        <w:tab/>
        <w:t xml:space="preserve">Zheng B, Lin J, Li Y, et al. Predictors of the therapeutic effect of corticosteroids on radiation-induced optic neuropathy following nasopharyngeal carcinoma. Support Care Cancer 2019;27:4213–9. </w:t>
      </w:r>
      <w:hyperlink r:id="rId34" w:history="1">
        <w:r w:rsidRPr="004733D9">
          <w:rPr>
            <w:rStyle w:val="Hyperlink"/>
            <w:rFonts w:ascii="Calibri" w:eastAsia="Calibri" w:hAnsi="Calibri" w:cs="Times New Roman"/>
          </w:rPr>
          <w:t>https://doi.org/10.1007/s00520-019-04699-z</w:t>
        </w:r>
      </w:hyperlink>
      <w:r>
        <w:rPr>
          <w:rFonts w:ascii="Calibri" w:eastAsia="Calibri" w:hAnsi="Calibri" w:cs="Times New Roman"/>
        </w:rPr>
        <w:t xml:space="preserve"> </w:t>
      </w:r>
    </w:p>
    <w:p w14:paraId="2FBAB71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31 </w:t>
      </w:r>
      <w:r w:rsidRPr="009F4200">
        <w:rPr>
          <w:rFonts w:ascii="Calibri" w:eastAsia="Calibri" w:hAnsi="Calibri" w:cs="Times New Roman"/>
        </w:rPr>
        <w:tab/>
        <w:t xml:space="preserve">Beachler DC, de Luise C, Yin R, et al. Predictive model algorithms identifying early and advanced stage ER+/HER2- breast cancer in claims data. Pharmacoepidemiol Drug Saf 2019;28:171–8. </w:t>
      </w:r>
      <w:hyperlink r:id="rId35" w:history="1">
        <w:r w:rsidRPr="004733D9">
          <w:rPr>
            <w:rStyle w:val="Hyperlink"/>
            <w:rFonts w:ascii="Calibri" w:eastAsia="Calibri" w:hAnsi="Calibri" w:cs="Times New Roman"/>
          </w:rPr>
          <w:t>https://doi.org/10.1002/pds.4681</w:t>
        </w:r>
      </w:hyperlink>
      <w:r>
        <w:rPr>
          <w:rFonts w:ascii="Calibri" w:eastAsia="Calibri" w:hAnsi="Calibri" w:cs="Times New Roman"/>
        </w:rPr>
        <w:t xml:space="preserve"> </w:t>
      </w:r>
    </w:p>
    <w:p w14:paraId="290FB29F"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32 </w:t>
      </w:r>
      <w:r w:rsidRPr="009F4200">
        <w:rPr>
          <w:rFonts w:ascii="Calibri" w:eastAsia="Calibri" w:hAnsi="Calibri" w:cs="Times New Roman"/>
        </w:rPr>
        <w:tab/>
        <w:t xml:space="preserve">Greene MZ, Hughes TL, Hanlon A, et al. Predicting cervical cancer screening among sexual minority women using Classification and Regression Tree analysis. Prev Med Rep 2019;13:153–9. </w:t>
      </w:r>
      <w:hyperlink r:id="rId36" w:history="1">
        <w:r w:rsidRPr="004733D9">
          <w:rPr>
            <w:rStyle w:val="Hyperlink"/>
            <w:rFonts w:ascii="Calibri" w:eastAsia="Calibri" w:hAnsi="Calibri" w:cs="Times New Roman"/>
          </w:rPr>
          <w:t>https://doi.org/10.1016/j.pmedr.2018.11.007</w:t>
        </w:r>
      </w:hyperlink>
      <w:r>
        <w:rPr>
          <w:rFonts w:ascii="Calibri" w:eastAsia="Calibri" w:hAnsi="Calibri" w:cs="Times New Roman"/>
        </w:rPr>
        <w:t xml:space="preserve"> </w:t>
      </w:r>
    </w:p>
    <w:p w14:paraId="5A44447E"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33 </w:t>
      </w:r>
      <w:r w:rsidRPr="009F4200">
        <w:rPr>
          <w:rFonts w:ascii="Calibri" w:eastAsia="Calibri" w:hAnsi="Calibri" w:cs="Times New Roman"/>
        </w:rPr>
        <w:tab/>
        <w:t xml:space="preserve">Sim J-A, Yun YH. Predicting Disease-Free Lung Cancer Survival Using Patient Reported Outcome (PRO) Measurements with Comparisons of Five Machine Learning Techniques (MLT). Stud Health Technol Inform 2019;264:1588–9. </w:t>
      </w:r>
      <w:hyperlink r:id="rId37" w:history="1">
        <w:r w:rsidRPr="004733D9">
          <w:rPr>
            <w:rStyle w:val="Hyperlink"/>
            <w:rFonts w:ascii="Calibri" w:eastAsia="Calibri" w:hAnsi="Calibri" w:cs="Times New Roman"/>
          </w:rPr>
          <w:t>https://doi.org/10.3233/SHTI190548</w:t>
        </w:r>
      </w:hyperlink>
      <w:r>
        <w:rPr>
          <w:rFonts w:ascii="Calibri" w:eastAsia="Calibri" w:hAnsi="Calibri" w:cs="Times New Roman"/>
        </w:rPr>
        <w:t xml:space="preserve"> </w:t>
      </w:r>
    </w:p>
    <w:p w14:paraId="08048199"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34 </w:t>
      </w:r>
      <w:r w:rsidRPr="009F4200">
        <w:rPr>
          <w:rFonts w:ascii="Calibri" w:eastAsia="Calibri" w:hAnsi="Calibri" w:cs="Times New Roman"/>
        </w:rPr>
        <w:tab/>
        <w:t xml:space="preserve">Obrzut B, Kusy M, Semczuk A, et al. Prediction of 10-year Overall Survival in Patients with Operable Cervical Cancer using a Probabilistic Neural Network. J Cancer 2019;10:4189–95. </w:t>
      </w:r>
      <w:hyperlink r:id="rId38" w:history="1">
        <w:r w:rsidRPr="004733D9">
          <w:rPr>
            <w:rStyle w:val="Hyperlink"/>
            <w:rFonts w:ascii="Calibri" w:eastAsia="Calibri" w:hAnsi="Calibri" w:cs="Times New Roman"/>
          </w:rPr>
          <w:t>https://doi.org/10.7150/jca.33945</w:t>
        </w:r>
      </w:hyperlink>
      <w:r>
        <w:rPr>
          <w:rFonts w:ascii="Calibri" w:eastAsia="Calibri" w:hAnsi="Calibri" w:cs="Times New Roman"/>
        </w:rPr>
        <w:t xml:space="preserve"> </w:t>
      </w:r>
    </w:p>
    <w:p w14:paraId="2FEC8CAC"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35 </w:t>
      </w:r>
      <w:r w:rsidRPr="009F4200">
        <w:rPr>
          <w:rFonts w:ascii="Calibri" w:eastAsia="Calibri" w:hAnsi="Calibri" w:cs="Times New Roman"/>
        </w:rPr>
        <w:tab/>
        <w:t xml:space="preserve">Luna JM, Chao H-H, Diffenderfer ES, et al. Predicting radiation pneumonitis in locally advanced stage II-III non-small cell lung cancer using machine learning. Radiother Oncol 2019;133:106–12. </w:t>
      </w:r>
      <w:hyperlink r:id="rId39" w:history="1">
        <w:r w:rsidRPr="004733D9">
          <w:rPr>
            <w:rStyle w:val="Hyperlink"/>
            <w:rFonts w:ascii="Calibri" w:eastAsia="Calibri" w:hAnsi="Calibri" w:cs="Times New Roman"/>
          </w:rPr>
          <w:t>https://doi.org/10.1016/j.radonc.2019.01.003</w:t>
        </w:r>
      </w:hyperlink>
      <w:r>
        <w:rPr>
          <w:rFonts w:ascii="Calibri" w:eastAsia="Calibri" w:hAnsi="Calibri" w:cs="Times New Roman"/>
        </w:rPr>
        <w:t xml:space="preserve"> </w:t>
      </w:r>
    </w:p>
    <w:p w14:paraId="20DD5DE8"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36 </w:t>
      </w:r>
      <w:r w:rsidRPr="009F4200">
        <w:rPr>
          <w:rFonts w:ascii="Calibri" w:eastAsia="Calibri" w:hAnsi="Calibri" w:cs="Times New Roman"/>
        </w:rPr>
        <w:tab/>
        <w:t xml:space="preserve">Ryu SM, Lee S-H, Kim E-S, et al. Predicting Survival of Patients with Spinal Ependymoma Using Machine Learning Algorithms with the SEER Database. World Neurosurg 2018; S1878-8750(18)32914-0. </w:t>
      </w:r>
      <w:hyperlink r:id="rId40" w:history="1">
        <w:r w:rsidRPr="004733D9">
          <w:rPr>
            <w:rStyle w:val="Hyperlink"/>
            <w:rFonts w:ascii="Calibri" w:eastAsia="Calibri" w:hAnsi="Calibri" w:cs="Times New Roman"/>
          </w:rPr>
          <w:t>https://doi.org/10.1016/j.wneu.2018.12.091</w:t>
        </w:r>
      </w:hyperlink>
      <w:r>
        <w:rPr>
          <w:rFonts w:ascii="Calibri" w:eastAsia="Calibri" w:hAnsi="Calibri" w:cs="Times New Roman"/>
        </w:rPr>
        <w:t xml:space="preserve"> </w:t>
      </w:r>
    </w:p>
    <w:p w14:paraId="67684254"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37 </w:t>
      </w:r>
      <w:r w:rsidRPr="009F4200">
        <w:rPr>
          <w:rFonts w:ascii="Calibri" w:eastAsia="Calibri" w:hAnsi="Calibri" w:cs="Times New Roman"/>
        </w:rPr>
        <w:tab/>
        <w:t xml:space="preserve">Taninaga J, Nishiyama Y, Fujibayashi K, et al. Prediction of future gastric cancer risk using a machine learning algorithm and comprehensive medical check-up data: A case-control study. Sci Rep 2019;9:12384. </w:t>
      </w:r>
      <w:hyperlink r:id="rId41" w:history="1">
        <w:r w:rsidRPr="004733D9">
          <w:rPr>
            <w:rStyle w:val="Hyperlink"/>
            <w:rFonts w:ascii="Calibri" w:eastAsia="Calibri" w:hAnsi="Calibri" w:cs="Times New Roman"/>
          </w:rPr>
          <w:t>https://doi.org/10.1038/s41598-019-48769-y</w:t>
        </w:r>
      </w:hyperlink>
      <w:r>
        <w:rPr>
          <w:rFonts w:ascii="Calibri" w:eastAsia="Calibri" w:hAnsi="Calibri" w:cs="Times New Roman"/>
        </w:rPr>
        <w:t xml:space="preserve"> </w:t>
      </w:r>
    </w:p>
    <w:p w14:paraId="25C5816F"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38 </w:t>
      </w:r>
      <w:r w:rsidRPr="009F4200">
        <w:rPr>
          <w:rFonts w:ascii="Calibri" w:eastAsia="Calibri" w:hAnsi="Calibri" w:cs="Times New Roman"/>
        </w:rPr>
        <w:tab/>
        <w:t xml:space="preserve">Oyaga-Iriarte E, Insausti A, Sayar O, et al. Prediction of irinotecan toxicity in metastatic colorectal cancer patients based on machine learning models with pharmacokinetic parameters. J Pharmacol Sci 2019;140:20–5. </w:t>
      </w:r>
      <w:hyperlink r:id="rId42" w:history="1">
        <w:r w:rsidRPr="004733D9">
          <w:rPr>
            <w:rStyle w:val="Hyperlink"/>
            <w:rFonts w:ascii="Calibri" w:eastAsia="Calibri" w:hAnsi="Calibri" w:cs="Times New Roman"/>
          </w:rPr>
          <w:t>https://doi.org/10.1016/j.jphs.2019.03.004</w:t>
        </w:r>
      </w:hyperlink>
      <w:r>
        <w:rPr>
          <w:rFonts w:ascii="Calibri" w:eastAsia="Calibri" w:hAnsi="Calibri" w:cs="Times New Roman"/>
        </w:rPr>
        <w:t xml:space="preserve"> </w:t>
      </w:r>
    </w:p>
    <w:p w14:paraId="25034EE6"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39 </w:t>
      </w:r>
      <w:r w:rsidRPr="009F4200">
        <w:rPr>
          <w:rFonts w:ascii="Calibri" w:eastAsia="Calibri" w:hAnsi="Calibri" w:cs="Times New Roman"/>
        </w:rPr>
        <w:tab/>
        <w:t xml:space="preserve">Khalaf MH, Sundaram V, AbdelRazek Mohammed MA, et al. A Predictive Model for Postembolization Syndrome after Transarterial Hepatic Chemoembolization of Hepatocellular Carcinoma. Radiology 2019;290:254–61. </w:t>
      </w:r>
      <w:hyperlink r:id="rId43" w:history="1">
        <w:r w:rsidRPr="004733D9">
          <w:rPr>
            <w:rStyle w:val="Hyperlink"/>
            <w:rFonts w:ascii="Calibri" w:eastAsia="Calibri" w:hAnsi="Calibri" w:cs="Times New Roman"/>
          </w:rPr>
          <w:t>https://doi.org/10.1148/radiol.2018180257</w:t>
        </w:r>
      </w:hyperlink>
      <w:r>
        <w:rPr>
          <w:rFonts w:ascii="Calibri" w:eastAsia="Calibri" w:hAnsi="Calibri" w:cs="Times New Roman"/>
        </w:rPr>
        <w:t xml:space="preserve"> </w:t>
      </w:r>
    </w:p>
    <w:p w14:paraId="0AF6A3A7"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40 </w:t>
      </w:r>
      <w:r w:rsidRPr="009F4200">
        <w:rPr>
          <w:rFonts w:ascii="Calibri" w:eastAsia="Calibri" w:hAnsi="Calibri" w:cs="Times New Roman"/>
        </w:rPr>
        <w:tab/>
        <w:t xml:space="preserve">Vagnildhaug OM, Brunelli C, Hjermstad MJ, et al. A prospective study examining cachexia predictors in patients with incurable cancer. BMC Palliat Care 2019;18:46. </w:t>
      </w:r>
      <w:hyperlink r:id="rId44" w:history="1">
        <w:r w:rsidRPr="004733D9">
          <w:rPr>
            <w:rStyle w:val="Hyperlink"/>
            <w:rFonts w:ascii="Calibri" w:eastAsia="Calibri" w:hAnsi="Calibri" w:cs="Times New Roman"/>
          </w:rPr>
          <w:t>https://doi.org/10.1186/s12904-019-0429-2</w:t>
        </w:r>
      </w:hyperlink>
      <w:r>
        <w:rPr>
          <w:rFonts w:ascii="Calibri" w:eastAsia="Calibri" w:hAnsi="Calibri" w:cs="Times New Roman"/>
        </w:rPr>
        <w:t xml:space="preserve"> </w:t>
      </w:r>
    </w:p>
    <w:p w14:paraId="32F0E5D5"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41 </w:t>
      </w:r>
      <w:r w:rsidRPr="009F4200">
        <w:rPr>
          <w:rFonts w:ascii="Calibri" w:eastAsia="Calibri" w:hAnsi="Calibri" w:cs="Times New Roman"/>
        </w:rPr>
        <w:tab/>
        <w:t xml:space="preserve">Thapa S, Fischback LA, Delongchamp R, et al. Using Machine Learning to Predict Progression in the Gastric Precancerous Process in a Population from a Developing Country Who Underwent a Gastroscopy for Dyspeptic Symptoms. Gastroenterol Res Pract 2019:8321942. </w:t>
      </w:r>
      <w:hyperlink r:id="rId45" w:history="1">
        <w:r w:rsidRPr="004733D9">
          <w:rPr>
            <w:rStyle w:val="Hyperlink"/>
            <w:rFonts w:ascii="Calibri" w:eastAsia="Calibri" w:hAnsi="Calibri" w:cs="Times New Roman"/>
          </w:rPr>
          <w:t>https://doi.org/10.1155/2019/8321942</w:t>
        </w:r>
      </w:hyperlink>
      <w:r>
        <w:rPr>
          <w:rFonts w:ascii="Calibri" w:eastAsia="Calibri" w:hAnsi="Calibri" w:cs="Times New Roman"/>
        </w:rPr>
        <w:t xml:space="preserve"> </w:t>
      </w:r>
    </w:p>
    <w:p w14:paraId="5EADDDA4"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42 </w:t>
      </w:r>
      <w:r w:rsidRPr="009F4200">
        <w:rPr>
          <w:rFonts w:ascii="Calibri" w:eastAsia="Calibri" w:hAnsi="Calibri" w:cs="Times New Roman"/>
        </w:rPr>
        <w:tab/>
        <w:t xml:space="preserve">Yang X-G, Wang F, Feng J-T, et al. Recursive Partitioning Analysis (RPA) of Prognostic Factors for Overall Survival in Patients with Spinal Metastasis: A New System for Stratified Treatment. World Neurosurg 2019;127:e124–31. </w:t>
      </w:r>
      <w:hyperlink r:id="rId46" w:history="1">
        <w:r w:rsidRPr="004733D9">
          <w:rPr>
            <w:rStyle w:val="Hyperlink"/>
            <w:rFonts w:ascii="Calibri" w:eastAsia="Calibri" w:hAnsi="Calibri" w:cs="Times New Roman"/>
          </w:rPr>
          <w:t>https://doi.org/10.1016/j.wneu.2019.02.183</w:t>
        </w:r>
      </w:hyperlink>
      <w:r>
        <w:rPr>
          <w:rFonts w:ascii="Calibri" w:eastAsia="Calibri" w:hAnsi="Calibri" w:cs="Times New Roman"/>
        </w:rPr>
        <w:t xml:space="preserve"> </w:t>
      </w:r>
    </w:p>
    <w:p w14:paraId="4F1CBE6F"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43 </w:t>
      </w:r>
      <w:r w:rsidRPr="009F4200">
        <w:rPr>
          <w:rFonts w:ascii="Calibri" w:eastAsia="Calibri" w:hAnsi="Calibri" w:cs="Times New Roman"/>
        </w:rPr>
        <w:tab/>
        <w:t xml:space="preserve">Facciorusso A, Del Prete V, Antonino M, et al. Response to repeat echoendoscopic celiac plexus neurolysis in pancreatic cancer patients: A machine learning approach. Pancreatology 2019;19:866–72. </w:t>
      </w:r>
      <w:hyperlink r:id="rId47" w:history="1">
        <w:r w:rsidRPr="004733D9">
          <w:rPr>
            <w:rStyle w:val="Hyperlink"/>
            <w:rFonts w:ascii="Calibri" w:eastAsia="Calibri" w:hAnsi="Calibri" w:cs="Times New Roman"/>
          </w:rPr>
          <w:t>https://doi.org/10.1016/j.pan.2019.07.038</w:t>
        </w:r>
      </w:hyperlink>
      <w:r>
        <w:rPr>
          <w:rFonts w:ascii="Calibri" w:eastAsia="Calibri" w:hAnsi="Calibri" w:cs="Times New Roman"/>
        </w:rPr>
        <w:t xml:space="preserve"> </w:t>
      </w:r>
    </w:p>
    <w:p w14:paraId="1CC28AB5"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44 </w:t>
      </w:r>
      <w:r w:rsidRPr="009F4200">
        <w:rPr>
          <w:rFonts w:ascii="Calibri" w:eastAsia="Calibri" w:hAnsi="Calibri" w:cs="Times New Roman"/>
        </w:rPr>
        <w:tab/>
        <w:t xml:space="preserve">Hammer J, Geinitz H, Nieder C, et al. Risk Factors for Local Relapse and Inferior Disease-free Survival After Breast-conserving Management of Breast Cancer: Recursive Partitioning Analysis of 2161 Patients. Clin Breast Cancer 2019;19:58–62. </w:t>
      </w:r>
      <w:hyperlink r:id="rId48" w:history="1">
        <w:r w:rsidRPr="004733D9">
          <w:rPr>
            <w:rStyle w:val="Hyperlink"/>
            <w:rFonts w:ascii="Calibri" w:eastAsia="Calibri" w:hAnsi="Calibri" w:cs="Times New Roman"/>
          </w:rPr>
          <w:t>https://doi.org/10.1016/j.clbc.2018.08.001</w:t>
        </w:r>
      </w:hyperlink>
      <w:r>
        <w:rPr>
          <w:rFonts w:ascii="Calibri" w:eastAsia="Calibri" w:hAnsi="Calibri" w:cs="Times New Roman"/>
        </w:rPr>
        <w:t xml:space="preserve"> </w:t>
      </w:r>
    </w:p>
    <w:p w14:paraId="6E50082F"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45 </w:t>
      </w:r>
      <w:r w:rsidRPr="009F4200">
        <w:rPr>
          <w:rFonts w:ascii="Calibri" w:eastAsia="Calibri" w:hAnsi="Calibri" w:cs="Times New Roman"/>
        </w:rPr>
        <w:tab/>
        <w:t xml:space="preserve">Al-Bahrani R, Agrawal A, Choudhary A. Survivability prediction of colon cancer patients using neural networks. Health Informatics J 2019;25:878–91. </w:t>
      </w:r>
      <w:hyperlink r:id="rId49" w:history="1">
        <w:r w:rsidRPr="004733D9">
          <w:rPr>
            <w:rStyle w:val="Hyperlink"/>
            <w:rFonts w:ascii="Calibri" w:eastAsia="Calibri" w:hAnsi="Calibri" w:cs="Times New Roman"/>
          </w:rPr>
          <w:t>https://doi.org/10.1177/1460458217720395</w:t>
        </w:r>
      </w:hyperlink>
      <w:r>
        <w:rPr>
          <w:rFonts w:ascii="Calibri" w:eastAsia="Calibri" w:hAnsi="Calibri" w:cs="Times New Roman"/>
        </w:rPr>
        <w:t xml:space="preserve"> </w:t>
      </w:r>
    </w:p>
    <w:p w14:paraId="0F56E964"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46 </w:t>
      </w:r>
      <w:r w:rsidRPr="009F4200">
        <w:rPr>
          <w:rFonts w:ascii="Calibri" w:eastAsia="Calibri" w:hAnsi="Calibri" w:cs="Times New Roman"/>
        </w:rPr>
        <w:tab/>
        <w:t xml:space="preserve">Matsuo K, Purushotham S, Jiang B, et al. Survival outcome prediction in cervical cancer: Cox models vs deep-learning model. Am J Obstet Gynecol 2019;220:381.e1-381.e14. </w:t>
      </w:r>
      <w:hyperlink r:id="rId50" w:history="1">
        <w:r w:rsidRPr="004733D9">
          <w:rPr>
            <w:rStyle w:val="Hyperlink"/>
            <w:rFonts w:ascii="Calibri" w:eastAsia="Calibri" w:hAnsi="Calibri" w:cs="Times New Roman"/>
          </w:rPr>
          <w:t>https://doi.org/10.1016/j.ajog.2018.12.030</w:t>
        </w:r>
      </w:hyperlink>
      <w:r>
        <w:rPr>
          <w:rFonts w:ascii="Calibri" w:eastAsia="Calibri" w:hAnsi="Calibri" w:cs="Times New Roman"/>
        </w:rPr>
        <w:t xml:space="preserve">  </w:t>
      </w:r>
    </w:p>
    <w:p w14:paraId="14444D9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47 </w:t>
      </w:r>
      <w:r w:rsidRPr="009F4200">
        <w:rPr>
          <w:rFonts w:ascii="Calibri" w:eastAsia="Calibri" w:hAnsi="Calibri" w:cs="Times New Roman"/>
        </w:rPr>
        <w:tab/>
        <w:t xml:space="preserve">Merath K, Hyer JM, Mehta R, et al. Use of Machine Learning for Prediction of Patient Risk of Postoperative Complications After Liver, Pancreatic, and Colorectal Surgery. J Gastrointest Surg 2020;24:1843–51. </w:t>
      </w:r>
      <w:hyperlink r:id="rId51" w:history="1">
        <w:r w:rsidRPr="004733D9">
          <w:rPr>
            <w:rStyle w:val="Hyperlink"/>
            <w:rFonts w:ascii="Calibri" w:eastAsia="Calibri" w:hAnsi="Calibri" w:cs="Times New Roman"/>
          </w:rPr>
          <w:t>https://doi.org/10.1007/s11605-019-04338-2</w:t>
        </w:r>
      </w:hyperlink>
      <w:r>
        <w:rPr>
          <w:rFonts w:ascii="Calibri" w:eastAsia="Calibri" w:hAnsi="Calibri" w:cs="Times New Roman"/>
        </w:rPr>
        <w:t xml:space="preserve"> </w:t>
      </w:r>
    </w:p>
    <w:p w14:paraId="1B6240E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48 </w:t>
      </w:r>
      <w:r w:rsidRPr="009F4200">
        <w:rPr>
          <w:rFonts w:ascii="Calibri" w:eastAsia="Calibri" w:hAnsi="Calibri" w:cs="Times New Roman"/>
        </w:rPr>
        <w:tab/>
        <w:t xml:space="preserve">Wong NC, Lam C, Patterson L, et al. Use of machine learning to predict early biochemical recurrence after robot-assisted prostatectomy. BJU Int 2019;123:51–7. </w:t>
      </w:r>
      <w:hyperlink r:id="rId52" w:history="1">
        <w:r w:rsidRPr="004733D9">
          <w:rPr>
            <w:rStyle w:val="Hyperlink"/>
            <w:rFonts w:ascii="Calibri" w:eastAsia="Calibri" w:hAnsi="Calibri" w:cs="Times New Roman"/>
          </w:rPr>
          <w:t>https://doi.org/10.1111/bju.14477</w:t>
        </w:r>
      </w:hyperlink>
      <w:r>
        <w:rPr>
          <w:rFonts w:ascii="Calibri" w:eastAsia="Calibri" w:hAnsi="Calibri" w:cs="Times New Roman"/>
        </w:rPr>
        <w:t xml:space="preserve"> </w:t>
      </w:r>
    </w:p>
    <w:p w14:paraId="2361831D"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49 </w:t>
      </w:r>
      <w:r w:rsidRPr="009F4200">
        <w:rPr>
          <w:rFonts w:ascii="Calibri" w:eastAsia="Calibri" w:hAnsi="Calibri" w:cs="Times New Roman"/>
        </w:rPr>
        <w:tab/>
        <w:t xml:space="preserve">Egger ME, Stevenson M, Bhutiani N, et al. Age and Lymphovascular Invasion Accurately Predict Sentinel Lymph Node Metastasis in T2 Melanoma Patients. Ann Surg Oncol 2019;26:3955–61. </w:t>
      </w:r>
      <w:hyperlink r:id="rId53" w:history="1">
        <w:r w:rsidRPr="004733D9">
          <w:rPr>
            <w:rStyle w:val="Hyperlink"/>
            <w:rFonts w:ascii="Calibri" w:eastAsia="Calibri" w:hAnsi="Calibri" w:cs="Times New Roman"/>
          </w:rPr>
          <w:t>https://doi.org/10.1245/s10434-019-07690-4</w:t>
        </w:r>
      </w:hyperlink>
      <w:r>
        <w:rPr>
          <w:rFonts w:ascii="Calibri" w:eastAsia="Calibri" w:hAnsi="Calibri" w:cs="Times New Roman"/>
        </w:rPr>
        <w:t xml:space="preserve"> </w:t>
      </w:r>
    </w:p>
    <w:p w14:paraId="6EEFC028"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50 </w:t>
      </w:r>
      <w:r w:rsidRPr="009F4200">
        <w:rPr>
          <w:rFonts w:ascii="Calibri" w:eastAsia="Calibri" w:hAnsi="Calibri" w:cs="Times New Roman"/>
        </w:rPr>
        <w:tab/>
        <w:t xml:space="preserve">Zhou H-F, Lu J, Zhu H-D, et al. Early Warning Models to Estimate the 30-Day Mortality Risk After Stent Placement for Patients with Malignant Biliary Obstruction. Cardiovasc Intervent Radiol 2019;42:1751–9. </w:t>
      </w:r>
      <w:hyperlink r:id="rId54" w:history="1">
        <w:r w:rsidRPr="004733D9">
          <w:rPr>
            <w:rStyle w:val="Hyperlink"/>
            <w:rFonts w:ascii="Calibri" w:eastAsia="Calibri" w:hAnsi="Calibri" w:cs="Times New Roman"/>
          </w:rPr>
          <w:t>https://doi.org/10.1007/s00270-019-02331-5</w:t>
        </w:r>
      </w:hyperlink>
      <w:r>
        <w:rPr>
          <w:rFonts w:ascii="Calibri" w:eastAsia="Calibri" w:hAnsi="Calibri" w:cs="Times New Roman"/>
        </w:rPr>
        <w:t xml:space="preserve"> </w:t>
      </w:r>
    </w:p>
    <w:p w14:paraId="7EABA973"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51 </w:t>
      </w:r>
      <w:r w:rsidRPr="009F4200">
        <w:rPr>
          <w:rFonts w:ascii="Calibri" w:eastAsia="Calibri" w:hAnsi="Calibri" w:cs="Times New Roman"/>
        </w:rPr>
        <w:tab/>
        <w:t xml:space="preserve">Alabi RO, Elmusrati M, Sawazaki-Calone I, et al. Machine learning application for prediction of locoregional recurrences in early oral tongue cancer: a Web-based prognostic tool. Virchows Arch 2019;475:489–97. </w:t>
      </w:r>
      <w:hyperlink r:id="rId55" w:history="1">
        <w:r w:rsidRPr="004733D9">
          <w:rPr>
            <w:rStyle w:val="Hyperlink"/>
            <w:rFonts w:ascii="Calibri" w:eastAsia="Calibri" w:hAnsi="Calibri" w:cs="Times New Roman"/>
          </w:rPr>
          <w:t>https://doi.org/10.1007/s00428-019-02642-5</w:t>
        </w:r>
      </w:hyperlink>
      <w:r>
        <w:rPr>
          <w:rFonts w:ascii="Calibri" w:eastAsia="Calibri" w:hAnsi="Calibri" w:cs="Times New Roman"/>
        </w:rPr>
        <w:t xml:space="preserve"> </w:t>
      </w:r>
    </w:p>
    <w:p w14:paraId="1A90A8C6"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52 </w:t>
      </w:r>
      <w:r w:rsidRPr="009F4200">
        <w:rPr>
          <w:rFonts w:ascii="Calibri" w:eastAsia="Calibri" w:hAnsi="Calibri" w:cs="Times New Roman"/>
        </w:rPr>
        <w:tab/>
        <w:t xml:space="preserve">Yan P, Huang R, Hu P, et al. Nomograms for predicting the overall and cause-specific survival in patients with malignant peripheral nerve sheath tumor: a population-based study. J Neurooncol 2019;143:495–503. </w:t>
      </w:r>
      <w:hyperlink r:id="rId56" w:history="1">
        <w:r w:rsidRPr="004733D9">
          <w:rPr>
            <w:rStyle w:val="Hyperlink"/>
            <w:rFonts w:ascii="Calibri" w:eastAsia="Calibri" w:hAnsi="Calibri" w:cs="Times New Roman"/>
          </w:rPr>
          <w:t>https://doi.org/10.1007/s11060-019-03181-4</w:t>
        </w:r>
      </w:hyperlink>
      <w:r>
        <w:rPr>
          <w:rFonts w:ascii="Calibri" w:eastAsia="Calibri" w:hAnsi="Calibri" w:cs="Times New Roman"/>
        </w:rPr>
        <w:t xml:space="preserve"> </w:t>
      </w:r>
    </w:p>
    <w:p w14:paraId="3AA7817B"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53 </w:t>
      </w:r>
      <w:r w:rsidRPr="009F4200">
        <w:rPr>
          <w:rFonts w:ascii="Calibri" w:eastAsia="Calibri" w:hAnsi="Calibri" w:cs="Times New Roman"/>
        </w:rPr>
        <w:tab/>
        <w:t xml:space="preserve">Fuse K, Uemura S, Tamura S, et al. Patient-based prediction algorithm of relapse after allo-HSCT for acute Leukemia and its usefulness in the decision-making process using a machine learning approach. Cancer Med 2019;8:5058–67. </w:t>
      </w:r>
      <w:hyperlink r:id="rId57" w:history="1">
        <w:r w:rsidRPr="004733D9">
          <w:rPr>
            <w:rStyle w:val="Hyperlink"/>
            <w:rFonts w:ascii="Calibri" w:eastAsia="Calibri" w:hAnsi="Calibri" w:cs="Times New Roman"/>
          </w:rPr>
          <w:t>https://doi.org/10.1002/cam4.2401</w:t>
        </w:r>
      </w:hyperlink>
      <w:r>
        <w:rPr>
          <w:rFonts w:ascii="Calibri" w:eastAsia="Calibri" w:hAnsi="Calibri" w:cs="Times New Roman"/>
        </w:rPr>
        <w:t xml:space="preserve"> </w:t>
      </w:r>
    </w:p>
    <w:p w14:paraId="471F2573"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54 </w:t>
      </w:r>
      <w:r w:rsidRPr="009F4200">
        <w:rPr>
          <w:rFonts w:ascii="Calibri" w:eastAsia="Calibri" w:hAnsi="Calibri" w:cs="Times New Roman"/>
        </w:rPr>
        <w:tab/>
        <w:t xml:space="preserve">Mahmoudian M, Seyednasrollah F, Koivu L, et al. A predictive model of overall survival in patients with metastatic castration-resistant prostate cancer [version 2; peer review: 2 approved]. F1000Res 2019;5:2674. </w:t>
      </w:r>
      <w:hyperlink r:id="rId58" w:history="1">
        <w:r w:rsidRPr="004733D9">
          <w:rPr>
            <w:rStyle w:val="Hyperlink"/>
            <w:rFonts w:ascii="Calibri" w:eastAsia="Calibri" w:hAnsi="Calibri" w:cs="Times New Roman"/>
          </w:rPr>
          <w:t>https://doi.org/10.12688/f1000research.8192.2</w:t>
        </w:r>
      </w:hyperlink>
      <w:r>
        <w:rPr>
          <w:rFonts w:ascii="Calibri" w:eastAsia="Calibri" w:hAnsi="Calibri" w:cs="Times New Roman"/>
        </w:rPr>
        <w:t xml:space="preserve"> </w:t>
      </w:r>
    </w:p>
    <w:p w14:paraId="10EC777C"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55 </w:t>
      </w:r>
      <w:r w:rsidRPr="009F4200">
        <w:rPr>
          <w:rFonts w:ascii="Calibri" w:eastAsia="Calibri" w:hAnsi="Calibri" w:cs="Times New Roman"/>
        </w:rPr>
        <w:tab/>
        <w:t xml:space="preserve">Muhlestein WE, Akagi DS, Davies JM, et al. Predicting Inpatient Length of Stay After Brain Tumor Surgery: Developing Machine Learning Ensembles to Improve Predictive Performance. Neurosurgery 2019;85:384–93. </w:t>
      </w:r>
      <w:hyperlink r:id="rId59" w:history="1">
        <w:r w:rsidRPr="004733D9">
          <w:rPr>
            <w:rStyle w:val="Hyperlink"/>
            <w:rFonts w:ascii="Calibri" w:eastAsia="Calibri" w:hAnsi="Calibri" w:cs="Times New Roman"/>
          </w:rPr>
          <w:t>https://doi.org/10.1093/neuros/nyy343</w:t>
        </w:r>
      </w:hyperlink>
      <w:r>
        <w:rPr>
          <w:rFonts w:ascii="Calibri" w:eastAsia="Calibri" w:hAnsi="Calibri" w:cs="Times New Roman"/>
        </w:rPr>
        <w:t xml:space="preserve"> </w:t>
      </w:r>
    </w:p>
    <w:p w14:paraId="5AB08731"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56 </w:t>
      </w:r>
      <w:r w:rsidRPr="009F4200">
        <w:rPr>
          <w:rFonts w:ascii="Calibri" w:eastAsia="Calibri" w:hAnsi="Calibri" w:cs="Times New Roman"/>
        </w:rPr>
        <w:tab/>
        <w:t xml:space="preserve">Zhao B, Gabriel RA, Vaida F, et al. Predicting Overall Survival in Patients with Metastatic Rectal Cancer: a Machine Learning Approach. J Gastrointest Surg 2019;24:1165–72. </w:t>
      </w:r>
      <w:hyperlink r:id="rId60" w:history="1">
        <w:r w:rsidRPr="004733D9">
          <w:rPr>
            <w:rStyle w:val="Hyperlink"/>
            <w:rFonts w:ascii="Calibri" w:eastAsia="Calibri" w:hAnsi="Calibri" w:cs="Times New Roman"/>
          </w:rPr>
          <w:t>https://doi.org/10.1007/s11605-019-04373-z</w:t>
        </w:r>
      </w:hyperlink>
      <w:r>
        <w:rPr>
          <w:rFonts w:ascii="Calibri" w:eastAsia="Calibri" w:hAnsi="Calibri" w:cs="Times New Roman"/>
        </w:rPr>
        <w:t xml:space="preserve"> </w:t>
      </w:r>
    </w:p>
    <w:p w14:paraId="413F5704"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57 </w:t>
      </w:r>
      <w:r w:rsidRPr="009F4200">
        <w:rPr>
          <w:rFonts w:ascii="Calibri" w:eastAsia="Calibri" w:hAnsi="Calibri" w:cs="Times New Roman"/>
        </w:rPr>
        <w:tab/>
        <w:t xml:space="preserve">Paik ES, Lee JW, Park JY, et al. Prediction of survival outcomes in patients with epithelial ovarian cancer using machine learning methods. J Gynecol Oncol 2019;30:e65. </w:t>
      </w:r>
      <w:hyperlink r:id="rId61" w:history="1">
        <w:r w:rsidRPr="004733D9">
          <w:rPr>
            <w:rStyle w:val="Hyperlink"/>
            <w:rFonts w:ascii="Calibri" w:eastAsia="Calibri" w:hAnsi="Calibri" w:cs="Times New Roman"/>
          </w:rPr>
          <w:t>https://doi.org/10.3802/jgo.2019.30.e65</w:t>
        </w:r>
      </w:hyperlink>
      <w:r>
        <w:rPr>
          <w:rFonts w:ascii="Calibri" w:eastAsia="Calibri" w:hAnsi="Calibri" w:cs="Times New Roman"/>
        </w:rPr>
        <w:t xml:space="preserve"> </w:t>
      </w:r>
    </w:p>
    <w:p w14:paraId="35FA03BA"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58 </w:t>
      </w:r>
      <w:r w:rsidRPr="009F4200">
        <w:rPr>
          <w:rFonts w:ascii="Calibri" w:eastAsia="Calibri" w:hAnsi="Calibri" w:cs="Times New Roman"/>
        </w:rPr>
        <w:tab/>
        <w:t xml:space="preserve">Wang X, Zhang Y, Hao S, et al. Prediction of the 1-Year Risk of Incident Lung Cancer: Prospective Study Using Electronic Health Records from the State of Maine. J Med Internet Res 2019;21:e13260. </w:t>
      </w:r>
      <w:hyperlink r:id="rId62" w:history="1">
        <w:r w:rsidRPr="004733D9">
          <w:rPr>
            <w:rStyle w:val="Hyperlink"/>
            <w:rFonts w:ascii="Calibri" w:eastAsia="Calibri" w:hAnsi="Calibri" w:cs="Times New Roman"/>
          </w:rPr>
          <w:t>https://doi.org/10.2196/13260</w:t>
        </w:r>
      </w:hyperlink>
      <w:r>
        <w:rPr>
          <w:rFonts w:ascii="Calibri" w:eastAsia="Calibri" w:hAnsi="Calibri" w:cs="Times New Roman"/>
        </w:rPr>
        <w:t xml:space="preserve"> </w:t>
      </w:r>
    </w:p>
    <w:p w14:paraId="536DD727"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59 </w:t>
      </w:r>
      <w:r w:rsidRPr="009F4200">
        <w:rPr>
          <w:rFonts w:ascii="Calibri" w:eastAsia="Calibri" w:hAnsi="Calibri" w:cs="Times New Roman"/>
        </w:rPr>
        <w:tab/>
        <w:t xml:space="preserve">Li M, Zhan C, Sui X, et al. A Proposal to Reflect Survival Difference and Modify the Staging System for Lung Adenocarcinoma and Squamous Cell Carcinoma: Based on the Machine Learning. Front Oncol 2019;9. </w:t>
      </w:r>
      <w:hyperlink r:id="rId63" w:history="1">
        <w:r w:rsidRPr="004733D9">
          <w:rPr>
            <w:rStyle w:val="Hyperlink"/>
            <w:rFonts w:ascii="Calibri" w:eastAsia="Calibri" w:hAnsi="Calibri" w:cs="Times New Roman"/>
          </w:rPr>
          <w:t>https://doi.org/10.3389/fonc.2019.00771</w:t>
        </w:r>
      </w:hyperlink>
      <w:r>
        <w:rPr>
          <w:rFonts w:ascii="Calibri" w:eastAsia="Calibri" w:hAnsi="Calibri" w:cs="Times New Roman"/>
        </w:rPr>
        <w:t xml:space="preserve"> </w:t>
      </w:r>
    </w:p>
    <w:p w14:paraId="37E3D22E"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60 </w:t>
      </w:r>
      <w:r w:rsidRPr="009F4200">
        <w:rPr>
          <w:rFonts w:ascii="Calibri" w:eastAsia="Calibri" w:hAnsi="Calibri" w:cs="Times New Roman"/>
        </w:rPr>
        <w:tab/>
        <w:t xml:space="preserve">Nartowt BJ, Hart GR, Roffman DA, et al. Scoring colorectal cancer risk with an artificial neural network based on self-reportable personal health data. PLoS One 2019;14:e0221421. </w:t>
      </w:r>
      <w:hyperlink r:id="rId64" w:history="1">
        <w:r w:rsidRPr="004733D9">
          <w:rPr>
            <w:rStyle w:val="Hyperlink"/>
            <w:rFonts w:ascii="Calibri" w:eastAsia="Calibri" w:hAnsi="Calibri" w:cs="Times New Roman"/>
          </w:rPr>
          <w:t>https://doi.org/10.1371/journal.pone.0221421</w:t>
        </w:r>
      </w:hyperlink>
      <w:r>
        <w:rPr>
          <w:rFonts w:ascii="Calibri" w:eastAsia="Calibri" w:hAnsi="Calibri" w:cs="Times New Roman"/>
        </w:rPr>
        <w:t xml:space="preserve"> </w:t>
      </w:r>
    </w:p>
    <w:p w14:paraId="3A02EE7A" w14:textId="77777777" w:rsidR="00D729CC" w:rsidRPr="009F4200"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61 </w:t>
      </w:r>
      <w:r w:rsidRPr="009F4200">
        <w:rPr>
          <w:rFonts w:ascii="Calibri" w:eastAsia="Calibri" w:hAnsi="Calibri" w:cs="Times New Roman"/>
        </w:rPr>
        <w:tab/>
        <w:t xml:space="preserve">Chi S, Li X, Tian Y, et al. Semi-supervised learning to improve generalizability of risk prediction models. J Biomed Inform 2019;92:103117. </w:t>
      </w:r>
      <w:hyperlink r:id="rId65" w:history="1">
        <w:r w:rsidRPr="004733D9">
          <w:rPr>
            <w:rStyle w:val="Hyperlink"/>
            <w:rFonts w:ascii="Calibri" w:eastAsia="Calibri" w:hAnsi="Calibri" w:cs="Times New Roman"/>
          </w:rPr>
          <w:t>https://doi.org/10.1016/j.jbi.2019.103117</w:t>
        </w:r>
      </w:hyperlink>
      <w:r>
        <w:rPr>
          <w:rFonts w:ascii="Calibri" w:eastAsia="Calibri" w:hAnsi="Calibri" w:cs="Times New Roman"/>
        </w:rPr>
        <w:t xml:space="preserve"> </w:t>
      </w:r>
    </w:p>
    <w:p w14:paraId="1D8387E7" w14:textId="77777777" w:rsidR="00D729CC" w:rsidRPr="00F417B8" w:rsidRDefault="00D729CC" w:rsidP="00D729CC">
      <w:pPr>
        <w:tabs>
          <w:tab w:val="left" w:pos="384"/>
        </w:tabs>
        <w:spacing w:after="120" w:line="240" w:lineRule="auto"/>
        <w:ind w:left="384" w:hanging="384"/>
        <w:rPr>
          <w:rFonts w:ascii="Calibri" w:eastAsia="Calibri" w:hAnsi="Calibri" w:cs="Times New Roman"/>
        </w:rPr>
      </w:pPr>
      <w:r w:rsidRPr="009F4200">
        <w:rPr>
          <w:rFonts w:ascii="Calibri" w:eastAsia="Calibri" w:hAnsi="Calibri" w:cs="Times New Roman"/>
        </w:rPr>
        <w:t xml:space="preserve">62 </w:t>
      </w:r>
      <w:r w:rsidRPr="009F4200">
        <w:rPr>
          <w:rFonts w:ascii="Calibri" w:eastAsia="Calibri" w:hAnsi="Calibri" w:cs="Times New Roman"/>
        </w:rPr>
        <w:tab/>
        <w:t xml:space="preserve">Sala Elarre P, Oyaga-Iriarte E, Yu KH, et al. Use of Machine-Learning Algorithms in Intensified Preoperative Therapy of Pancreatic Cancer to Predict Individual Risk of Relapse. Cancers (Basel) 2019;11(5):606. </w:t>
      </w:r>
      <w:hyperlink r:id="rId66" w:history="1">
        <w:r w:rsidRPr="004733D9">
          <w:rPr>
            <w:rStyle w:val="Hyperlink"/>
            <w:rFonts w:ascii="Calibri" w:eastAsia="Calibri" w:hAnsi="Calibri" w:cs="Times New Roman"/>
          </w:rPr>
          <w:t>https://doi.org/10.3390/cancers11050606</w:t>
        </w:r>
      </w:hyperlink>
      <w:r>
        <w:rPr>
          <w:rFonts w:ascii="Calibri" w:eastAsia="Calibri" w:hAnsi="Calibri" w:cs="Times New Roman"/>
        </w:rPr>
        <w:t xml:space="preserve"> </w:t>
      </w:r>
    </w:p>
    <w:p w14:paraId="58FCA914" w14:textId="6FEF3BEE" w:rsidR="00D729CC" w:rsidRPr="00D729CC" w:rsidRDefault="00D729CC"/>
    <w:p w14:paraId="47DB073B" w14:textId="77777777" w:rsidR="00D729CC" w:rsidRPr="00D729CC" w:rsidRDefault="00D729CC">
      <w:pPr>
        <w:rPr>
          <w:b/>
          <w:bCs/>
          <w:u w:val="single"/>
        </w:rPr>
      </w:pPr>
    </w:p>
    <w:sectPr w:rsidR="00D729CC" w:rsidRPr="00D729CC" w:rsidSect="00D729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1A9E"/>
    <w:multiLevelType w:val="hybridMultilevel"/>
    <w:tmpl w:val="AD46E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8176DB"/>
    <w:multiLevelType w:val="hybridMultilevel"/>
    <w:tmpl w:val="08C84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920521"/>
    <w:multiLevelType w:val="hybridMultilevel"/>
    <w:tmpl w:val="B324F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5C3E34"/>
    <w:multiLevelType w:val="hybridMultilevel"/>
    <w:tmpl w:val="0AC0D5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B76468"/>
    <w:multiLevelType w:val="hybridMultilevel"/>
    <w:tmpl w:val="F7E83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A2E08"/>
    <w:multiLevelType w:val="hybridMultilevel"/>
    <w:tmpl w:val="3F621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3912B6"/>
    <w:multiLevelType w:val="hybridMultilevel"/>
    <w:tmpl w:val="2FEE1516"/>
    <w:lvl w:ilvl="0" w:tplc="48A09D16">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B9160B"/>
    <w:multiLevelType w:val="hybridMultilevel"/>
    <w:tmpl w:val="B8CE6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5C769F"/>
    <w:multiLevelType w:val="hybridMultilevel"/>
    <w:tmpl w:val="72E09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A55E55"/>
    <w:multiLevelType w:val="multilevel"/>
    <w:tmpl w:val="F10618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6C82D7E"/>
    <w:multiLevelType w:val="hybridMultilevel"/>
    <w:tmpl w:val="DE54F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F42075"/>
    <w:multiLevelType w:val="hybridMultilevel"/>
    <w:tmpl w:val="09C672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7D0FDD"/>
    <w:multiLevelType w:val="hybridMultilevel"/>
    <w:tmpl w:val="782CB1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712436"/>
    <w:multiLevelType w:val="hybridMultilevel"/>
    <w:tmpl w:val="6802A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E763C2D"/>
    <w:multiLevelType w:val="hybridMultilevel"/>
    <w:tmpl w:val="91FAADF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467B0B"/>
    <w:multiLevelType w:val="multilevel"/>
    <w:tmpl w:val="F10618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19A1315"/>
    <w:multiLevelType w:val="hybridMultilevel"/>
    <w:tmpl w:val="BEAA05CC"/>
    <w:lvl w:ilvl="0" w:tplc="DBE80BB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A45122"/>
    <w:multiLevelType w:val="hybridMultilevel"/>
    <w:tmpl w:val="F134E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ED5725"/>
    <w:multiLevelType w:val="hybridMultilevel"/>
    <w:tmpl w:val="F5463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49679F"/>
    <w:multiLevelType w:val="multilevel"/>
    <w:tmpl w:val="44D0380C"/>
    <w:styleLink w:val="Style1"/>
    <w:lvl w:ilvl="0">
      <w:start w:val="1"/>
      <w:numFmt w:val="decimal"/>
      <w:lvlText w:val="%1. "/>
      <w:lvlJc w:val="left"/>
      <w:pPr>
        <w:ind w:left="432" w:hanging="432"/>
      </w:pPr>
      <w:rPr>
        <w:rFonts w:ascii="Courier New" w:hAnsi="Courier New" w:hint="default"/>
        <w:b/>
        <w:u w:val="singl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D5E5DD0"/>
    <w:multiLevelType w:val="hybridMultilevel"/>
    <w:tmpl w:val="F43E7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0D0FF6"/>
    <w:multiLevelType w:val="hybridMultilevel"/>
    <w:tmpl w:val="0F688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7366B5"/>
    <w:multiLevelType w:val="hybridMultilevel"/>
    <w:tmpl w:val="DCC4E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0FA5800"/>
    <w:multiLevelType w:val="hybridMultilevel"/>
    <w:tmpl w:val="8E944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193F63"/>
    <w:multiLevelType w:val="hybridMultilevel"/>
    <w:tmpl w:val="0B225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B90AE4"/>
    <w:multiLevelType w:val="hybridMultilevel"/>
    <w:tmpl w:val="096A7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D16E9F"/>
    <w:multiLevelType w:val="hybridMultilevel"/>
    <w:tmpl w:val="CE809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DFC59B6"/>
    <w:multiLevelType w:val="hybridMultilevel"/>
    <w:tmpl w:val="B3A65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374974"/>
    <w:multiLevelType w:val="hybridMultilevel"/>
    <w:tmpl w:val="613EE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B4C1937"/>
    <w:multiLevelType w:val="hybridMultilevel"/>
    <w:tmpl w:val="69BE3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736801"/>
    <w:multiLevelType w:val="multilevel"/>
    <w:tmpl w:val="AE6E5840"/>
    <w:lvl w:ilvl="0">
      <w:start w:val="1"/>
      <w:numFmt w:val="decimal"/>
      <w:pStyle w:val="Heading1"/>
      <w:lvlText w:val="%1."/>
      <w:lvlJc w:val="left"/>
      <w:pPr>
        <w:ind w:left="360" w:hanging="360"/>
      </w:p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1" w15:restartNumberingAfterBreak="0">
    <w:nsid w:val="6CE01189"/>
    <w:multiLevelType w:val="hybridMultilevel"/>
    <w:tmpl w:val="F2D804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15622E"/>
    <w:multiLevelType w:val="hybridMultilevel"/>
    <w:tmpl w:val="B4D269A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02513F"/>
    <w:multiLevelType w:val="hybridMultilevel"/>
    <w:tmpl w:val="5868F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B542B"/>
    <w:multiLevelType w:val="hybridMultilevel"/>
    <w:tmpl w:val="9600F7E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311111">
    <w:abstractNumId w:val="19"/>
  </w:num>
  <w:num w:numId="2" w16cid:durableId="1194616118">
    <w:abstractNumId w:val="30"/>
  </w:num>
  <w:num w:numId="3" w16cid:durableId="87392039">
    <w:abstractNumId w:val="14"/>
  </w:num>
  <w:num w:numId="4" w16cid:durableId="987708234">
    <w:abstractNumId w:val="33"/>
  </w:num>
  <w:num w:numId="5" w16cid:durableId="595794065">
    <w:abstractNumId w:val="12"/>
  </w:num>
  <w:num w:numId="6" w16cid:durableId="2028288739">
    <w:abstractNumId w:val="32"/>
  </w:num>
  <w:num w:numId="7" w16cid:durableId="1313365024">
    <w:abstractNumId w:val="34"/>
  </w:num>
  <w:num w:numId="8" w16cid:durableId="685253770">
    <w:abstractNumId w:val="23"/>
  </w:num>
  <w:num w:numId="9" w16cid:durableId="1168211376">
    <w:abstractNumId w:val="28"/>
  </w:num>
  <w:num w:numId="10" w16cid:durableId="1117334600">
    <w:abstractNumId w:val="2"/>
  </w:num>
  <w:num w:numId="11" w16cid:durableId="1856839522">
    <w:abstractNumId w:val="17"/>
  </w:num>
  <w:num w:numId="12" w16cid:durableId="168762230">
    <w:abstractNumId w:val="18"/>
  </w:num>
  <w:num w:numId="13" w16cid:durableId="2006517272">
    <w:abstractNumId w:val="8"/>
  </w:num>
  <w:num w:numId="14" w16cid:durableId="941954949">
    <w:abstractNumId w:val="11"/>
  </w:num>
  <w:num w:numId="15" w16cid:durableId="566187116">
    <w:abstractNumId w:val="1"/>
  </w:num>
  <w:num w:numId="16" w16cid:durableId="1795056821">
    <w:abstractNumId w:val="21"/>
  </w:num>
  <w:num w:numId="17" w16cid:durableId="1309627385">
    <w:abstractNumId w:val="26"/>
  </w:num>
  <w:num w:numId="18" w16cid:durableId="306057784">
    <w:abstractNumId w:val="4"/>
  </w:num>
  <w:num w:numId="19" w16cid:durableId="1973435905">
    <w:abstractNumId w:val="20"/>
  </w:num>
  <w:num w:numId="20" w16cid:durableId="1632974244">
    <w:abstractNumId w:val="25"/>
  </w:num>
  <w:num w:numId="21" w16cid:durableId="2093352603">
    <w:abstractNumId w:val="7"/>
  </w:num>
  <w:num w:numId="22" w16cid:durableId="1971134504">
    <w:abstractNumId w:val="0"/>
  </w:num>
  <w:num w:numId="23" w16cid:durableId="726876728">
    <w:abstractNumId w:val="22"/>
  </w:num>
  <w:num w:numId="24" w16cid:durableId="641153130">
    <w:abstractNumId w:val="29"/>
  </w:num>
  <w:num w:numId="25" w16cid:durableId="802114106">
    <w:abstractNumId w:val="24"/>
  </w:num>
  <w:num w:numId="26" w16cid:durableId="1375960156">
    <w:abstractNumId w:val="10"/>
  </w:num>
  <w:num w:numId="27" w16cid:durableId="530606599">
    <w:abstractNumId w:val="13"/>
  </w:num>
  <w:num w:numId="28" w16cid:durableId="1079253908">
    <w:abstractNumId w:val="5"/>
  </w:num>
  <w:num w:numId="29" w16cid:durableId="2140761191">
    <w:abstractNumId w:val="27"/>
  </w:num>
  <w:num w:numId="30" w16cid:durableId="696734507">
    <w:abstractNumId w:val="31"/>
  </w:num>
  <w:num w:numId="31" w16cid:durableId="186262546">
    <w:abstractNumId w:val="3"/>
  </w:num>
  <w:num w:numId="32" w16cid:durableId="106631472">
    <w:abstractNumId w:val="16"/>
  </w:num>
  <w:num w:numId="33" w16cid:durableId="1375689292">
    <w:abstractNumId w:val="9"/>
  </w:num>
  <w:num w:numId="34" w16cid:durableId="901062079">
    <w:abstractNumId w:val="15"/>
  </w:num>
  <w:num w:numId="35" w16cid:durableId="363024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2F"/>
    <w:rsid w:val="00005CF2"/>
    <w:rsid w:val="00617C06"/>
    <w:rsid w:val="007C09B3"/>
    <w:rsid w:val="009D652F"/>
    <w:rsid w:val="00B07567"/>
    <w:rsid w:val="00D01E4B"/>
    <w:rsid w:val="00D729CC"/>
    <w:rsid w:val="00FF1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CE584"/>
  <w15:chartTrackingRefBased/>
  <w15:docId w15:val="{40EAD381-18FF-4759-8BF2-ADE7ADD9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52F"/>
    <w:rPr>
      <w:rFonts w:cs="Courier New"/>
    </w:rPr>
  </w:style>
  <w:style w:type="paragraph" w:styleId="Heading1">
    <w:name w:val="heading 1"/>
    <w:basedOn w:val="ListParagraph"/>
    <w:next w:val="Normal"/>
    <w:link w:val="Heading1Char"/>
    <w:uiPriority w:val="9"/>
    <w:qFormat/>
    <w:rsid w:val="009D652F"/>
    <w:pPr>
      <w:numPr>
        <w:numId w:val="2"/>
      </w:numPr>
      <w:outlineLvl w:val="0"/>
    </w:pPr>
    <w:rPr>
      <w:b/>
      <w:u w:val="single"/>
    </w:rPr>
  </w:style>
  <w:style w:type="paragraph" w:styleId="Heading2">
    <w:name w:val="heading 2"/>
    <w:basedOn w:val="Normal"/>
    <w:next w:val="Normal"/>
    <w:link w:val="Heading2Char"/>
    <w:uiPriority w:val="9"/>
    <w:unhideWhenUsed/>
    <w:qFormat/>
    <w:rsid w:val="009D652F"/>
    <w:pPr>
      <w:numPr>
        <w:ilvl w:val="1"/>
        <w:numId w:val="2"/>
      </w:numPr>
      <w:outlineLvl w:val="1"/>
    </w:pPr>
  </w:style>
  <w:style w:type="paragraph" w:styleId="Heading3">
    <w:name w:val="heading 3"/>
    <w:basedOn w:val="Heading2"/>
    <w:next w:val="Normal"/>
    <w:link w:val="Heading3Char"/>
    <w:uiPriority w:val="9"/>
    <w:unhideWhenUsed/>
    <w:qFormat/>
    <w:rsid w:val="009D652F"/>
    <w:pPr>
      <w:keepNext/>
      <w:keepLines/>
      <w:numPr>
        <w:ilvl w:val="2"/>
      </w:numPr>
      <w:spacing w:before="40" w:after="12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52F"/>
    <w:rPr>
      <w:rFonts w:cs="Courier New"/>
      <w:b/>
      <w:u w:val="single"/>
    </w:rPr>
  </w:style>
  <w:style w:type="character" w:customStyle="1" w:styleId="Heading2Char">
    <w:name w:val="Heading 2 Char"/>
    <w:basedOn w:val="DefaultParagraphFont"/>
    <w:link w:val="Heading2"/>
    <w:uiPriority w:val="9"/>
    <w:rsid w:val="009D652F"/>
    <w:rPr>
      <w:rFonts w:cs="Courier New"/>
    </w:rPr>
  </w:style>
  <w:style w:type="character" w:customStyle="1" w:styleId="Heading3Char">
    <w:name w:val="Heading 3 Char"/>
    <w:basedOn w:val="DefaultParagraphFont"/>
    <w:link w:val="Heading3"/>
    <w:uiPriority w:val="9"/>
    <w:rsid w:val="009D652F"/>
    <w:rPr>
      <w:rFonts w:eastAsiaTheme="majorEastAsia" w:cstheme="majorBidi"/>
      <w:i/>
      <w:szCs w:val="24"/>
    </w:rPr>
  </w:style>
  <w:style w:type="character" w:styleId="Hyperlink">
    <w:name w:val="Hyperlink"/>
    <w:basedOn w:val="DefaultParagraphFont"/>
    <w:uiPriority w:val="99"/>
    <w:unhideWhenUsed/>
    <w:rsid w:val="009D652F"/>
    <w:rPr>
      <w:color w:val="0563C1" w:themeColor="hyperlink"/>
      <w:u w:val="single"/>
    </w:rPr>
  </w:style>
  <w:style w:type="character" w:styleId="FollowedHyperlink">
    <w:name w:val="FollowedHyperlink"/>
    <w:basedOn w:val="DefaultParagraphFont"/>
    <w:uiPriority w:val="99"/>
    <w:semiHidden/>
    <w:unhideWhenUsed/>
    <w:rsid w:val="009D652F"/>
    <w:rPr>
      <w:color w:val="954F72" w:themeColor="followedHyperlink"/>
      <w:u w:val="single"/>
    </w:rPr>
  </w:style>
  <w:style w:type="paragraph" w:styleId="ListParagraph">
    <w:name w:val="List Paragraph"/>
    <w:basedOn w:val="Normal"/>
    <w:uiPriority w:val="34"/>
    <w:qFormat/>
    <w:rsid w:val="009D652F"/>
    <w:pPr>
      <w:ind w:left="720"/>
      <w:contextualSpacing/>
    </w:pPr>
  </w:style>
  <w:style w:type="numbering" w:customStyle="1" w:styleId="Style1">
    <w:name w:val="Style1"/>
    <w:uiPriority w:val="99"/>
    <w:rsid w:val="009D652F"/>
    <w:pPr>
      <w:numPr>
        <w:numId w:val="1"/>
      </w:numPr>
    </w:pPr>
  </w:style>
  <w:style w:type="character" w:styleId="CommentReference">
    <w:name w:val="annotation reference"/>
    <w:basedOn w:val="DefaultParagraphFont"/>
    <w:uiPriority w:val="99"/>
    <w:semiHidden/>
    <w:unhideWhenUsed/>
    <w:rsid w:val="009D652F"/>
    <w:rPr>
      <w:sz w:val="16"/>
      <w:szCs w:val="16"/>
    </w:rPr>
  </w:style>
  <w:style w:type="paragraph" w:styleId="CommentText">
    <w:name w:val="annotation text"/>
    <w:basedOn w:val="Normal"/>
    <w:link w:val="CommentTextChar"/>
    <w:uiPriority w:val="99"/>
    <w:unhideWhenUsed/>
    <w:rsid w:val="009D652F"/>
    <w:pPr>
      <w:spacing w:line="240" w:lineRule="auto"/>
    </w:pPr>
    <w:rPr>
      <w:sz w:val="20"/>
      <w:szCs w:val="20"/>
    </w:rPr>
  </w:style>
  <w:style w:type="character" w:customStyle="1" w:styleId="CommentTextChar">
    <w:name w:val="Comment Text Char"/>
    <w:basedOn w:val="DefaultParagraphFont"/>
    <w:link w:val="CommentText"/>
    <w:uiPriority w:val="99"/>
    <w:rsid w:val="009D652F"/>
    <w:rPr>
      <w:rFonts w:cs="Courier New"/>
      <w:sz w:val="20"/>
      <w:szCs w:val="20"/>
    </w:rPr>
  </w:style>
  <w:style w:type="paragraph" w:styleId="CommentSubject">
    <w:name w:val="annotation subject"/>
    <w:basedOn w:val="CommentText"/>
    <w:next w:val="CommentText"/>
    <w:link w:val="CommentSubjectChar"/>
    <w:uiPriority w:val="99"/>
    <w:semiHidden/>
    <w:unhideWhenUsed/>
    <w:rsid w:val="009D652F"/>
    <w:rPr>
      <w:b/>
      <w:bCs/>
    </w:rPr>
  </w:style>
  <w:style w:type="character" w:customStyle="1" w:styleId="CommentSubjectChar">
    <w:name w:val="Comment Subject Char"/>
    <w:basedOn w:val="CommentTextChar"/>
    <w:link w:val="CommentSubject"/>
    <w:uiPriority w:val="99"/>
    <w:semiHidden/>
    <w:rsid w:val="009D652F"/>
    <w:rPr>
      <w:rFonts w:cs="Courier New"/>
      <w:b/>
      <w:bCs/>
      <w:sz w:val="20"/>
      <w:szCs w:val="20"/>
    </w:rPr>
  </w:style>
  <w:style w:type="paragraph" w:styleId="BalloonText">
    <w:name w:val="Balloon Text"/>
    <w:basedOn w:val="Normal"/>
    <w:link w:val="BalloonTextChar"/>
    <w:uiPriority w:val="99"/>
    <w:semiHidden/>
    <w:unhideWhenUsed/>
    <w:rsid w:val="009D6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52F"/>
    <w:rPr>
      <w:rFonts w:ascii="Segoe UI" w:hAnsi="Segoe UI" w:cs="Segoe UI"/>
      <w:sz w:val="18"/>
      <w:szCs w:val="18"/>
    </w:rPr>
  </w:style>
  <w:style w:type="character" w:customStyle="1" w:styleId="cit-auth">
    <w:name w:val="cit-auth"/>
    <w:basedOn w:val="DefaultParagraphFont"/>
    <w:rsid w:val="009D652F"/>
  </w:style>
  <w:style w:type="character" w:customStyle="1" w:styleId="cit-name-surname">
    <w:name w:val="cit-name-surname"/>
    <w:basedOn w:val="DefaultParagraphFont"/>
    <w:rsid w:val="009D652F"/>
  </w:style>
  <w:style w:type="character" w:customStyle="1" w:styleId="cit-name-given-names">
    <w:name w:val="cit-name-given-names"/>
    <w:basedOn w:val="DefaultParagraphFont"/>
    <w:rsid w:val="009D652F"/>
  </w:style>
  <w:style w:type="character" w:styleId="HTMLCite">
    <w:name w:val="HTML Cite"/>
    <w:basedOn w:val="DefaultParagraphFont"/>
    <w:uiPriority w:val="99"/>
    <w:semiHidden/>
    <w:unhideWhenUsed/>
    <w:rsid w:val="009D652F"/>
    <w:rPr>
      <w:i/>
      <w:iCs/>
    </w:rPr>
  </w:style>
  <w:style w:type="character" w:customStyle="1" w:styleId="cit-article-title">
    <w:name w:val="cit-article-title"/>
    <w:basedOn w:val="DefaultParagraphFont"/>
    <w:rsid w:val="009D652F"/>
  </w:style>
  <w:style w:type="character" w:customStyle="1" w:styleId="cit-pub-date">
    <w:name w:val="cit-pub-date"/>
    <w:basedOn w:val="DefaultParagraphFont"/>
    <w:rsid w:val="009D652F"/>
  </w:style>
  <w:style w:type="character" w:customStyle="1" w:styleId="cit-vol">
    <w:name w:val="cit-vol"/>
    <w:basedOn w:val="DefaultParagraphFont"/>
    <w:rsid w:val="009D652F"/>
  </w:style>
  <w:style w:type="character" w:customStyle="1" w:styleId="cit-fpage">
    <w:name w:val="cit-fpage"/>
    <w:basedOn w:val="DefaultParagraphFont"/>
    <w:rsid w:val="009D652F"/>
  </w:style>
  <w:style w:type="character" w:customStyle="1" w:styleId="cit-lpage">
    <w:name w:val="cit-lpage"/>
    <w:basedOn w:val="DefaultParagraphFont"/>
    <w:rsid w:val="009D652F"/>
  </w:style>
  <w:style w:type="paragraph" w:customStyle="1" w:styleId="EndNoteBibliographyTitle">
    <w:name w:val="EndNote Bibliography Title"/>
    <w:basedOn w:val="Normal"/>
    <w:link w:val="EndNoteBibliographyTitleChar"/>
    <w:rsid w:val="009D652F"/>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9D652F"/>
    <w:rPr>
      <w:rFonts w:cs="Courier New"/>
      <w:noProof/>
      <w:lang w:val="en-US"/>
    </w:rPr>
  </w:style>
  <w:style w:type="paragraph" w:customStyle="1" w:styleId="EndNoteBibliography">
    <w:name w:val="EndNote Bibliography"/>
    <w:basedOn w:val="Normal"/>
    <w:link w:val="EndNoteBibliographyChar"/>
    <w:rsid w:val="009D652F"/>
    <w:pPr>
      <w:spacing w:line="240" w:lineRule="auto"/>
    </w:pPr>
    <w:rPr>
      <w:noProof/>
      <w:lang w:val="en-US"/>
    </w:rPr>
  </w:style>
  <w:style w:type="character" w:customStyle="1" w:styleId="EndNoteBibliographyChar">
    <w:name w:val="EndNote Bibliography Char"/>
    <w:basedOn w:val="DefaultParagraphFont"/>
    <w:link w:val="EndNoteBibliography"/>
    <w:rsid w:val="009D652F"/>
    <w:rPr>
      <w:rFonts w:cs="Courier New"/>
      <w:noProof/>
      <w:lang w:val="en-US"/>
    </w:rPr>
  </w:style>
  <w:style w:type="paragraph" w:styleId="Header">
    <w:name w:val="header"/>
    <w:basedOn w:val="Normal"/>
    <w:link w:val="HeaderChar"/>
    <w:uiPriority w:val="99"/>
    <w:unhideWhenUsed/>
    <w:rsid w:val="009D65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52F"/>
    <w:rPr>
      <w:rFonts w:cs="Courier New"/>
    </w:rPr>
  </w:style>
  <w:style w:type="paragraph" w:styleId="Footer">
    <w:name w:val="footer"/>
    <w:basedOn w:val="Normal"/>
    <w:link w:val="FooterChar"/>
    <w:uiPriority w:val="99"/>
    <w:unhideWhenUsed/>
    <w:rsid w:val="009D65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52F"/>
    <w:rPr>
      <w:rFonts w:cs="Courier New"/>
    </w:rPr>
  </w:style>
  <w:style w:type="character" w:customStyle="1" w:styleId="UnresolvedMention1">
    <w:name w:val="Unresolved Mention1"/>
    <w:basedOn w:val="DefaultParagraphFont"/>
    <w:uiPriority w:val="99"/>
    <w:semiHidden/>
    <w:unhideWhenUsed/>
    <w:rsid w:val="009D652F"/>
    <w:rPr>
      <w:color w:val="605E5C"/>
      <w:shd w:val="clear" w:color="auto" w:fill="E1DFDD"/>
    </w:rPr>
  </w:style>
  <w:style w:type="character" w:customStyle="1" w:styleId="UnresolvedMention2">
    <w:name w:val="Unresolved Mention2"/>
    <w:basedOn w:val="DefaultParagraphFont"/>
    <w:uiPriority w:val="99"/>
    <w:semiHidden/>
    <w:unhideWhenUsed/>
    <w:rsid w:val="009D652F"/>
    <w:rPr>
      <w:color w:val="605E5C"/>
      <w:shd w:val="clear" w:color="auto" w:fill="E1DFDD"/>
    </w:rPr>
  </w:style>
  <w:style w:type="table" w:styleId="TableGrid">
    <w:name w:val="Table Grid"/>
    <w:basedOn w:val="TableNormal"/>
    <w:uiPriority w:val="39"/>
    <w:rsid w:val="009D6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652F"/>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9D652F"/>
    <w:pPr>
      <w:spacing w:after="0" w:line="240" w:lineRule="auto"/>
    </w:pPr>
    <w:rPr>
      <w:rFonts w:ascii="Calibri" w:hAnsi="Calibri" w:cstheme="minorBidi"/>
      <w:szCs w:val="21"/>
    </w:rPr>
  </w:style>
  <w:style w:type="character" w:customStyle="1" w:styleId="PlainTextChar">
    <w:name w:val="Plain Text Char"/>
    <w:basedOn w:val="DefaultParagraphFont"/>
    <w:link w:val="PlainText"/>
    <w:uiPriority w:val="99"/>
    <w:semiHidden/>
    <w:rsid w:val="009D652F"/>
    <w:rPr>
      <w:rFonts w:ascii="Calibri" w:hAnsi="Calibri"/>
      <w:szCs w:val="21"/>
    </w:rPr>
  </w:style>
  <w:style w:type="paragraph" w:styleId="Revision">
    <w:name w:val="Revision"/>
    <w:hidden/>
    <w:uiPriority w:val="99"/>
    <w:semiHidden/>
    <w:rsid w:val="009D652F"/>
    <w:pPr>
      <w:spacing w:after="0" w:line="240" w:lineRule="auto"/>
    </w:pPr>
    <w:rPr>
      <w:rFonts w:ascii="Courier New" w:hAnsi="Courier New" w:cs="Courier New"/>
    </w:rPr>
  </w:style>
  <w:style w:type="paragraph" w:styleId="Bibliography">
    <w:name w:val="Bibliography"/>
    <w:basedOn w:val="Normal"/>
    <w:next w:val="Normal"/>
    <w:uiPriority w:val="37"/>
    <w:unhideWhenUsed/>
    <w:rsid w:val="009D652F"/>
    <w:pPr>
      <w:tabs>
        <w:tab w:val="left" w:pos="384"/>
      </w:tabs>
      <w:spacing w:after="240" w:line="240" w:lineRule="auto"/>
      <w:ind w:left="384" w:hanging="384"/>
    </w:pPr>
    <w:rPr>
      <w:rFonts w:cstheme="minorBidi"/>
    </w:rPr>
  </w:style>
  <w:style w:type="character" w:styleId="Strong">
    <w:name w:val="Strong"/>
    <w:basedOn w:val="DefaultParagraphFont"/>
    <w:uiPriority w:val="22"/>
    <w:qFormat/>
    <w:rsid w:val="009D652F"/>
    <w:rPr>
      <w:b/>
      <w:bCs/>
    </w:rPr>
  </w:style>
  <w:style w:type="character" w:customStyle="1" w:styleId="NichtaufgelsteErwhnung1">
    <w:name w:val="Nicht aufgelöste Erwähnung1"/>
    <w:basedOn w:val="DefaultParagraphFont"/>
    <w:uiPriority w:val="99"/>
    <w:semiHidden/>
    <w:unhideWhenUsed/>
    <w:rsid w:val="009D652F"/>
    <w:rPr>
      <w:color w:val="605E5C"/>
      <w:shd w:val="clear" w:color="auto" w:fill="E1DFDD"/>
    </w:rPr>
  </w:style>
  <w:style w:type="character" w:customStyle="1" w:styleId="UnresolvedMention3">
    <w:name w:val="Unresolved Mention3"/>
    <w:basedOn w:val="DefaultParagraphFont"/>
    <w:uiPriority w:val="99"/>
    <w:semiHidden/>
    <w:unhideWhenUsed/>
    <w:rsid w:val="009D652F"/>
    <w:rPr>
      <w:color w:val="605E5C"/>
      <w:shd w:val="clear" w:color="auto" w:fill="E1DFDD"/>
    </w:rPr>
  </w:style>
  <w:style w:type="character" w:styleId="UnresolvedMention">
    <w:name w:val="Unresolved Mention"/>
    <w:basedOn w:val="DefaultParagraphFont"/>
    <w:uiPriority w:val="99"/>
    <w:semiHidden/>
    <w:unhideWhenUsed/>
    <w:rsid w:val="009D652F"/>
    <w:rPr>
      <w:color w:val="605E5C"/>
      <w:shd w:val="clear" w:color="auto" w:fill="E1DFDD"/>
    </w:rPr>
  </w:style>
  <w:style w:type="paragraph" w:customStyle="1" w:styleId="Default">
    <w:name w:val="Default"/>
    <w:rsid w:val="009D652F"/>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1759-7714.12967" TargetMode="External"/><Relationship Id="rId18" Type="http://schemas.openxmlformats.org/officeDocument/2006/relationships/hyperlink" Target="https://doi.org/10.1002/hed.25682" TargetMode="External"/><Relationship Id="rId26" Type="http://schemas.openxmlformats.org/officeDocument/2006/relationships/hyperlink" Target="https://doi.org/10.1093/neuros/nyz145" TargetMode="External"/><Relationship Id="rId39" Type="http://schemas.openxmlformats.org/officeDocument/2006/relationships/hyperlink" Target="https://doi.org/10.1016/j.radonc.2019.01.003" TargetMode="External"/><Relationship Id="rId21" Type="http://schemas.openxmlformats.org/officeDocument/2006/relationships/hyperlink" Target="https://doi.org/10.1016/j.clgc.2018.09.018" TargetMode="External"/><Relationship Id="rId34" Type="http://schemas.openxmlformats.org/officeDocument/2006/relationships/hyperlink" Target="https://doi.org/10.1007/s00520-019-04699-z" TargetMode="External"/><Relationship Id="rId42" Type="http://schemas.openxmlformats.org/officeDocument/2006/relationships/hyperlink" Target="https://doi.org/10.1016/j.jphs.2019.03.004" TargetMode="External"/><Relationship Id="rId47" Type="http://schemas.openxmlformats.org/officeDocument/2006/relationships/hyperlink" Target="https://doi.org/10.1016/j.pan.2019.07.038" TargetMode="External"/><Relationship Id="rId50" Type="http://schemas.openxmlformats.org/officeDocument/2006/relationships/hyperlink" Target="https://doi.org/10.1016/j.ajog.2018.12.030" TargetMode="External"/><Relationship Id="rId55" Type="http://schemas.openxmlformats.org/officeDocument/2006/relationships/hyperlink" Target="https://doi.org/10.1007/s00428-019-02642-5" TargetMode="External"/><Relationship Id="rId63" Type="http://schemas.openxmlformats.org/officeDocument/2006/relationships/hyperlink" Target="https://doi.org/10.3389/fonc.2019.00771" TargetMode="External"/><Relationship Id="rId68" Type="http://schemas.openxmlformats.org/officeDocument/2006/relationships/theme" Target="theme/theme1.xml"/><Relationship Id="rId7" Type="http://schemas.openxmlformats.org/officeDocument/2006/relationships/hyperlink" Target="https://doi.org/10.1007/s12553-019-00334-3" TargetMode="External"/><Relationship Id="rId2" Type="http://schemas.openxmlformats.org/officeDocument/2006/relationships/styles" Target="styles.xml"/><Relationship Id="rId16" Type="http://schemas.openxmlformats.org/officeDocument/2006/relationships/hyperlink" Target="https://doi.org/10.1038/s41598-019-43372-7" TargetMode="External"/><Relationship Id="rId29" Type="http://schemas.openxmlformats.org/officeDocument/2006/relationships/hyperlink" Target="https://doi.org/10.1016/j.brachy.2019.04.004" TargetMode="External"/><Relationship Id="rId1" Type="http://schemas.openxmlformats.org/officeDocument/2006/relationships/numbering" Target="numbering.xml"/><Relationship Id="rId6" Type="http://schemas.openxmlformats.org/officeDocument/2006/relationships/hyperlink" Target="https://doi.org/10.1371/journal.pone.0218283" TargetMode="External"/><Relationship Id="rId11" Type="http://schemas.openxmlformats.org/officeDocument/2006/relationships/hyperlink" Target="https://doi.org/10.1002/mp.13314" TargetMode="External"/><Relationship Id="rId24" Type="http://schemas.openxmlformats.org/officeDocument/2006/relationships/hyperlink" Target="https://doi.org/10.1038/s41598-019-42451-z" TargetMode="External"/><Relationship Id="rId32" Type="http://schemas.openxmlformats.org/officeDocument/2006/relationships/hyperlink" Target="https://doi.org/10.1093/neuros/nyz070" TargetMode="External"/><Relationship Id="rId37" Type="http://schemas.openxmlformats.org/officeDocument/2006/relationships/hyperlink" Target="https://doi.org/10.3233/SHTI190548" TargetMode="External"/><Relationship Id="rId40" Type="http://schemas.openxmlformats.org/officeDocument/2006/relationships/hyperlink" Target="https://doi.org/10.1016/j.wneu.2018.12.091" TargetMode="External"/><Relationship Id="rId45" Type="http://schemas.openxmlformats.org/officeDocument/2006/relationships/hyperlink" Target="https://doi.org/10.1155/2019/8321942" TargetMode="External"/><Relationship Id="rId53" Type="http://schemas.openxmlformats.org/officeDocument/2006/relationships/hyperlink" Target="https://doi.org/10.1245/s10434-019-07690-4" TargetMode="External"/><Relationship Id="rId58" Type="http://schemas.openxmlformats.org/officeDocument/2006/relationships/hyperlink" Target="https://doi.org/10.12688/f1000research.8192.2" TargetMode="External"/><Relationship Id="rId66" Type="http://schemas.openxmlformats.org/officeDocument/2006/relationships/hyperlink" Target="https://doi.org/10.3390/cancers11050606" TargetMode="External"/><Relationship Id="rId5" Type="http://schemas.openxmlformats.org/officeDocument/2006/relationships/hyperlink" Target="https://doi.org/10.1007/s10916-019-1297-2" TargetMode="External"/><Relationship Id="rId15" Type="http://schemas.openxmlformats.org/officeDocument/2006/relationships/hyperlink" Target="https://doi.org/10.3389/fendo.2019.00288" TargetMode="External"/><Relationship Id="rId23" Type="http://schemas.openxmlformats.org/officeDocument/2006/relationships/hyperlink" Target="https://doi.org/10.1093/neuros/nyy469" TargetMode="External"/><Relationship Id="rId28" Type="http://schemas.openxmlformats.org/officeDocument/2006/relationships/hyperlink" Target="https://doi.org/10.1177/0194599818823200" TargetMode="External"/><Relationship Id="rId36" Type="http://schemas.openxmlformats.org/officeDocument/2006/relationships/hyperlink" Target="https://doi.org/10.1016/j.pmedr.2018.11.007" TargetMode="External"/><Relationship Id="rId49" Type="http://schemas.openxmlformats.org/officeDocument/2006/relationships/hyperlink" Target="https://doi.org/10.1177/1460458217720395" TargetMode="External"/><Relationship Id="rId57" Type="http://schemas.openxmlformats.org/officeDocument/2006/relationships/hyperlink" Target="https://doi.org/10.1002/cam4.2401" TargetMode="External"/><Relationship Id="rId61" Type="http://schemas.openxmlformats.org/officeDocument/2006/relationships/hyperlink" Target="https://doi.org/10.3802/jgo.2019.30.e65" TargetMode="External"/><Relationship Id="rId10" Type="http://schemas.openxmlformats.org/officeDocument/2006/relationships/hyperlink" Target="https://doi.org/10.1001/jamadermatol.2019.2335" TargetMode="External"/><Relationship Id="rId19" Type="http://schemas.openxmlformats.org/officeDocument/2006/relationships/hyperlink" Target="https://doi.org/10.1001/jamaoto.2019.0981" TargetMode="External"/><Relationship Id="rId31" Type="http://schemas.openxmlformats.org/officeDocument/2006/relationships/hyperlink" Target="https://doi.org/10.1007/s00701-019-03862-z" TargetMode="External"/><Relationship Id="rId44" Type="http://schemas.openxmlformats.org/officeDocument/2006/relationships/hyperlink" Target="https://doi.org/10.1186/s12904-019-0429-2" TargetMode="External"/><Relationship Id="rId52" Type="http://schemas.openxmlformats.org/officeDocument/2006/relationships/hyperlink" Target="https://doi.org/10.1111/bju.14477" TargetMode="External"/><Relationship Id="rId60" Type="http://schemas.openxmlformats.org/officeDocument/2006/relationships/hyperlink" Target="https://doi.org/10.1007/s11605-019-04373-z" TargetMode="External"/><Relationship Id="rId65" Type="http://schemas.openxmlformats.org/officeDocument/2006/relationships/hyperlink" Target="https://doi.org/10.1016/j.jbi.2019.103117" TargetMode="External"/><Relationship Id="rId4" Type="http://schemas.openxmlformats.org/officeDocument/2006/relationships/webSettings" Target="webSettings.xml"/><Relationship Id="rId9" Type="http://schemas.openxmlformats.org/officeDocument/2006/relationships/hyperlink" Target="https://doi.org/10.1016/j.eururo.2018.09.050" TargetMode="External"/><Relationship Id="rId14" Type="http://schemas.openxmlformats.org/officeDocument/2006/relationships/hyperlink" Target="https://doi.org/10.1038/s41598-019-47211-7" TargetMode="External"/><Relationship Id="rId22" Type="http://schemas.openxmlformats.org/officeDocument/2006/relationships/hyperlink" Target="https://doi.org/10.3233/SHTI190259" TargetMode="External"/><Relationship Id="rId27" Type="http://schemas.openxmlformats.org/officeDocument/2006/relationships/hyperlink" Target="https://doi.org/10.1016/j.bjoms.2019.05.026" TargetMode="External"/><Relationship Id="rId30" Type="http://schemas.openxmlformats.org/officeDocument/2006/relationships/hyperlink" Target="https://doi.org/10.1136/ijgc-2018-000033" TargetMode="External"/><Relationship Id="rId35" Type="http://schemas.openxmlformats.org/officeDocument/2006/relationships/hyperlink" Target="https://doi.org/10.1002/pds.4681" TargetMode="External"/><Relationship Id="rId43" Type="http://schemas.openxmlformats.org/officeDocument/2006/relationships/hyperlink" Target="https://doi.org/10.1148/radiol.2018180257" TargetMode="External"/><Relationship Id="rId48" Type="http://schemas.openxmlformats.org/officeDocument/2006/relationships/hyperlink" Target="https://doi.org/10.1016/j.clbc.2018.08.001" TargetMode="External"/><Relationship Id="rId56" Type="http://schemas.openxmlformats.org/officeDocument/2006/relationships/hyperlink" Target="https://doi.org/10.1007/s11060-019-03181-4" TargetMode="External"/><Relationship Id="rId64" Type="http://schemas.openxmlformats.org/officeDocument/2006/relationships/hyperlink" Target="https://doi.org/10.1371/journal.pone.0221421" TargetMode="External"/><Relationship Id="rId8" Type="http://schemas.openxmlformats.org/officeDocument/2006/relationships/hyperlink" Target="https://doi.org/10.1186/s12885-019-5827-6" TargetMode="External"/><Relationship Id="rId51" Type="http://schemas.openxmlformats.org/officeDocument/2006/relationships/hyperlink" Target="https://doi.org/10.1007/s11605-019-04338-2" TargetMode="External"/><Relationship Id="rId3" Type="http://schemas.openxmlformats.org/officeDocument/2006/relationships/settings" Target="settings.xml"/><Relationship Id="rId12" Type="http://schemas.openxmlformats.org/officeDocument/2006/relationships/hyperlink" Target="https://doi.org/10.1016/j.suronc.2019.04.008" TargetMode="External"/><Relationship Id="rId17" Type="http://schemas.openxmlformats.org/officeDocument/2006/relationships/hyperlink" Target="https://doi.org/10.32725/jab.2018.007" TargetMode="External"/><Relationship Id="rId25" Type="http://schemas.openxmlformats.org/officeDocument/2006/relationships/hyperlink" Target="https://doi.org/10.1016/j.jgo.2018.06.012" TargetMode="External"/><Relationship Id="rId33" Type="http://schemas.openxmlformats.org/officeDocument/2006/relationships/hyperlink" Target="https://doi.org/10.1016/j.ijmedinf.2019.05.003" TargetMode="External"/><Relationship Id="rId38" Type="http://schemas.openxmlformats.org/officeDocument/2006/relationships/hyperlink" Target="https://doi.org/10.7150/jca.33945" TargetMode="External"/><Relationship Id="rId46" Type="http://schemas.openxmlformats.org/officeDocument/2006/relationships/hyperlink" Target="https://doi.org/10.1016/j.wneu.2019.02.183" TargetMode="External"/><Relationship Id="rId59" Type="http://schemas.openxmlformats.org/officeDocument/2006/relationships/hyperlink" Target="https://doi.org/10.1093/neuros/nyy343" TargetMode="External"/><Relationship Id="rId67" Type="http://schemas.openxmlformats.org/officeDocument/2006/relationships/fontTable" Target="fontTable.xml"/><Relationship Id="rId20" Type="http://schemas.openxmlformats.org/officeDocument/2006/relationships/hyperlink" Target="https://doi.org/10.1186/s12885-019-5432-8" TargetMode="External"/><Relationship Id="rId41" Type="http://schemas.openxmlformats.org/officeDocument/2006/relationships/hyperlink" Target="https://doi.org/10.1038/s41598-019-48769-y" TargetMode="External"/><Relationship Id="rId54" Type="http://schemas.openxmlformats.org/officeDocument/2006/relationships/hyperlink" Target="https://doi.org/10.1007/s00270-019-02331-5" TargetMode="External"/><Relationship Id="rId62" Type="http://schemas.openxmlformats.org/officeDocument/2006/relationships/hyperlink" Target="https://doi.org/10.2196/13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8963</Words>
  <Characters>51094</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Dhiman</dc:creator>
  <cp:keywords/>
  <dc:description/>
  <cp:lastModifiedBy>Joseph Evangelista</cp:lastModifiedBy>
  <cp:revision>3</cp:revision>
  <dcterms:created xsi:type="dcterms:W3CDTF">2022-04-26T05:59:00Z</dcterms:created>
  <dcterms:modified xsi:type="dcterms:W3CDTF">2022-04-26T05:59:00Z</dcterms:modified>
</cp:coreProperties>
</file>