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57E24A" w14:textId="1D3C4B8A" w:rsidR="00C44FC6" w:rsidRDefault="00EF302F">
      <w:pPr>
        <w:pStyle w:val="Heading1"/>
      </w:pPr>
      <w:bookmarkStart w:id="0" w:name="Xdfa6325915508b1d0ff152e2f5dcc09b70dc030"/>
      <w:r>
        <w:t>Supplementary Material</w:t>
      </w:r>
      <w:r w:rsidR="00282DCE">
        <w:t>: Derivation of Predicted Cumulative Event Counts and R Implementation</w:t>
      </w:r>
    </w:p>
    <w:p w14:paraId="1390F2AC" w14:textId="77777777" w:rsidR="00C44FC6" w:rsidRDefault="00282DCE">
      <w:pPr>
        <w:pStyle w:val="Heading2"/>
      </w:pPr>
      <w:bookmarkStart w:id="1" w:name="s1.-notation-and-general-framework"/>
      <w:r>
        <w:t>S1. Notation and General Framework</w:t>
      </w:r>
    </w:p>
    <w:p w14:paraId="3ABA7665" w14:textId="77777777" w:rsidR="00C44FC6" w:rsidRDefault="00282DCE" w:rsidP="00473F96">
      <w:pPr>
        <w:pStyle w:val="FirstParagraph"/>
        <w:jc w:val="both"/>
      </w:pPr>
      <w:r>
        <w:t xml:space="preserve">Let </w:t>
      </w:r>
      <m:oMath>
        <m:r>
          <w:rPr>
            <w:rFonts w:ascii="Cambria Math" w:hAnsi="Cambria Math"/>
          </w:rPr>
          <m:t>i</m:t>
        </m:r>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n</m:t>
        </m:r>
      </m:oMath>
      <w:r>
        <w:t xml:space="preserve"> index individuals, </w:t>
      </w:r>
      <m:oMath>
        <m:sSup>
          <m:sSupPr>
            <m:ctrlPr>
              <w:rPr>
                <w:rFonts w:ascii="Cambria Math" w:hAnsi="Cambria Math"/>
              </w:rPr>
            </m:ctrlPr>
          </m:sSupPr>
          <m:e>
            <m:r>
              <w:rPr>
                <w:rFonts w:ascii="Cambria Math" w:hAnsi="Cambria Math"/>
              </w:rPr>
              <m:t>t</m:t>
            </m:r>
          </m:e>
          <m:sup>
            <m:r>
              <m:rPr>
                <m:sty m:val="p"/>
              </m:rPr>
              <w:rPr>
                <w:rFonts w:ascii="Cambria Math" w:hAnsi="Cambria Math"/>
              </w:rPr>
              <m:t>*</m:t>
            </m:r>
          </m:sup>
        </m:sSup>
      </m:oMath>
      <w:r>
        <w:t xml:space="preserve"> denote the prediction horizon (e.g. 1 year for asthma, 2 years for epilepsy), </w:t>
      </w:r>
      <m:oMath>
        <m:sSub>
          <m:sSubPr>
            <m:ctrlPr>
              <w:rPr>
                <w:rFonts w:ascii="Cambria Math" w:hAnsi="Cambria Math"/>
              </w:rPr>
            </m:ctrlPr>
          </m:sSubPr>
          <m:e>
            <m:r>
              <m:rPr>
                <m:sty m:val="b"/>
              </m:rPr>
              <w:rPr>
                <w:rFonts w:ascii="Cambria Math" w:hAnsi="Cambria Math"/>
              </w:rPr>
              <m:t>x</m:t>
            </m:r>
          </m:e>
          <m:sub>
            <m:r>
              <w:rPr>
                <w:rFonts w:ascii="Cambria Math" w:hAnsi="Cambria Math"/>
              </w:rPr>
              <m:t>i</m:t>
            </m:r>
          </m:sub>
        </m:sSub>
      </m:oMath>
      <w:r>
        <w:t xml:space="preserve"> the covariate vector for individual </w:t>
      </w:r>
      <m:oMath>
        <m:r>
          <w:rPr>
            <w:rFonts w:ascii="Cambria Math" w:hAnsi="Cambria Math"/>
          </w:rPr>
          <m:t>i</m:t>
        </m:r>
      </m:oMath>
      <w:r>
        <w:t xml:space="preserve">, and </w:t>
      </w:r>
      <m:oMath>
        <m:acc>
          <m:accPr>
            <m:ctrlPr>
              <w:rPr>
                <w:rFonts w:ascii="Cambria Math" w:hAnsi="Cambria Math"/>
              </w:rPr>
            </m:ctrlPr>
          </m:accPr>
          <m:e>
            <m:r>
              <m:rPr>
                <m:sty m:val="b"/>
              </m:rPr>
              <w:rPr>
                <w:rFonts w:ascii="Cambria Math" w:hAnsi="Cambria Math"/>
              </w:rPr>
              <m:t>β</m:t>
            </m:r>
          </m:e>
        </m:acc>
      </m:oMath>
      <w:r>
        <w:t xml:space="preserve"> the vector of estimated regression coefficients. Where applicable, </w:t>
      </w:r>
      <m:oMath>
        <m:sSub>
          <m:sSubPr>
            <m:ctrlPr>
              <w:rPr>
                <w:rFonts w:ascii="Cambria Math" w:hAnsi="Cambria Math"/>
              </w:rPr>
            </m:ctrlPr>
          </m:sSubPr>
          <m:e>
            <m:r>
              <w:rPr>
                <w:rFonts w:ascii="Cambria Math" w:hAnsi="Cambria Math"/>
              </w:rPr>
              <m:t>t</m:t>
            </m:r>
          </m:e>
          <m:sub>
            <m:r>
              <w:rPr>
                <w:rFonts w:ascii="Cambria Math" w:hAnsi="Cambria Math"/>
              </w:rPr>
              <m:t>ij</m:t>
            </m:r>
          </m:sub>
        </m:sSub>
      </m:oMath>
      <w:r>
        <w:t xml:space="preserve"> denotes the time of the </w:t>
      </w:r>
      <m:oMath>
        <m:r>
          <w:rPr>
            <w:rFonts w:ascii="Cambria Math" w:hAnsi="Cambria Math"/>
          </w:rPr>
          <m:t>j</m:t>
        </m:r>
      </m:oMath>
      <w:r>
        <w:t xml:space="preserve">th event for individual </w:t>
      </w:r>
      <m:oMath>
        <m:r>
          <w:rPr>
            <w:rFonts w:ascii="Cambria Math" w:hAnsi="Cambria Math"/>
          </w:rPr>
          <m:t>i</m:t>
        </m:r>
      </m:oMath>
      <w:r>
        <w:t xml:space="preserve">, and </w:t>
      </w:r>
      <m:oMath>
        <m:sSub>
          <m:sSubPr>
            <m:ctrlPr>
              <w:rPr>
                <w:rFonts w:ascii="Cambria Math" w:hAnsi="Cambria Math"/>
              </w:rPr>
            </m:ctrlPr>
          </m:sSubPr>
          <m:e>
            <m:r>
              <w:rPr>
                <w:rFonts w:ascii="Cambria Math" w:hAnsi="Cambria Math"/>
              </w:rPr>
              <m:t>δ</m:t>
            </m:r>
          </m:e>
          <m:sub>
            <m:r>
              <w:rPr>
                <w:rFonts w:ascii="Cambria Math" w:hAnsi="Cambria Math"/>
              </w:rPr>
              <m:t>ij</m:t>
            </m:r>
          </m:sub>
        </m:sSub>
      </m:oMath>
      <w:r>
        <w:t xml:space="preserve"> the corresponding event indicator.</w:t>
      </w:r>
    </w:p>
    <w:p w14:paraId="1E5CC63A" w14:textId="77777777" w:rsidR="00C44FC6" w:rsidRDefault="00282DCE" w:rsidP="00473F96">
      <w:pPr>
        <w:pStyle w:val="BodyText"/>
        <w:jc w:val="both"/>
      </w:pPr>
      <w:r>
        <w:t xml:space="preserve">Across all four models considered in this paper, the key prediction used for discrimination evaluation is the </w:t>
      </w:r>
      <w:r>
        <w:rPr>
          <w:b/>
          <w:bCs/>
        </w:rPr>
        <w:t>expected cumulative event count</w:t>
      </w:r>
      <w:r>
        <w:t xml:space="preserve"> for individual </w:t>
      </w:r>
      <m:oMath>
        <m:r>
          <w:rPr>
            <w:rFonts w:ascii="Cambria Math" w:hAnsi="Cambria Math"/>
          </w:rPr>
          <m:t>i</m:t>
        </m:r>
      </m:oMath>
      <w:r>
        <w:t xml:space="preserve"> up to the prediction horizon </w:t>
      </w:r>
      <m:oMath>
        <m:sSup>
          <m:sSupPr>
            <m:ctrlPr>
              <w:rPr>
                <w:rFonts w:ascii="Cambria Math" w:hAnsi="Cambria Math"/>
              </w:rPr>
            </m:ctrlPr>
          </m:sSupPr>
          <m:e>
            <m:r>
              <w:rPr>
                <w:rFonts w:ascii="Cambria Math" w:hAnsi="Cambria Math"/>
              </w:rPr>
              <m:t>t</m:t>
            </m:r>
          </m:e>
          <m:sup>
            <m:r>
              <m:rPr>
                <m:sty m:val="p"/>
              </m:rPr>
              <w:rPr>
                <w:rFonts w:ascii="Cambria Math" w:hAnsi="Cambria Math"/>
              </w:rPr>
              <m:t>*</m:t>
            </m:r>
          </m:sup>
        </m:sSup>
      </m:oMath>
      <w:r>
        <w:t xml:space="preserve">: </w:t>
      </w:r>
      <m:oMath>
        <m:sSub>
          <m:sSubPr>
            <m:ctrlPr>
              <w:rPr>
                <w:rFonts w:ascii="Cambria Math" w:hAnsi="Cambria Math"/>
              </w:rPr>
            </m:ctrlPr>
          </m:sSubPr>
          <m:e>
            <m:acc>
              <m:accPr>
                <m:ctrlPr>
                  <w:rPr>
                    <w:rFonts w:ascii="Cambria Math" w:hAnsi="Cambria Math"/>
                  </w:rPr>
                </m:ctrlPr>
              </m:accPr>
              <m:e>
                <m:r>
                  <w:rPr>
                    <w:rFonts w:ascii="Cambria Math" w:hAnsi="Cambria Math"/>
                  </w:rPr>
                  <m:t>μ</m:t>
                </m:r>
              </m:e>
            </m:acc>
          </m:e>
          <m:sub>
            <m:r>
              <w:rPr>
                <w:rFonts w:ascii="Cambria Math" w:hAnsi="Cambria Math"/>
              </w:rPr>
              <m:t>i</m:t>
            </m:r>
          </m:sub>
        </m:sSub>
        <m:d>
          <m:dPr>
            <m:ctrlPr>
              <w:rPr>
                <w:rFonts w:ascii="Cambria Math" w:hAnsi="Cambria Math"/>
              </w:rPr>
            </m:ctrlPr>
          </m:dPr>
          <m:e>
            <m:sSup>
              <m:sSupPr>
                <m:ctrlPr>
                  <w:rPr>
                    <w:rFonts w:ascii="Cambria Math" w:hAnsi="Cambria Math"/>
                  </w:rPr>
                </m:ctrlPr>
              </m:sSupPr>
              <m:e>
                <m:r>
                  <w:rPr>
                    <w:rFonts w:ascii="Cambria Math" w:hAnsi="Cambria Math"/>
                  </w:rPr>
                  <m:t>t</m:t>
                </m:r>
              </m:e>
              <m:sup>
                <m:r>
                  <m:rPr>
                    <m:sty m:val="p"/>
                  </m:rPr>
                  <w:rPr>
                    <w:rFonts w:ascii="Cambria Math" w:hAnsi="Cambria Math"/>
                  </w:rPr>
                  <m:t>*</m:t>
                </m:r>
              </m:sup>
            </m:sSup>
          </m:e>
        </m:d>
      </m:oMath>
      <w:r>
        <w:t>. This scalar summary is passed alongside the individual’s observed total event count to the concordance calculations described in the main paper.</w:t>
      </w:r>
    </w:p>
    <w:p w14:paraId="682D6820" w14:textId="77777777" w:rsidR="00C44FC6" w:rsidRDefault="00282DCE">
      <w:pPr>
        <w:pStyle w:val="Heading2"/>
      </w:pPr>
      <w:bookmarkStart w:id="2" w:name="s2.-negative-binomial-nb-model"/>
      <w:bookmarkEnd w:id="1"/>
      <w:r>
        <w:t>S2. Negative Binomial (NB) Model</w:t>
      </w:r>
    </w:p>
    <w:p w14:paraId="31007149" w14:textId="77777777" w:rsidR="00C44FC6" w:rsidRDefault="00282DCE">
      <w:pPr>
        <w:pStyle w:val="Heading3"/>
      </w:pPr>
      <w:bookmarkStart w:id="3" w:name="s2.1-model-specification"/>
      <w:r>
        <w:t>S2.1 Model specification</w:t>
      </w:r>
    </w:p>
    <w:p w14:paraId="7906D94E" w14:textId="77777777" w:rsidR="00C44FC6" w:rsidRDefault="00282DCE">
      <w:pPr>
        <w:pStyle w:val="FirstParagraph"/>
      </w:pPr>
      <w:r>
        <w:t xml:space="preserve">Let </w:t>
      </w:r>
      <m:oMath>
        <m:sSub>
          <m:sSubPr>
            <m:ctrlPr>
              <w:rPr>
                <w:rFonts w:ascii="Cambria Math" w:hAnsi="Cambria Math"/>
              </w:rPr>
            </m:ctrlPr>
          </m:sSubPr>
          <m:e>
            <m:r>
              <w:rPr>
                <w:rFonts w:ascii="Cambria Math" w:hAnsi="Cambria Math"/>
              </w:rPr>
              <m:t>Y</m:t>
            </m:r>
          </m:e>
          <m:sub>
            <m:r>
              <w:rPr>
                <w:rFonts w:ascii="Cambria Math" w:hAnsi="Cambria Math"/>
              </w:rPr>
              <m:t>i</m:t>
            </m:r>
          </m:sub>
        </m:sSub>
      </m:oMath>
      <w:r>
        <w:t xml:space="preserve"> denote the total event count for individual </w:t>
      </w:r>
      <m:oMath>
        <m:r>
          <w:rPr>
            <w:rFonts w:ascii="Cambria Math" w:hAnsi="Cambria Math"/>
          </w:rPr>
          <m:t>i</m:t>
        </m:r>
      </m:oMath>
      <w:r>
        <w:t xml:space="preserve"> observed over a follow-up period of length </w:t>
      </w:r>
      <m:oMath>
        <m:sSub>
          <m:sSubPr>
            <m:ctrlPr>
              <w:rPr>
                <w:rFonts w:ascii="Cambria Math" w:hAnsi="Cambria Math"/>
              </w:rPr>
            </m:ctrlPr>
          </m:sSubPr>
          <m:e>
            <m:r>
              <w:rPr>
                <w:rFonts w:ascii="Cambria Math" w:hAnsi="Cambria Math"/>
              </w:rPr>
              <m:t>f</m:t>
            </m:r>
          </m:e>
          <m:sub>
            <m:r>
              <w:rPr>
                <w:rFonts w:ascii="Cambria Math" w:hAnsi="Cambria Math"/>
              </w:rPr>
              <m:t>i</m:t>
            </m:r>
          </m:sub>
        </m:sSub>
      </m:oMath>
      <w:r>
        <w:t>. The NB model specifies:</w:t>
      </w:r>
    </w:p>
    <w:p w14:paraId="16CB72BC" w14:textId="77777777" w:rsidR="00C44FC6" w:rsidRDefault="00AB04F8">
      <w:pPr>
        <w:pStyle w:val="BodyText"/>
      </w:pPr>
      <m:oMathPara>
        <m:oMathParaPr>
          <m:jc m:val="center"/>
        </m:oMathParaPr>
        <m:oMath>
          <m:sSub>
            <m:sSubPr>
              <m:ctrlPr>
                <w:rPr>
                  <w:rFonts w:ascii="Cambria Math" w:hAnsi="Cambria Math"/>
                </w:rPr>
              </m:ctrlPr>
            </m:sSubPr>
            <m:e>
              <m:r>
                <w:rPr>
                  <w:rFonts w:ascii="Cambria Math" w:hAnsi="Cambria Math"/>
                </w:rPr>
                <m:t>Y</m:t>
              </m:r>
            </m:e>
            <m:sub>
              <m:r>
                <w:rPr>
                  <w:rFonts w:ascii="Cambria Math" w:hAnsi="Cambria Math"/>
                </w:rPr>
                <m:t>i</m:t>
              </m:r>
            </m:sub>
          </m:sSub>
          <m:r>
            <m:rPr>
              <m:sty m:val="p"/>
            </m:rPr>
            <w:rPr>
              <w:rFonts w:ascii="Cambria Math" w:hAnsi="Cambria Math"/>
            </w:rPr>
            <m:t>∣</m:t>
          </m:r>
          <m:sSub>
            <m:sSubPr>
              <m:ctrlPr>
                <w:rPr>
                  <w:rFonts w:ascii="Cambria Math" w:hAnsi="Cambria Math"/>
                </w:rPr>
              </m:ctrlPr>
            </m:sSubPr>
            <m:e>
              <m:r>
                <w:rPr>
                  <w:rFonts w:ascii="Cambria Math" w:hAnsi="Cambria Math"/>
                </w:rPr>
                <m:t>μ</m:t>
              </m:r>
            </m:e>
            <m:sub>
              <m:r>
                <w:rPr>
                  <w:rFonts w:ascii="Cambria Math" w:hAnsi="Cambria Math"/>
                </w:rPr>
                <m:t>i</m:t>
              </m:r>
            </m:sub>
          </m:sSub>
          <m:r>
            <m:rPr>
              <m:sty m:val="p"/>
            </m:rPr>
            <w:rPr>
              <w:rFonts w:ascii="Cambria Math" w:hAnsi="Cambria Math"/>
            </w:rPr>
            <m:t>∼</m:t>
          </m:r>
          <m:r>
            <m:rPr>
              <m:nor/>
            </m:rPr>
            <m:t>NegBin</m:t>
          </m:r>
          <m:d>
            <m:dPr>
              <m:ctrlPr>
                <w:rPr>
                  <w:rFonts w:ascii="Cambria Math" w:hAnsi="Cambria Math"/>
                </w:rPr>
              </m:ctrlPr>
            </m:dPr>
            <m:e>
              <m:sSub>
                <m:sSubPr>
                  <m:ctrlPr>
                    <w:rPr>
                      <w:rFonts w:ascii="Cambria Math" w:hAnsi="Cambria Math"/>
                    </w:rPr>
                  </m:ctrlPr>
                </m:sSubPr>
                <m:e>
                  <m:r>
                    <w:rPr>
                      <w:rFonts w:ascii="Cambria Math" w:hAnsi="Cambria Math"/>
                    </w:rPr>
                    <m:t>μ</m:t>
                  </m:r>
                </m:e>
                <m:sub>
                  <m:r>
                    <w:rPr>
                      <w:rFonts w:ascii="Cambria Math" w:hAnsi="Cambria Math"/>
                    </w:rPr>
                    <m:t>i</m:t>
                  </m:r>
                </m:sub>
              </m:sSub>
              <m:r>
                <m:rPr>
                  <m:sty m:val="p"/>
                </m:rPr>
                <w:rPr>
                  <w:rFonts w:ascii="Cambria Math" w:hAnsi="Cambria Math"/>
                </w:rPr>
                <m:t>,</m:t>
              </m:r>
              <m:r>
                <w:rPr>
                  <w:rFonts w:ascii="Cambria Math" w:hAnsi="Cambria Math"/>
                </w:rPr>
                <m:t> θ</m:t>
              </m:r>
            </m:e>
          </m:d>
        </m:oMath>
      </m:oMathPara>
    </w:p>
    <w:p w14:paraId="15FD5145" w14:textId="77777777" w:rsidR="00C44FC6" w:rsidRDefault="00282DCE">
      <w:pPr>
        <w:pStyle w:val="FirstParagraph"/>
      </w:pPr>
      <w:r>
        <w:t xml:space="preserve">where </w:t>
      </w:r>
      <m:oMath>
        <m:r>
          <w:rPr>
            <w:rFonts w:ascii="Cambria Math" w:hAnsi="Cambria Math"/>
          </w:rPr>
          <m:t>θ</m:t>
        </m:r>
      </m:oMath>
      <w:r>
        <w:t xml:space="preserve"> is the dispersion parameter and the mean is modelled on the log scale with a follow-up offset:</w:t>
      </w:r>
    </w:p>
    <w:p w14:paraId="322375AC" w14:textId="77777777" w:rsidR="00C44FC6" w:rsidRDefault="00282DCE">
      <w:pPr>
        <w:pStyle w:val="BodyText"/>
      </w:pPr>
      <m:oMathPara>
        <m:oMathParaPr>
          <m:jc m:val="center"/>
        </m:oMathParaPr>
        <m:oMath>
          <m:r>
            <m:rPr>
              <m:sty m:val="p"/>
            </m:rPr>
            <w:rPr>
              <w:rFonts w:ascii="Cambria Math" w:hAnsi="Cambria Math"/>
            </w:rPr>
            <m:t>log</m:t>
          </m:r>
          <m:d>
            <m:dPr>
              <m:ctrlPr>
                <w:rPr>
                  <w:rFonts w:ascii="Cambria Math" w:hAnsi="Cambria Math"/>
                </w:rPr>
              </m:ctrlPr>
            </m:dPr>
            <m:e>
              <m:sSub>
                <m:sSubPr>
                  <m:ctrlPr>
                    <w:rPr>
                      <w:rFonts w:ascii="Cambria Math" w:hAnsi="Cambria Math"/>
                    </w:rPr>
                  </m:ctrlPr>
                </m:sSubPr>
                <m:e>
                  <m:r>
                    <w:rPr>
                      <w:rFonts w:ascii="Cambria Math" w:hAnsi="Cambria Math"/>
                    </w:rPr>
                    <m:t>μ</m:t>
                  </m:r>
                </m:e>
                <m:sub>
                  <m:r>
                    <w:rPr>
                      <w:rFonts w:ascii="Cambria Math" w:hAnsi="Cambria Math"/>
                    </w:rPr>
                    <m:t>i</m:t>
                  </m:r>
                </m:sub>
              </m:sSub>
            </m:e>
          </m:d>
          <m:r>
            <m:rPr>
              <m:sty m:val="p"/>
            </m:rPr>
            <w:rPr>
              <w:rFonts w:ascii="Cambria Math" w:hAnsi="Cambria Math"/>
            </w:rPr>
            <m:t>=</m:t>
          </m:r>
          <m:sSubSup>
            <m:sSubSupPr>
              <m:ctrlPr>
                <w:rPr>
                  <w:rFonts w:ascii="Cambria Math" w:hAnsi="Cambria Math"/>
                </w:rPr>
              </m:ctrlPr>
            </m:sSubSupPr>
            <m:e>
              <m:r>
                <m:rPr>
                  <m:sty m:val="b"/>
                </m:rPr>
                <w:rPr>
                  <w:rFonts w:ascii="Cambria Math" w:hAnsi="Cambria Math"/>
                </w:rPr>
                <m:t>x</m:t>
              </m:r>
            </m:e>
            <m:sub>
              <m:r>
                <w:rPr>
                  <w:rFonts w:ascii="Cambria Math" w:hAnsi="Cambria Math"/>
                </w:rPr>
                <m:t>i</m:t>
              </m:r>
            </m:sub>
            <m:sup>
              <m:r>
                <m:rPr>
                  <m:sty m:val="p"/>
                </m:rPr>
                <w:rPr>
                  <w:rFonts w:ascii="Cambria Math" w:hAnsi="Cambria Math"/>
                </w:rPr>
                <m:t>⊤</m:t>
              </m:r>
            </m:sup>
          </m:sSubSup>
          <m:acc>
            <m:accPr>
              <m:ctrlPr>
                <w:rPr>
                  <w:rFonts w:ascii="Cambria Math" w:hAnsi="Cambria Math"/>
                </w:rPr>
              </m:ctrlPr>
            </m:accPr>
            <m:e>
              <m:r>
                <m:rPr>
                  <m:sty m:val="b"/>
                </m:rPr>
                <w:rPr>
                  <w:rFonts w:ascii="Cambria Math" w:hAnsi="Cambria Math"/>
                </w:rPr>
                <m:t>β</m:t>
              </m:r>
            </m:e>
          </m:acc>
          <m:r>
            <m:rPr>
              <m:sty m:val="p"/>
            </m:rPr>
            <w:rPr>
              <w:rFonts w:ascii="Cambria Math" w:hAnsi="Cambria Math"/>
            </w:rPr>
            <m:t>+log</m:t>
          </m:r>
          <m:d>
            <m:dPr>
              <m:ctrlPr>
                <w:rPr>
                  <w:rFonts w:ascii="Cambria Math" w:hAnsi="Cambria Math"/>
                </w:rPr>
              </m:ctrlPr>
            </m:dPr>
            <m:e>
              <m:sSub>
                <m:sSubPr>
                  <m:ctrlPr>
                    <w:rPr>
                      <w:rFonts w:ascii="Cambria Math" w:hAnsi="Cambria Math"/>
                    </w:rPr>
                  </m:ctrlPr>
                </m:sSubPr>
                <m:e>
                  <m:r>
                    <w:rPr>
                      <w:rFonts w:ascii="Cambria Math" w:hAnsi="Cambria Math"/>
                    </w:rPr>
                    <m:t>f</m:t>
                  </m:r>
                </m:e>
                <m:sub>
                  <m:r>
                    <w:rPr>
                      <w:rFonts w:ascii="Cambria Math" w:hAnsi="Cambria Math"/>
                    </w:rPr>
                    <m:t>i</m:t>
                  </m:r>
                </m:sub>
              </m:sSub>
            </m:e>
          </m:d>
        </m:oMath>
      </m:oMathPara>
    </w:p>
    <w:p w14:paraId="15660467" w14:textId="77777777" w:rsidR="00C44FC6" w:rsidRDefault="00282DCE">
      <w:pPr>
        <w:pStyle w:val="Heading3"/>
      </w:pPr>
      <w:bookmarkStart w:id="4" w:name="s2.2-predicted-cumulative-event-count"/>
      <w:bookmarkEnd w:id="3"/>
      <w:r>
        <w:t>S2.2 Predicted cumulative event count</w:t>
      </w:r>
    </w:p>
    <w:p w14:paraId="05C3B0BF" w14:textId="77777777" w:rsidR="00C44FC6" w:rsidRDefault="00282DCE">
      <w:pPr>
        <w:pStyle w:val="FirstParagraph"/>
      </w:pPr>
      <w:r>
        <w:t xml:space="preserve">The predicted cumulative event count for individual </w:t>
      </w:r>
      <m:oMath>
        <m:r>
          <w:rPr>
            <w:rFonts w:ascii="Cambria Math" w:hAnsi="Cambria Math"/>
          </w:rPr>
          <m:t>i</m:t>
        </m:r>
      </m:oMath>
      <w:r>
        <w:t xml:space="preserve"> at the prediction horizon is:</w:t>
      </w:r>
    </w:p>
    <w:p w14:paraId="3F60543F" w14:textId="77777777" w:rsidR="00C44FC6" w:rsidRDefault="00AB04F8">
      <w:pPr>
        <w:pStyle w:val="BodyText"/>
      </w:pPr>
      <m:oMathPara>
        <m:oMathParaPr>
          <m:jc m:val="center"/>
        </m:oMathParaPr>
        <m:oMath>
          <m:sSub>
            <m:sSubPr>
              <m:ctrlPr>
                <w:rPr>
                  <w:rFonts w:ascii="Cambria Math" w:hAnsi="Cambria Math"/>
                </w:rPr>
              </m:ctrlPr>
            </m:sSubPr>
            <m:e>
              <m:acc>
                <m:accPr>
                  <m:ctrlPr>
                    <w:rPr>
                      <w:rFonts w:ascii="Cambria Math" w:hAnsi="Cambria Math"/>
                    </w:rPr>
                  </m:ctrlPr>
                </m:accPr>
                <m:e>
                  <m:r>
                    <w:rPr>
                      <w:rFonts w:ascii="Cambria Math" w:hAnsi="Cambria Math"/>
                    </w:rPr>
                    <m:t>μ</m:t>
                  </m:r>
                </m:e>
              </m:acc>
            </m:e>
            <m:sub>
              <m:r>
                <w:rPr>
                  <w:rFonts w:ascii="Cambria Math" w:hAnsi="Cambria Math"/>
                </w:rPr>
                <m:t>i</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i</m:t>
              </m:r>
            </m:sub>
          </m:sSub>
          <m:r>
            <m:rPr>
              <m:sty m:val="p"/>
            </m:rPr>
            <w:rPr>
              <w:rFonts w:ascii="Cambria Math" w:hAnsi="Cambria Math"/>
            </w:rPr>
            <m:t>⋅exp</m:t>
          </m:r>
          <m:r>
            <w:rPr>
              <w:rFonts w:ascii="Cambria Math" w:hAnsi="Cambria Math"/>
            </w:rPr>
            <m:t>​</m:t>
          </m:r>
          <m:d>
            <m:dPr>
              <m:ctrlPr>
                <w:rPr>
                  <w:rFonts w:ascii="Cambria Math" w:hAnsi="Cambria Math"/>
                </w:rPr>
              </m:ctrlPr>
            </m:dPr>
            <m:e>
              <m:sSubSup>
                <m:sSubSupPr>
                  <m:ctrlPr>
                    <w:rPr>
                      <w:rFonts w:ascii="Cambria Math" w:hAnsi="Cambria Math"/>
                    </w:rPr>
                  </m:ctrlPr>
                </m:sSubSupPr>
                <m:e>
                  <m:r>
                    <m:rPr>
                      <m:sty m:val="b"/>
                    </m:rPr>
                    <w:rPr>
                      <w:rFonts w:ascii="Cambria Math" w:hAnsi="Cambria Math"/>
                    </w:rPr>
                    <m:t>x</m:t>
                  </m:r>
                </m:e>
                <m:sub>
                  <m:r>
                    <w:rPr>
                      <w:rFonts w:ascii="Cambria Math" w:hAnsi="Cambria Math"/>
                    </w:rPr>
                    <m:t>i</m:t>
                  </m:r>
                </m:sub>
                <m:sup>
                  <m:r>
                    <m:rPr>
                      <m:sty m:val="p"/>
                    </m:rPr>
                    <w:rPr>
                      <w:rFonts w:ascii="Cambria Math" w:hAnsi="Cambria Math"/>
                    </w:rPr>
                    <m:t>⊤</m:t>
                  </m:r>
                </m:sup>
              </m:sSubSup>
              <m:acc>
                <m:accPr>
                  <m:ctrlPr>
                    <w:rPr>
                      <w:rFonts w:ascii="Cambria Math" w:hAnsi="Cambria Math"/>
                    </w:rPr>
                  </m:ctrlPr>
                </m:accPr>
                <m:e>
                  <m:r>
                    <m:rPr>
                      <m:sty m:val="b"/>
                    </m:rPr>
                    <w:rPr>
                      <w:rFonts w:ascii="Cambria Math" w:hAnsi="Cambria Math"/>
                    </w:rPr>
                    <m:t>β</m:t>
                  </m:r>
                </m:e>
              </m:acc>
            </m:e>
          </m:d>
        </m:oMath>
      </m:oMathPara>
    </w:p>
    <w:p w14:paraId="6D8CCBF3" w14:textId="77777777" w:rsidR="00C44FC6" w:rsidRDefault="00282DCE">
      <w:pPr>
        <w:pStyle w:val="FirstParagraph"/>
      </w:pPr>
      <w:r>
        <w:t xml:space="preserve">This is obtained in R via </w:t>
      </w:r>
      <w:r>
        <w:rPr>
          <w:rStyle w:val="VerbatimChar"/>
        </w:rPr>
        <w:t>predict(fit, type = "link")</w:t>
      </w:r>
      <w:r>
        <w:t xml:space="preserve"> followed by exponentiation, which recovers </w:t>
      </w:r>
      <m:oMath>
        <m:sSub>
          <m:sSubPr>
            <m:ctrlPr>
              <w:rPr>
                <w:rFonts w:ascii="Cambria Math" w:hAnsi="Cambria Math"/>
              </w:rPr>
            </m:ctrlPr>
          </m:sSubPr>
          <m:e>
            <m:acc>
              <m:accPr>
                <m:ctrlPr>
                  <w:rPr>
                    <w:rFonts w:ascii="Cambria Math" w:hAnsi="Cambria Math"/>
                  </w:rPr>
                </m:ctrlPr>
              </m:accPr>
              <m:e>
                <m:r>
                  <w:rPr>
                    <w:rFonts w:ascii="Cambria Math" w:hAnsi="Cambria Math"/>
                  </w:rPr>
                  <m:t>μ</m:t>
                </m:r>
              </m:e>
            </m:acc>
          </m:e>
          <m:sub>
            <m:r>
              <w:rPr>
                <w:rFonts w:ascii="Cambria Math" w:hAnsi="Cambria Math"/>
              </w:rPr>
              <m:t>i</m:t>
            </m:r>
          </m:sub>
        </m:sSub>
      </m:oMath>
      <w:r>
        <w:t xml:space="preserve"> on the count scale inclusive of the offset. In the OPCRD analysis the outcome was total asthma exacerbations over three years, with </w:t>
      </w:r>
      <m:oMath>
        <m:sSub>
          <m:sSubPr>
            <m:ctrlPr>
              <w:rPr>
                <w:rFonts w:ascii="Cambria Math" w:hAnsi="Cambria Math"/>
              </w:rPr>
            </m:ctrlPr>
          </m:sSubPr>
          <m:e>
            <m:r>
              <w:rPr>
                <w:rFonts w:ascii="Cambria Math" w:hAnsi="Cambria Math"/>
              </w:rPr>
              <m:t>f</m:t>
            </m:r>
          </m:e>
          <m:sub>
            <m:r>
              <w:rPr>
                <w:rFonts w:ascii="Cambria Math" w:hAnsi="Cambria Math"/>
              </w:rPr>
              <m:t>i</m:t>
            </m:r>
          </m:sub>
        </m:sSub>
      </m:oMath>
      <w:r>
        <w:t xml:space="preserve"> in days (</w:t>
      </w:r>
      <w:r>
        <w:rPr>
          <w:rStyle w:val="VerbatimChar"/>
        </w:rPr>
        <w:t>fupdur</w:t>
      </w:r>
      <w:r>
        <w:t xml:space="preserve">). In the SANAD analysis the outcome was total seizure count over two years, with </w:t>
      </w:r>
      <m:oMath>
        <m:sSub>
          <m:sSubPr>
            <m:ctrlPr>
              <w:rPr>
                <w:rFonts w:ascii="Cambria Math" w:hAnsi="Cambria Math"/>
              </w:rPr>
            </m:ctrlPr>
          </m:sSubPr>
          <m:e>
            <m:r>
              <w:rPr>
                <w:rFonts w:ascii="Cambria Math" w:hAnsi="Cambria Math"/>
              </w:rPr>
              <m:t>f</m:t>
            </m:r>
          </m:e>
          <m:sub>
            <m:r>
              <w:rPr>
                <w:rFonts w:ascii="Cambria Math" w:hAnsi="Cambria Math"/>
              </w:rPr>
              <m:t>i</m:t>
            </m:r>
          </m:sub>
        </m:sSub>
      </m:oMath>
      <w:r>
        <w:t xml:space="preserve"> in years (</w:t>
      </w:r>
      <w:r>
        <w:rPr>
          <w:rStyle w:val="VerbatimChar"/>
        </w:rPr>
        <w:t>totfup</w:t>
      </w:r>
      <w:r>
        <w:t>).</w:t>
      </w:r>
    </w:p>
    <w:p w14:paraId="4D792C07" w14:textId="77777777" w:rsidR="00C44FC6" w:rsidRDefault="00282DCE">
      <w:pPr>
        <w:pStyle w:val="Heading2"/>
      </w:pPr>
      <w:bookmarkStart w:id="5" w:name="Xa7c846cd0d185e7557d9dafa0f9dea82cd279b1"/>
      <w:bookmarkEnd w:id="2"/>
      <w:bookmarkEnd w:id="4"/>
      <w:r>
        <w:t>S3. Zero-Inflated Negative Binomial (ZINB) Model</w:t>
      </w:r>
    </w:p>
    <w:p w14:paraId="3C9AE109" w14:textId="77777777" w:rsidR="00C44FC6" w:rsidRDefault="00282DCE">
      <w:pPr>
        <w:pStyle w:val="Heading3"/>
      </w:pPr>
      <w:bookmarkStart w:id="6" w:name="s3.1-model-specification"/>
      <w:r>
        <w:t>S3.1 Model specification</w:t>
      </w:r>
    </w:p>
    <w:p w14:paraId="1CB7DD9B" w14:textId="77777777" w:rsidR="00C44FC6" w:rsidRDefault="00282DCE">
      <w:pPr>
        <w:pStyle w:val="FirstParagraph"/>
      </w:pPr>
      <w:r>
        <w:t xml:space="preserve">The ZINB model is a two-component mixture. With probability </w:t>
      </w:r>
      <m:oMath>
        <m:sSub>
          <m:sSubPr>
            <m:ctrlPr>
              <w:rPr>
                <w:rFonts w:ascii="Cambria Math" w:hAnsi="Cambria Math"/>
              </w:rPr>
            </m:ctrlPr>
          </m:sSubPr>
          <m:e>
            <m:r>
              <w:rPr>
                <w:rFonts w:ascii="Cambria Math" w:hAnsi="Cambria Math"/>
              </w:rPr>
              <m:t>π</m:t>
            </m:r>
          </m:e>
          <m:sub>
            <m:r>
              <w:rPr>
                <w:rFonts w:ascii="Cambria Math" w:hAnsi="Cambria Math"/>
              </w:rPr>
              <m:t>i</m:t>
            </m:r>
          </m:sub>
        </m:sSub>
      </m:oMath>
      <w:r>
        <w:t xml:space="preserve"> (the zero-inflation probability), individual </w:t>
      </w:r>
      <m:oMath>
        <m:r>
          <w:rPr>
            <w:rFonts w:ascii="Cambria Math" w:hAnsi="Cambria Math"/>
          </w:rPr>
          <m:t>i</m:t>
        </m:r>
      </m:oMath>
      <w:r>
        <w:t xml:space="preserve"> belongs to a structural-zero class and contributes no events. With probability </w:t>
      </w:r>
      <m:oMath>
        <m:r>
          <w:rPr>
            <w:rFonts w:ascii="Cambria Math" w:hAnsi="Cambria Math"/>
          </w:rPr>
          <m:t>1</m:t>
        </m:r>
        <m:r>
          <m:rPr>
            <m:sty m:val="p"/>
          </m:rPr>
          <w:rPr>
            <w:rFonts w:ascii="Cambria Math" w:hAnsi="Cambria Math"/>
          </w:rPr>
          <m:t>-</m:t>
        </m:r>
        <m:sSub>
          <m:sSubPr>
            <m:ctrlPr>
              <w:rPr>
                <w:rFonts w:ascii="Cambria Math" w:hAnsi="Cambria Math"/>
              </w:rPr>
            </m:ctrlPr>
          </m:sSubPr>
          <m:e>
            <m:r>
              <w:rPr>
                <w:rFonts w:ascii="Cambria Math" w:hAnsi="Cambria Math"/>
              </w:rPr>
              <m:t>π</m:t>
            </m:r>
          </m:e>
          <m:sub>
            <m:r>
              <w:rPr>
                <w:rFonts w:ascii="Cambria Math" w:hAnsi="Cambria Math"/>
              </w:rPr>
              <m:t>i</m:t>
            </m:r>
          </m:sub>
        </m:sSub>
      </m:oMath>
      <w:r>
        <w:t xml:space="preserve">, they are drawn from a NB distribution with mean </w:t>
      </w:r>
      <m:oMath>
        <m:sSub>
          <m:sSubPr>
            <m:ctrlPr>
              <w:rPr>
                <w:rFonts w:ascii="Cambria Math" w:hAnsi="Cambria Math"/>
              </w:rPr>
            </m:ctrlPr>
          </m:sSubPr>
          <m:e>
            <m:r>
              <w:rPr>
                <w:rFonts w:ascii="Cambria Math" w:hAnsi="Cambria Math"/>
              </w:rPr>
              <m:t>μ</m:t>
            </m:r>
          </m:e>
          <m:sub>
            <m:r>
              <w:rPr>
                <w:rFonts w:ascii="Cambria Math" w:hAnsi="Cambria Math"/>
              </w:rPr>
              <m:t>i</m:t>
            </m:r>
          </m:sub>
        </m:sSub>
      </m:oMath>
      <w:r>
        <w:t xml:space="preserve"> as in S2. Both </w:t>
      </w:r>
      <w:r>
        <w:lastRenderedPageBreak/>
        <w:t>components may depend on covariates; in the analyses reported here the same covariate set was used for both the count and zero-inflation parts.</w:t>
      </w:r>
    </w:p>
    <w:p w14:paraId="54BD33C9" w14:textId="77777777" w:rsidR="00C44FC6" w:rsidRDefault="00282DCE">
      <w:pPr>
        <w:pStyle w:val="Heading3"/>
      </w:pPr>
      <w:bookmarkStart w:id="7" w:name="s3.2-predicted-cumulative-event-count"/>
      <w:bookmarkEnd w:id="6"/>
      <w:r>
        <w:t>S3.2 Predicted cumulative event count</w:t>
      </w:r>
    </w:p>
    <w:p w14:paraId="797893DC" w14:textId="77777777" w:rsidR="00C44FC6" w:rsidRDefault="00282DCE">
      <w:pPr>
        <w:pStyle w:val="FirstParagraph"/>
      </w:pPr>
      <w:r>
        <w:t>The marginal expected event count, accounting for the zero-inflation mixture, is:</w:t>
      </w:r>
    </w:p>
    <w:p w14:paraId="21CD6A11" w14:textId="77777777" w:rsidR="00C44FC6" w:rsidRDefault="00AB04F8">
      <w:pPr>
        <w:pStyle w:val="BodyText"/>
      </w:pPr>
      <m:oMathPara>
        <m:oMathParaPr>
          <m:jc m:val="center"/>
        </m:oMathParaPr>
        <m:oMath>
          <m:sSubSup>
            <m:sSubSupPr>
              <m:ctrlPr>
                <w:rPr>
                  <w:rFonts w:ascii="Cambria Math" w:hAnsi="Cambria Math"/>
                </w:rPr>
              </m:ctrlPr>
            </m:sSubSupPr>
            <m:e>
              <m:acc>
                <m:accPr>
                  <m:ctrlPr>
                    <w:rPr>
                      <w:rFonts w:ascii="Cambria Math" w:hAnsi="Cambria Math"/>
                    </w:rPr>
                  </m:ctrlPr>
                </m:accPr>
                <m:e>
                  <m:r>
                    <w:rPr>
                      <w:rFonts w:ascii="Cambria Math" w:hAnsi="Cambria Math"/>
                    </w:rPr>
                    <m:t>μ</m:t>
                  </m:r>
                </m:e>
              </m:acc>
            </m:e>
            <m:sub>
              <m:r>
                <w:rPr>
                  <w:rFonts w:ascii="Cambria Math" w:hAnsi="Cambria Math"/>
                </w:rPr>
                <m:t>i</m:t>
              </m:r>
            </m:sub>
            <m:sup>
              <m:r>
                <m:rPr>
                  <m:nor/>
                </m:rPr>
                <m:t>ZINB</m:t>
              </m:r>
            </m:sup>
          </m:sSubSup>
          <m:r>
            <m:rPr>
              <m:sty m:val="p"/>
            </m:rPr>
            <w:rPr>
              <w:rFonts w:ascii="Cambria Math" w:hAnsi="Cambria Math"/>
            </w:rPr>
            <m:t>=</m:t>
          </m:r>
          <m:d>
            <m:dPr>
              <m:ctrlPr>
                <w:rPr>
                  <w:rFonts w:ascii="Cambria Math" w:hAnsi="Cambria Math"/>
                </w:rPr>
              </m:ctrlPr>
            </m:dPr>
            <m:e>
              <m:r>
                <w:rPr>
                  <w:rFonts w:ascii="Cambria Math" w:hAnsi="Cambria Math"/>
                </w:rPr>
                <m:t>1</m:t>
              </m:r>
              <m:r>
                <m:rPr>
                  <m:sty m:val="p"/>
                </m:rPr>
                <w:rPr>
                  <w:rFonts w:ascii="Cambria Math" w:hAnsi="Cambria Math"/>
                </w:rPr>
                <m:t>-</m:t>
              </m:r>
              <m:sSub>
                <m:sSubPr>
                  <m:ctrlPr>
                    <w:rPr>
                      <w:rFonts w:ascii="Cambria Math" w:hAnsi="Cambria Math"/>
                    </w:rPr>
                  </m:ctrlPr>
                </m:sSubPr>
                <m:e>
                  <m:acc>
                    <m:accPr>
                      <m:ctrlPr>
                        <w:rPr>
                          <w:rFonts w:ascii="Cambria Math" w:hAnsi="Cambria Math"/>
                        </w:rPr>
                      </m:ctrlPr>
                    </m:accPr>
                    <m:e>
                      <m:r>
                        <w:rPr>
                          <w:rFonts w:ascii="Cambria Math" w:hAnsi="Cambria Math"/>
                        </w:rPr>
                        <m:t>π</m:t>
                      </m:r>
                    </m:e>
                  </m:acc>
                </m:e>
                <m:sub>
                  <m:r>
                    <w:rPr>
                      <w:rFonts w:ascii="Cambria Math" w:hAnsi="Cambria Math"/>
                    </w:rPr>
                    <m:t>i</m:t>
                  </m:r>
                </m:sub>
              </m:sSub>
            </m:e>
          </m:d>
          <m:r>
            <m:rPr>
              <m:sty m:val="p"/>
            </m:rPr>
            <w:rPr>
              <w:rFonts w:ascii="Cambria Math" w:hAnsi="Cambria Math"/>
            </w:rPr>
            <m:t>⋅</m:t>
          </m:r>
          <m:sSub>
            <m:sSubPr>
              <m:ctrlPr>
                <w:rPr>
                  <w:rFonts w:ascii="Cambria Math" w:hAnsi="Cambria Math"/>
                </w:rPr>
              </m:ctrlPr>
            </m:sSubPr>
            <m:e>
              <m:acc>
                <m:accPr>
                  <m:ctrlPr>
                    <w:rPr>
                      <w:rFonts w:ascii="Cambria Math" w:hAnsi="Cambria Math"/>
                    </w:rPr>
                  </m:ctrlPr>
                </m:accPr>
                <m:e>
                  <m:r>
                    <w:rPr>
                      <w:rFonts w:ascii="Cambria Math" w:hAnsi="Cambria Math"/>
                    </w:rPr>
                    <m:t>μ</m:t>
                  </m:r>
                </m:e>
              </m:acc>
            </m:e>
            <m:sub>
              <m:r>
                <w:rPr>
                  <w:rFonts w:ascii="Cambria Math" w:hAnsi="Cambria Math"/>
                </w:rPr>
                <m:t>i</m:t>
              </m:r>
            </m:sub>
          </m:sSub>
        </m:oMath>
      </m:oMathPara>
    </w:p>
    <w:p w14:paraId="606ACD7D" w14:textId="46DE2F6D" w:rsidR="00C44FC6" w:rsidRDefault="00282DCE">
      <w:pPr>
        <w:pStyle w:val="FirstParagraph"/>
      </w:pPr>
      <w:r>
        <w:t xml:space="preserve">where </w:t>
      </w:r>
      <m:oMath>
        <m:sSub>
          <m:sSubPr>
            <m:ctrlPr>
              <w:rPr>
                <w:rFonts w:ascii="Cambria Math" w:hAnsi="Cambria Math"/>
              </w:rPr>
            </m:ctrlPr>
          </m:sSubPr>
          <m:e>
            <m:acc>
              <m:accPr>
                <m:ctrlPr>
                  <w:rPr>
                    <w:rFonts w:ascii="Cambria Math" w:hAnsi="Cambria Math"/>
                  </w:rPr>
                </m:ctrlPr>
              </m:accPr>
              <m:e>
                <m:r>
                  <w:rPr>
                    <w:rFonts w:ascii="Cambria Math" w:hAnsi="Cambria Math"/>
                  </w:rPr>
                  <m:t>π</m:t>
                </m:r>
              </m:e>
            </m:acc>
          </m:e>
          <m:sub>
            <m:r>
              <w:rPr>
                <w:rFonts w:ascii="Cambria Math" w:hAnsi="Cambria Math"/>
              </w:rPr>
              <m:t>i</m:t>
            </m:r>
          </m:sub>
        </m:sSub>
      </m:oMath>
      <w:r>
        <w:t xml:space="preserve"> is the estimated probability of structural zero for individual </w:t>
      </w:r>
      <m:oMath>
        <m:r>
          <w:rPr>
            <w:rFonts w:ascii="Cambria Math" w:hAnsi="Cambria Math"/>
          </w:rPr>
          <m:t>i</m:t>
        </m:r>
      </m:oMath>
      <w:r w:rsidR="00B11896">
        <w:rPr>
          <w:rFonts w:eastAsiaTheme="minorEastAsia"/>
        </w:rPr>
        <w:t xml:space="preserve"> (Zeileis, 2008)</w:t>
      </w:r>
      <w:r>
        <w:t>.</w:t>
      </w:r>
    </w:p>
    <w:p w14:paraId="7C5A20E7" w14:textId="77777777" w:rsidR="00C44FC6" w:rsidRDefault="00282DCE">
      <w:pPr>
        <w:pStyle w:val="BodyText"/>
      </w:pPr>
      <w:r>
        <w:t xml:space="preserve">In the OPCRD analysis this marginal mean is returned directly by </w:t>
      </w:r>
      <w:r>
        <w:rPr>
          <w:rStyle w:val="VerbatimChar"/>
        </w:rPr>
        <w:t>predict(fit, type = "response")</w:t>
      </w:r>
      <w:r>
        <w:t xml:space="preserve"> from the </w:t>
      </w:r>
      <w:r>
        <w:rPr>
          <w:rStyle w:val="VerbatimChar"/>
        </w:rPr>
        <w:t>pscl</w:t>
      </w:r>
      <w:r>
        <w:t xml:space="preserve"> package, so no further transformation is required. In the SANAD analysis the ZINB was implemented in two stages: a separate NB model was fitted to non-zero counts and a logistic model was fitted for the zero-inflation indicator. The marginal predicted count was then assembled manually as </w:t>
      </w:r>
      <m:oMath>
        <m:d>
          <m:dPr>
            <m:ctrlPr>
              <w:rPr>
                <w:rFonts w:ascii="Cambria Math" w:hAnsi="Cambria Math"/>
              </w:rPr>
            </m:ctrlPr>
          </m:dPr>
          <m:e>
            <m:r>
              <w:rPr>
                <w:rFonts w:ascii="Cambria Math" w:hAnsi="Cambria Math"/>
              </w:rPr>
              <m:t>1</m:t>
            </m:r>
            <m:r>
              <m:rPr>
                <m:sty m:val="p"/>
              </m:rPr>
              <w:rPr>
                <w:rFonts w:ascii="Cambria Math" w:hAnsi="Cambria Math"/>
              </w:rPr>
              <m:t>-</m:t>
            </m:r>
            <m:sSub>
              <m:sSubPr>
                <m:ctrlPr>
                  <w:rPr>
                    <w:rFonts w:ascii="Cambria Math" w:hAnsi="Cambria Math"/>
                  </w:rPr>
                </m:ctrlPr>
              </m:sSubPr>
              <m:e>
                <m:acc>
                  <m:accPr>
                    <m:ctrlPr>
                      <w:rPr>
                        <w:rFonts w:ascii="Cambria Math" w:hAnsi="Cambria Math"/>
                      </w:rPr>
                    </m:ctrlPr>
                  </m:accPr>
                  <m:e>
                    <m:r>
                      <w:rPr>
                        <w:rFonts w:ascii="Cambria Math" w:hAnsi="Cambria Math"/>
                      </w:rPr>
                      <m:t>π</m:t>
                    </m:r>
                  </m:e>
                </m:acc>
              </m:e>
              <m:sub>
                <m:r>
                  <w:rPr>
                    <w:rFonts w:ascii="Cambria Math" w:hAnsi="Cambria Math"/>
                  </w:rPr>
                  <m:t>i</m:t>
                </m:r>
              </m:sub>
            </m:sSub>
          </m:e>
        </m:d>
        <m:r>
          <m:rPr>
            <m:sty m:val="p"/>
          </m:rPr>
          <w:rPr>
            <w:rFonts w:ascii="Cambria Math" w:hAnsi="Cambria Math"/>
          </w:rPr>
          <m:t>⋅</m:t>
        </m:r>
        <m:sSub>
          <m:sSubPr>
            <m:ctrlPr>
              <w:rPr>
                <w:rFonts w:ascii="Cambria Math" w:hAnsi="Cambria Math"/>
              </w:rPr>
            </m:ctrlPr>
          </m:sSubPr>
          <m:e>
            <m:acc>
              <m:accPr>
                <m:ctrlPr>
                  <w:rPr>
                    <w:rFonts w:ascii="Cambria Math" w:hAnsi="Cambria Math"/>
                  </w:rPr>
                </m:ctrlPr>
              </m:accPr>
              <m:e>
                <m:r>
                  <w:rPr>
                    <w:rFonts w:ascii="Cambria Math" w:hAnsi="Cambria Math"/>
                  </w:rPr>
                  <m:t>μ</m:t>
                </m:r>
              </m:e>
            </m:acc>
          </m:e>
          <m:sub>
            <m:r>
              <w:rPr>
                <w:rFonts w:ascii="Cambria Math" w:hAnsi="Cambria Math"/>
              </w:rPr>
              <m:t>i</m:t>
            </m:r>
          </m:sub>
        </m:sSub>
      </m:oMath>
      <w:r>
        <w:t xml:space="preserve">, where </w:t>
      </w:r>
      <m:oMath>
        <m:sSub>
          <m:sSubPr>
            <m:ctrlPr>
              <w:rPr>
                <w:rFonts w:ascii="Cambria Math" w:hAnsi="Cambria Math"/>
              </w:rPr>
            </m:ctrlPr>
          </m:sSubPr>
          <m:e>
            <m:acc>
              <m:accPr>
                <m:ctrlPr>
                  <w:rPr>
                    <w:rFonts w:ascii="Cambria Math" w:hAnsi="Cambria Math"/>
                  </w:rPr>
                </m:ctrlPr>
              </m:accPr>
              <m:e>
                <m:r>
                  <w:rPr>
                    <w:rFonts w:ascii="Cambria Math" w:hAnsi="Cambria Math"/>
                  </w:rPr>
                  <m:t>π</m:t>
                </m:r>
              </m:e>
            </m:acc>
          </m:e>
          <m:sub>
            <m:r>
              <w:rPr>
                <w:rFonts w:ascii="Cambria Math" w:hAnsi="Cambria Math"/>
              </w:rPr>
              <m:t>i</m:t>
            </m:r>
          </m:sub>
        </m:sSub>
      </m:oMath>
      <w:r>
        <w:t xml:space="preserve"> was obtained from the logistic part and </w:t>
      </w:r>
      <m:oMath>
        <m:sSub>
          <m:sSubPr>
            <m:ctrlPr>
              <w:rPr>
                <w:rFonts w:ascii="Cambria Math" w:hAnsi="Cambria Math"/>
              </w:rPr>
            </m:ctrlPr>
          </m:sSubPr>
          <m:e>
            <m:acc>
              <m:accPr>
                <m:ctrlPr>
                  <w:rPr>
                    <w:rFonts w:ascii="Cambria Math" w:hAnsi="Cambria Math"/>
                  </w:rPr>
                </m:ctrlPr>
              </m:accPr>
              <m:e>
                <m:r>
                  <w:rPr>
                    <w:rFonts w:ascii="Cambria Math" w:hAnsi="Cambria Math"/>
                  </w:rPr>
                  <m:t>μ</m:t>
                </m:r>
              </m:e>
            </m:acc>
          </m:e>
          <m:sub>
            <m:r>
              <w:rPr>
                <w:rFonts w:ascii="Cambria Math" w:hAnsi="Cambria Math"/>
              </w:rPr>
              <m:t>i</m:t>
            </m:r>
          </m:sub>
        </m:sSub>
      </m:oMath>
      <w:r>
        <w:t xml:space="preserve"> from exponentiating the count-part linear predictor.</w:t>
      </w:r>
    </w:p>
    <w:p w14:paraId="28AD3EB9" w14:textId="77777777" w:rsidR="00C44FC6" w:rsidRDefault="00282DCE">
      <w:pPr>
        <w:pStyle w:val="Heading2"/>
      </w:pPr>
      <w:bookmarkStart w:id="8" w:name="s4.-andersengill-ag-model"/>
      <w:bookmarkEnd w:id="5"/>
      <w:bookmarkEnd w:id="7"/>
      <w:r>
        <w:t>S4. Andersen–Gill (AG) Model</w:t>
      </w:r>
    </w:p>
    <w:p w14:paraId="194BFBFA" w14:textId="77777777" w:rsidR="00C44FC6" w:rsidRDefault="00282DCE">
      <w:pPr>
        <w:pStyle w:val="Heading3"/>
      </w:pPr>
      <w:bookmarkStart w:id="9" w:name="s4.1-model-specification"/>
      <w:r>
        <w:t>S4.1 Model specification</w:t>
      </w:r>
    </w:p>
    <w:p w14:paraId="130E6536" w14:textId="77777777" w:rsidR="00C44FC6" w:rsidRDefault="00282DCE">
      <w:pPr>
        <w:pStyle w:val="FirstParagraph"/>
      </w:pPr>
      <w:r>
        <w:t>The AG model extends the Cox model to the recurrent event setting by treating each event occurrence as an additional row in a counting-process format (start, stop, status) per patient. A common baseline hazard is assumed across all event occurrences:</w:t>
      </w:r>
    </w:p>
    <w:p w14:paraId="2A4D95B8" w14:textId="77777777" w:rsidR="00C44FC6" w:rsidRDefault="00AB04F8">
      <w:pPr>
        <w:pStyle w:val="BodyText"/>
      </w:pPr>
      <m:oMathPara>
        <m:oMathParaPr>
          <m:jc m:val="center"/>
        </m:oMathParaPr>
        <m:oMath>
          <m:sSub>
            <m:sSubPr>
              <m:ctrlPr>
                <w:rPr>
                  <w:rFonts w:ascii="Cambria Math" w:hAnsi="Cambria Math"/>
                </w:rPr>
              </m:ctrlPr>
            </m:sSubPr>
            <m:e>
              <m:r>
                <w:rPr>
                  <w:rFonts w:ascii="Cambria Math" w:hAnsi="Cambria Math"/>
                </w:rPr>
                <m:t>λ</m:t>
              </m:r>
            </m:e>
            <m:sub>
              <m:r>
                <w:rPr>
                  <w:rFonts w:ascii="Cambria Math" w:hAnsi="Cambria Math"/>
                </w:rPr>
                <m:t>i</m:t>
              </m:r>
            </m:sub>
          </m:sSub>
          <m:d>
            <m:dPr>
              <m:ctrlPr>
                <w:rPr>
                  <w:rFonts w:ascii="Cambria Math" w:hAnsi="Cambria Math"/>
                </w:rPr>
              </m:ctrlPr>
            </m:dPr>
            <m:e>
              <m:r>
                <w:rPr>
                  <w:rFonts w:ascii="Cambria Math" w:hAnsi="Cambria Math"/>
                </w:rPr>
                <m:t>t</m:t>
              </m:r>
            </m:e>
          </m:d>
          <m:r>
            <m:rPr>
              <m:sty m:val="p"/>
            </m:rPr>
            <w:rPr>
              <w:rFonts w:ascii="Cambria Math" w:hAnsi="Cambria Math"/>
            </w:rPr>
            <m:t>=</m:t>
          </m:r>
          <m:sSub>
            <m:sSubPr>
              <m:ctrlPr>
                <w:rPr>
                  <w:rFonts w:ascii="Cambria Math" w:hAnsi="Cambria Math"/>
                </w:rPr>
              </m:ctrlPr>
            </m:sSubPr>
            <m:e>
              <m:r>
                <w:rPr>
                  <w:rFonts w:ascii="Cambria Math" w:hAnsi="Cambria Math"/>
                </w:rPr>
                <m:t>λ</m:t>
              </m:r>
            </m:e>
            <m:sub>
              <m:r>
                <w:rPr>
                  <w:rFonts w:ascii="Cambria Math" w:hAnsi="Cambria Math"/>
                </w:rPr>
                <m:t>0</m:t>
              </m:r>
            </m:sub>
          </m:sSub>
          <m:d>
            <m:dPr>
              <m:ctrlPr>
                <w:rPr>
                  <w:rFonts w:ascii="Cambria Math" w:hAnsi="Cambria Math"/>
                </w:rPr>
              </m:ctrlPr>
            </m:dPr>
            <m:e>
              <m:r>
                <w:rPr>
                  <w:rFonts w:ascii="Cambria Math" w:hAnsi="Cambria Math"/>
                </w:rPr>
                <m:t>t</m:t>
              </m:r>
            </m:e>
          </m:d>
          <m:r>
            <m:rPr>
              <m:sty m:val="p"/>
            </m:rPr>
            <w:rPr>
              <w:rFonts w:ascii="Cambria Math" w:hAnsi="Cambria Math"/>
            </w:rPr>
            <m:t>⋅exp</m:t>
          </m:r>
          <m:r>
            <w:rPr>
              <w:rFonts w:ascii="Cambria Math" w:hAnsi="Cambria Math"/>
            </w:rPr>
            <m:t>​</m:t>
          </m:r>
          <m:d>
            <m:dPr>
              <m:ctrlPr>
                <w:rPr>
                  <w:rFonts w:ascii="Cambria Math" w:hAnsi="Cambria Math"/>
                </w:rPr>
              </m:ctrlPr>
            </m:dPr>
            <m:e>
              <m:sSubSup>
                <m:sSubSupPr>
                  <m:ctrlPr>
                    <w:rPr>
                      <w:rFonts w:ascii="Cambria Math" w:hAnsi="Cambria Math"/>
                    </w:rPr>
                  </m:ctrlPr>
                </m:sSubSupPr>
                <m:e>
                  <m:r>
                    <m:rPr>
                      <m:sty m:val="b"/>
                    </m:rPr>
                    <w:rPr>
                      <w:rFonts w:ascii="Cambria Math" w:hAnsi="Cambria Math"/>
                    </w:rPr>
                    <m:t>x</m:t>
                  </m:r>
                </m:e>
                <m:sub>
                  <m:r>
                    <w:rPr>
                      <w:rFonts w:ascii="Cambria Math" w:hAnsi="Cambria Math"/>
                    </w:rPr>
                    <m:t>i</m:t>
                  </m:r>
                </m:sub>
                <m:sup>
                  <m:r>
                    <m:rPr>
                      <m:sty m:val="p"/>
                    </m:rPr>
                    <w:rPr>
                      <w:rFonts w:ascii="Cambria Math" w:hAnsi="Cambria Math"/>
                    </w:rPr>
                    <m:t>⊤</m:t>
                  </m:r>
                </m:sup>
              </m:sSubSup>
              <m:acc>
                <m:accPr>
                  <m:ctrlPr>
                    <w:rPr>
                      <w:rFonts w:ascii="Cambria Math" w:hAnsi="Cambria Math"/>
                    </w:rPr>
                  </m:ctrlPr>
                </m:accPr>
                <m:e>
                  <m:r>
                    <m:rPr>
                      <m:sty m:val="b"/>
                    </m:rPr>
                    <w:rPr>
                      <w:rFonts w:ascii="Cambria Math" w:hAnsi="Cambria Math"/>
                    </w:rPr>
                    <m:t>β</m:t>
                  </m:r>
                </m:e>
              </m:acc>
            </m:e>
          </m:d>
        </m:oMath>
      </m:oMathPara>
    </w:p>
    <w:p w14:paraId="7D758A28" w14:textId="6328F671" w:rsidR="00C44FC6" w:rsidRDefault="00282DCE">
      <w:pPr>
        <w:pStyle w:val="FirstParagraph"/>
      </w:pPr>
      <w:r>
        <w:t xml:space="preserve">where </w:t>
      </w:r>
      <m:oMath>
        <m:sSub>
          <m:sSubPr>
            <m:ctrlPr>
              <w:rPr>
                <w:rFonts w:ascii="Cambria Math" w:hAnsi="Cambria Math"/>
              </w:rPr>
            </m:ctrlPr>
          </m:sSubPr>
          <m:e>
            <m:r>
              <w:rPr>
                <w:rFonts w:ascii="Cambria Math" w:hAnsi="Cambria Math"/>
              </w:rPr>
              <m:t>λ</m:t>
            </m:r>
          </m:e>
          <m:sub>
            <m:r>
              <w:rPr>
                <w:rFonts w:ascii="Cambria Math" w:hAnsi="Cambria Math"/>
              </w:rPr>
              <m:t>0</m:t>
            </m:r>
          </m:sub>
        </m:sSub>
        <m:d>
          <m:dPr>
            <m:ctrlPr>
              <w:rPr>
                <w:rFonts w:ascii="Cambria Math" w:hAnsi="Cambria Math"/>
              </w:rPr>
            </m:ctrlPr>
          </m:dPr>
          <m:e>
            <m:r>
              <w:rPr>
                <w:rFonts w:ascii="Cambria Math" w:hAnsi="Cambria Math"/>
              </w:rPr>
              <m:t>t</m:t>
            </m:r>
          </m:e>
        </m:d>
      </m:oMath>
      <w:r>
        <w:t xml:space="preserve"> is the baseline hazard estimated via the Breslow estimator, and cluster-robust standard errors are used to account for within-patient correlation</w:t>
      </w:r>
      <w:r w:rsidR="00B11896">
        <w:t xml:space="preserve"> (Andersen &amp; Gill, 1982)</w:t>
      </w:r>
      <w:r>
        <w:t>.</w:t>
      </w:r>
    </w:p>
    <w:p w14:paraId="21422A54" w14:textId="77777777" w:rsidR="00C44FC6" w:rsidRDefault="00282DCE">
      <w:pPr>
        <w:pStyle w:val="Heading3"/>
      </w:pPr>
      <w:bookmarkStart w:id="10" w:name="s4.2-predicted-cumulative-event-count"/>
      <w:bookmarkEnd w:id="9"/>
      <w:r>
        <w:t>S4.2 Predicted cumulative event count</w:t>
      </w:r>
    </w:p>
    <w:p w14:paraId="025E8D7E" w14:textId="01DB99D0" w:rsidR="00C44FC6" w:rsidRDefault="00B11896">
      <w:pPr>
        <w:pStyle w:val="FirstParagraph"/>
      </w:pPr>
      <w:r>
        <w:t>F</w:t>
      </w:r>
      <w:r w:rsidRPr="00B11896">
        <w:t xml:space="preserve">ollowing Therneau &amp; Grambsch (2000, eq. 4.4), the compensator </w:t>
      </w:r>
      <m:oMath>
        <m:sSub>
          <m:sSubPr>
            <m:ctrlPr>
              <w:rPr>
                <w:rFonts w:ascii="Cambria Math" w:hAnsi="Cambria Math"/>
              </w:rPr>
            </m:ctrlPr>
          </m:sSubPr>
          <m:e>
            <m:acc>
              <m:accPr>
                <m:ctrlPr>
                  <w:rPr>
                    <w:rFonts w:ascii="Cambria Math" w:hAnsi="Cambria Math"/>
                  </w:rPr>
                </m:ctrlPr>
              </m:accPr>
              <m:e>
                <m:r>
                  <w:rPr>
                    <w:rFonts w:ascii="Cambria Math" w:hAnsi="Cambria Math"/>
                  </w:rPr>
                  <m:t>E</m:t>
                </m:r>
              </m:e>
            </m:acc>
          </m:e>
          <m:sub>
            <m:r>
              <w:rPr>
                <w:rFonts w:ascii="Cambria Math" w:hAnsi="Cambria Math"/>
              </w:rPr>
              <m:t>i</m:t>
            </m:r>
          </m:sub>
        </m:sSub>
        <m:r>
          <w:rPr>
            <w:rFonts w:ascii="Cambria Math" w:hAnsi="Cambria Math"/>
          </w:rPr>
          <m:t>(t)</m:t>
        </m:r>
      </m:oMath>
      <w:r>
        <w:rPr>
          <w:rFonts w:eastAsiaTheme="minorEastAsia"/>
        </w:rPr>
        <w:t xml:space="preserve"> </w:t>
      </w:r>
      <w:r w:rsidRPr="00B11896">
        <w:t xml:space="preserve">gives the expected number of events; for fixed covariates over interval </w:t>
      </w:r>
      <m:oMath>
        <m:r>
          <w:rPr>
            <w:rFonts w:ascii="Cambria Math" w:hAnsi="Cambria Math"/>
          </w:rPr>
          <m:t>(l,u]</m:t>
        </m:r>
      </m:oMath>
      <w:r>
        <w:rPr>
          <w:rFonts w:eastAsiaTheme="minorEastAsia"/>
        </w:rPr>
        <w:t xml:space="preserve"> </w:t>
      </w:r>
      <w:r w:rsidRPr="00B11896">
        <w:t>this reduces to</w:t>
      </w:r>
      <w:r>
        <w:t>:</w:t>
      </w:r>
    </w:p>
    <w:p w14:paraId="0066DE5D" w14:textId="77777777" w:rsidR="00C44FC6" w:rsidRDefault="00AB04F8">
      <w:pPr>
        <w:pStyle w:val="BodyText"/>
      </w:pPr>
      <m:oMathPara>
        <m:oMathParaPr>
          <m:jc m:val="center"/>
        </m:oMathParaPr>
        <m:oMath>
          <m:sSub>
            <m:sSubPr>
              <m:ctrlPr>
                <w:rPr>
                  <w:rFonts w:ascii="Cambria Math" w:hAnsi="Cambria Math"/>
                </w:rPr>
              </m:ctrlPr>
            </m:sSubPr>
            <m:e>
              <m:acc>
                <m:accPr>
                  <m:ctrlPr>
                    <w:rPr>
                      <w:rFonts w:ascii="Cambria Math" w:hAnsi="Cambria Math"/>
                    </w:rPr>
                  </m:ctrlPr>
                </m:accPr>
                <m:e>
                  <m:r>
                    <w:rPr>
                      <w:rFonts w:ascii="Cambria Math" w:hAnsi="Cambria Math"/>
                    </w:rPr>
                    <m:t>m</m:t>
                  </m:r>
                </m:e>
              </m:acc>
            </m:e>
            <m:sub>
              <m:r>
                <w:rPr>
                  <w:rFonts w:ascii="Cambria Math" w:hAnsi="Cambria Math"/>
                </w:rPr>
                <m:t>i</m:t>
              </m:r>
            </m:sub>
          </m:sSub>
          <m:r>
            <m:rPr>
              <m:sty m:val="p"/>
            </m:rPr>
            <w:rPr>
              <w:rFonts w:ascii="Cambria Math" w:hAnsi="Cambria Math"/>
            </w:rPr>
            <m:t>(</m:t>
          </m:r>
          <m:r>
            <w:rPr>
              <w:rFonts w:ascii="Cambria Math" w:hAnsi="Cambria Math"/>
            </w:rPr>
            <m:t>l</m:t>
          </m:r>
          <m:r>
            <m:rPr>
              <m:sty m:val="p"/>
            </m:rPr>
            <w:rPr>
              <w:rFonts w:ascii="Cambria Math" w:hAnsi="Cambria Math"/>
            </w:rPr>
            <m:t>,</m:t>
          </m:r>
          <m:r>
            <w:rPr>
              <w:rFonts w:ascii="Cambria Math" w:hAnsi="Cambria Math"/>
            </w:rPr>
            <m:t>u</m:t>
          </m:r>
          <m:r>
            <m:rPr>
              <m:sty m:val="p"/>
            </m:rPr>
            <w:rPr>
              <w:rFonts w:ascii="Cambria Math" w:hAnsi="Cambria Math"/>
            </w:rPr>
            <m:t>]=exp</m:t>
          </m:r>
          <m:r>
            <w:rPr>
              <w:rFonts w:ascii="Cambria Math" w:hAnsi="Cambria Math"/>
            </w:rPr>
            <m:t>​</m:t>
          </m:r>
          <m:d>
            <m:dPr>
              <m:ctrlPr>
                <w:rPr>
                  <w:rFonts w:ascii="Cambria Math" w:hAnsi="Cambria Math"/>
                </w:rPr>
              </m:ctrlPr>
            </m:dPr>
            <m:e>
              <m:sSubSup>
                <m:sSubSupPr>
                  <m:ctrlPr>
                    <w:rPr>
                      <w:rFonts w:ascii="Cambria Math" w:hAnsi="Cambria Math"/>
                    </w:rPr>
                  </m:ctrlPr>
                </m:sSubSupPr>
                <m:e>
                  <m:r>
                    <m:rPr>
                      <m:sty m:val="b"/>
                    </m:rPr>
                    <w:rPr>
                      <w:rFonts w:ascii="Cambria Math" w:hAnsi="Cambria Math"/>
                    </w:rPr>
                    <m:t>x</m:t>
                  </m:r>
                </m:e>
                <m:sub>
                  <m:r>
                    <w:rPr>
                      <w:rFonts w:ascii="Cambria Math" w:hAnsi="Cambria Math"/>
                    </w:rPr>
                    <m:t>i</m:t>
                  </m:r>
                </m:sub>
                <m:sup>
                  <m:r>
                    <m:rPr>
                      <m:sty m:val="p"/>
                    </m:rPr>
                    <w:rPr>
                      <w:rFonts w:ascii="Cambria Math" w:hAnsi="Cambria Math"/>
                    </w:rPr>
                    <m:t>⊤</m:t>
                  </m:r>
                </m:sup>
              </m:sSubSup>
              <m:acc>
                <m:accPr>
                  <m:ctrlPr>
                    <w:rPr>
                      <w:rFonts w:ascii="Cambria Math" w:hAnsi="Cambria Math"/>
                    </w:rPr>
                  </m:ctrlPr>
                </m:accPr>
                <m:e>
                  <m:r>
                    <m:rPr>
                      <m:sty m:val="b"/>
                    </m:rPr>
                    <w:rPr>
                      <w:rFonts w:ascii="Cambria Math" w:hAnsi="Cambria Math"/>
                    </w:rPr>
                    <m:t>β</m:t>
                  </m:r>
                </m:e>
              </m:acc>
            </m:e>
          </m:d>
          <m:r>
            <m:rPr>
              <m:sty m:val="p"/>
            </m:rPr>
            <w:rPr>
              <w:rFonts w:ascii="Cambria Math" w:hAnsi="Cambria Math"/>
            </w:rPr>
            <m:t>⋅</m:t>
          </m:r>
          <m:d>
            <m:dPr>
              <m:begChr m:val="["/>
              <m:endChr m:val="]"/>
              <m:ctrlPr>
                <w:rPr>
                  <w:rFonts w:ascii="Cambria Math" w:hAnsi="Cambria Math"/>
                </w:rPr>
              </m:ctrlPr>
            </m:dPr>
            <m:e>
              <m:sSub>
                <m:sSubPr>
                  <m:ctrlPr>
                    <w:rPr>
                      <w:rFonts w:ascii="Cambria Math" w:hAnsi="Cambria Math"/>
                    </w:rPr>
                  </m:ctrlPr>
                </m:sSubPr>
                <m:e>
                  <m:acc>
                    <m:accPr>
                      <m:ctrlPr>
                        <w:rPr>
                          <w:rFonts w:ascii="Cambria Math" w:hAnsi="Cambria Math"/>
                        </w:rPr>
                      </m:ctrlPr>
                    </m:accPr>
                    <m:e>
                      <m:r>
                        <w:rPr>
                          <w:rFonts w:ascii="Cambria Math" w:hAnsi="Cambria Math"/>
                        </w:rPr>
                        <m:t>Λ</m:t>
                      </m:r>
                    </m:e>
                  </m:acc>
                </m:e>
                <m:sub>
                  <m:r>
                    <w:rPr>
                      <w:rFonts w:ascii="Cambria Math" w:hAnsi="Cambria Math"/>
                    </w:rPr>
                    <m:t>0</m:t>
                  </m:r>
                </m:sub>
              </m:sSub>
              <m:d>
                <m:dPr>
                  <m:ctrlPr>
                    <w:rPr>
                      <w:rFonts w:ascii="Cambria Math" w:hAnsi="Cambria Math"/>
                    </w:rPr>
                  </m:ctrlPr>
                </m:dPr>
                <m:e>
                  <m:r>
                    <w:rPr>
                      <w:rFonts w:ascii="Cambria Math" w:hAnsi="Cambria Math"/>
                    </w:rPr>
                    <m:t>u</m:t>
                  </m:r>
                </m:e>
              </m:d>
              <m:r>
                <m:rPr>
                  <m:sty m:val="p"/>
                </m:rPr>
                <w:rPr>
                  <w:rFonts w:ascii="Cambria Math" w:hAnsi="Cambria Math"/>
                </w:rPr>
                <m:t>-</m:t>
              </m:r>
              <m:sSub>
                <m:sSubPr>
                  <m:ctrlPr>
                    <w:rPr>
                      <w:rFonts w:ascii="Cambria Math" w:hAnsi="Cambria Math"/>
                    </w:rPr>
                  </m:ctrlPr>
                </m:sSubPr>
                <m:e>
                  <m:acc>
                    <m:accPr>
                      <m:ctrlPr>
                        <w:rPr>
                          <w:rFonts w:ascii="Cambria Math" w:hAnsi="Cambria Math"/>
                        </w:rPr>
                      </m:ctrlPr>
                    </m:accPr>
                    <m:e>
                      <m:r>
                        <w:rPr>
                          <w:rFonts w:ascii="Cambria Math" w:hAnsi="Cambria Math"/>
                        </w:rPr>
                        <m:t>Λ</m:t>
                      </m:r>
                    </m:e>
                  </m:acc>
                </m:e>
                <m:sub>
                  <m:r>
                    <w:rPr>
                      <w:rFonts w:ascii="Cambria Math" w:hAnsi="Cambria Math"/>
                    </w:rPr>
                    <m:t>0</m:t>
                  </m:r>
                </m:sub>
              </m:sSub>
              <m:d>
                <m:dPr>
                  <m:ctrlPr>
                    <w:rPr>
                      <w:rFonts w:ascii="Cambria Math" w:hAnsi="Cambria Math"/>
                    </w:rPr>
                  </m:ctrlPr>
                </m:dPr>
                <m:e>
                  <m:r>
                    <w:rPr>
                      <w:rFonts w:ascii="Cambria Math" w:hAnsi="Cambria Math"/>
                    </w:rPr>
                    <m:t>l</m:t>
                  </m:r>
                </m:e>
              </m:d>
            </m:e>
          </m:d>
        </m:oMath>
      </m:oMathPara>
    </w:p>
    <w:p w14:paraId="056D431F" w14:textId="58EB6099" w:rsidR="00C44FC6" w:rsidRDefault="00282DCE">
      <w:pPr>
        <w:pStyle w:val="FirstParagraph"/>
      </w:pPr>
      <w:r>
        <w:t xml:space="preserve">where </w:t>
      </w:r>
      <m:oMath>
        <m:sSub>
          <m:sSubPr>
            <m:ctrlPr>
              <w:rPr>
                <w:rFonts w:ascii="Cambria Math" w:hAnsi="Cambria Math"/>
              </w:rPr>
            </m:ctrlPr>
          </m:sSubPr>
          <m:e>
            <m:acc>
              <m:accPr>
                <m:ctrlPr>
                  <w:rPr>
                    <w:rFonts w:ascii="Cambria Math" w:hAnsi="Cambria Math"/>
                  </w:rPr>
                </m:ctrlPr>
              </m:accPr>
              <m:e>
                <m:r>
                  <w:rPr>
                    <w:rFonts w:ascii="Cambria Math" w:hAnsi="Cambria Math"/>
                  </w:rPr>
                  <m:t>Λ</m:t>
                </m:r>
              </m:e>
            </m:acc>
          </m:e>
          <m:sub>
            <m:r>
              <w:rPr>
                <w:rFonts w:ascii="Cambria Math" w:hAnsi="Cambria Math"/>
              </w:rPr>
              <m:t>0</m:t>
            </m:r>
          </m:sub>
        </m:sSub>
        <m:d>
          <m:dPr>
            <m:ctrlPr>
              <w:rPr>
                <w:rFonts w:ascii="Cambria Math" w:hAnsi="Cambria Math"/>
              </w:rPr>
            </m:ctrlPr>
          </m:dPr>
          <m:e>
            <m:r>
              <w:rPr>
                <w:rFonts w:ascii="Cambria Math" w:hAnsi="Cambria Math"/>
              </w:rPr>
              <m:t>t</m:t>
            </m:r>
          </m:e>
        </m:d>
        <m:r>
          <m:rPr>
            <m:sty m:val="p"/>
          </m:rPr>
          <w:rPr>
            <w:rFonts w:ascii="Cambria Math" w:hAnsi="Cambria Math"/>
          </w:rPr>
          <m:t>=</m:t>
        </m:r>
        <m:nary>
          <m:naryPr>
            <m:limLoc m:val="subSup"/>
            <m:ctrlPr>
              <w:rPr>
                <w:rFonts w:ascii="Cambria Math" w:hAnsi="Cambria Math"/>
              </w:rPr>
            </m:ctrlPr>
          </m:naryPr>
          <m:sub>
            <m:r>
              <w:rPr>
                <w:rFonts w:ascii="Cambria Math" w:hAnsi="Cambria Math"/>
              </w:rPr>
              <m:t>0</m:t>
            </m:r>
          </m:sub>
          <m:sup>
            <m:r>
              <w:rPr>
                <w:rFonts w:ascii="Cambria Math" w:hAnsi="Cambria Math"/>
              </w:rPr>
              <m:t>t</m:t>
            </m:r>
          </m:sup>
          <m:e>
            <m:sSub>
              <m:sSubPr>
                <m:ctrlPr>
                  <w:rPr>
                    <w:rFonts w:ascii="Cambria Math" w:hAnsi="Cambria Math"/>
                  </w:rPr>
                </m:ctrlPr>
              </m:sSubPr>
              <m:e>
                <m:acc>
                  <m:accPr>
                    <m:ctrlPr>
                      <w:rPr>
                        <w:rFonts w:ascii="Cambria Math" w:hAnsi="Cambria Math"/>
                      </w:rPr>
                    </m:ctrlPr>
                  </m:accPr>
                  <m:e>
                    <m:r>
                      <w:rPr>
                        <w:rFonts w:ascii="Cambria Math" w:hAnsi="Cambria Math"/>
                      </w:rPr>
                      <m:t>λ</m:t>
                    </m:r>
                  </m:e>
                </m:acc>
              </m:e>
              <m:sub>
                <m:r>
                  <w:rPr>
                    <w:rFonts w:ascii="Cambria Math" w:hAnsi="Cambria Math"/>
                  </w:rPr>
                  <m:t>0</m:t>
                </m:r>
              </m:sub>
            </m:sSub>
          </m:e>
        </m:nary>
        <m:d>
          <m:dPr>
            <m:ctrlPr>
              <w:rPr>
                <w:rFonts w:ascii="Cambria Math" w:hAnsi="Cambria Math"/>
              </w:rPr>
            </m:ctrlPr>
          </m:dPr>
          <m:e>
            <m:r>
              <w:rPr>
                <w:rFonts w:ascii="Cambria Math" w:hAnsi="Cambria Math"/>
              </w:rPr>
              <m:t>s</m:t>
            </m:r>
          </m:e>
        </m:d>
        <m:r>
          <w:rPr>
            <w:rFonts w:ascii="Cambria Math" w:hAnsi="Cambria Math"/>
          </w:rPr>
          <m:t> </m:t>
        </m:r>
        <m:r>
          <m:rPr>
            <m:sty m:val="p"/>
          </m:rPr>
          <w:rPr>
            <w:rFonts w:ascii="Cambria Math" w:hAnsi="Cambria Math"/>
          </w:rPr>
          <m:t>d</m:t>
        </m:r>
        <m:r>
          <w:rPr>
            <w:rFonts w:ascii="Cambria Math" w:hAnsi="Cambria Math"/>
          </w:rPr>
          <m:t>s</m:t>
        </m:r>
      </m:oMath>
      <w:r>
        <w:t xml:space="preserve"> is the Breslow cumulative baseline hazard</w:t>
      </w:r>
      <w:r w:rsidR="00B11896">
        <w:t xml:space="preserve"> (Andersen &amp; Gill, 1982)</w:t>
      </w:r>
      <w:r>
        <w:t xml:space="preserve">. This quantity is returned row-wise via </w:t>
      </w:r>
      <w:r>
        <w:rPr>
          <w:rStyle w:val="VerbatimChar"/>
        </w:rPr>
        <w:t>predict(fit, type = "expected")</w:t>
      </w:r>
      <w:r>
        <w:t>.</w:t>
      </w:r>
    </w:p>
    <w:p w14:paraId="4BB4C29D" w14:textId="77777777" w:rsidR="00C44FC6" w:rsidRDefault="00282DCE">
      <w:pPr>
        <w:pStyle w:val="BodyText"/>
      </w:pPr>
      <w:r>
        <w:t xml:space="preserve">The total predicted event count up to horizon </w:t>
      </w:r>
      <m:oMath>
        <m:sSup>
          <m:sSupPr>
            <m:ctrlPr>
              <w:rPr>
                <w:rFonts w:ascii="Cambria Math" w:hAnsi="Cambria Math"/>
              </w:rPr>
            </m:ctrlPr>
          </m:sSupPr>
          <m:e>
            <m:r>
              <w:rPr>
                <w:rFonts w:ascii="Cambria Math" w:hAnsi="Cambria Math"/>
              </w:rPr>
              <m:t>t</m:t>
            </m:r>
          </m:e>
          <m:sup>
            <m:r>
              <m:rPr>
                <m:sty m:val="p"/>
              </m:rPr>
              <w:rPr>
                <w:rFonts w:ascii="Cambria Math" w:hAnsi="Cambria Math"/>
              </w:rPr>
              <m:t>*</m:t>
            </m:r>
          </m:sup>
        </m:sSup>
      </m:oMath>
      <w:r>
        <w:t xml:space="preserve"> is the sum of these increments over all intervals for individual </w:t>
      </w:r>
      <m:oMath>
        <m:r>
          <w:rPr>
            <w:rFonts w:ascii="Cambria Math" w:hAnsi="Cambria Math"/>
          </w:rPr>
          <m:t>i</m:t>
        </m:r>
      </m:oMath>
      <w:r>
        <w:t xml:space="preserve"> with </w:t>
      </w:r>
      <m:oMath>
        <m:r>
          <w:rPr>
            <w:rFonts w:ascii="Cambria Math" w:hAnsi="Cambria Math"/>
          </w:rPr>
          <m:t>u</m:t>
        </m:r>
        <m:r>
          <m:rPr>
            <m:sty m:val="p"/>
          </m:rPr>
          <w:rPr>
            <w:rFonts w:ascii="Cambria Math" w:hAnsi="Cambria Math"/>
          </w:rPr>
          <m:t>≤</m:t>
        </m:r>
        <m:sSup>
          <m:sSupPr>
            <m:ctrlPr>
              <w:rPr>
                <w:rFonts w:ascii="Cambria Math" w:hAnsi="Cambria Math"/>
              </w:rPr>
            </m:ctrlPr>
          </m:sSupPr>
          <m:e>
            <m:r>
              <w:rPr>
                <w:rFonts w:ascii="Cambria Math" w:hAnsi="Cambria Math"/>
              </w:rPr>
              <m:t>t</m:t>
            </m:r>
          </m:e>
          <m:sup>
            <m:r>
              <m:rPr>
                <m:sty m:val="p"/>
              </m:rPr>
              <w:rPr>
                <w:rFonts w:ascii="Cambria Math" w:hAnsi="Cambria Math"/>
              </w:rPr>
              <m:t>*</m:t>
            </m:r>
          </m:sup>
        </m:sSup>
      </m:oMath>
      <w:r>
        <w:t>:</w:t>
      </w:r>
    </w:p>
    <w:p w14:paraId="709AE020" w14:textId="77777777" w:rsidR="00C44FC6" w:rsidRDefault="00AB04F8">
      <w:pPr>
        <w:pStyle w:val="BodyText"/>
      </w:pPr>
      <m:oMathPara>
        <m:oMathParaPr>
          <m:jc m:val="center"/>
        </m:oMathParaPr>
        <m:oMath>
          <m:sSub>
            <m:sSubPr>
              <m:ctrlPr>
                <w:rPr>
                  <w:rFonts w:ascii="Cambria Math" w:hAnsi="Cambria Math"/>
                </w:rPr>
              </m:ctrlPr>
            </m:sSubPr>
            <m:e>
              <m:acc>
                <m:accPr>
                  <m:ctrlPr>
                    <w:rPr>
                      <w:rFonts w:ascii="Cambria Math" w:hAnsi="Cambria Math"/>
                    </w:rPr>
                  </m:ctrlPr>
                </m:accPr>
                <m:e>
                  <m:r>
                    <w:rPr>
                      <w:rFonts w:ascii="Cambria Math" w:hAnsi="Cambria Math"/>
                    </w:rPr>
                    <m:t>μ</m:t>
                  </m:r>
                </m:e>
              </m:acc>
            </m:e>
            <m:sub>
              <m:r>
                <w:rPr>
                  <w:rFonts w:ascii="Cambria Math" w:hAnsi="Cambria Math"/>
                </w:rPr>
                <m:t>i</m:t>
              </m:r>
            </m:sub>
          </m:sSub>
          <m:d>
            <m:dPr>
              <m:ctrlPr>
                <w:rPr>
                  <w:rFonts w:ascii="Cambria Math" w:hAnsi="Cambria Math"/>
                </w:rPr>
              </m:ctrlPr>
            </m:dPr>
            <m:e>
              <m:sSup>
                <m:sSupPr>
                  <m:ctrlPr>
                    <w:rPr>
                      <w:rFonts w:ascii="Cambria Math" w:hAnsi="Cambria Math"/>
                    </w:rPr>
                  </m:ctrlPr>
                </m:sSupPr>
                <m:e>
                  <m:r>
                    <w:rPr>
                      <w:rFonts w:ascii="Cambria Math" w:hAnsi="Cambria Math"/>
                    </w:rPr>
                    <m:t>t</m:t>
                  </m:r>
                </m:e>
                <m:sup>
                  <m:r>
                    <m:rPr>
                      <m:sty m:val="p"/>
                    </m:rPr>
                    <w:rPr>
                      <w:rFonts w:ascii="Cambria Math" w:hAnsi="Cambria Math"/>
                    </w:rPr>
                    <m:t>*</m:t>
                  </m:r>
                </m:sup>
              </m:sSup>
            </m:e>
          </m:d>
          <m:r>
            <m:rPr>
              <m:sty m:val="p"/>
            </m:rPr>
            <w:rPr>
              <w:rFonts w:ascii="Cambria Math" w:hAnsi="Cambria Math"/>
            </w:rPr>
            <m:t>=</m:t>
          </m:r>
          <m:nary>
            <m:naryPr>
              <m:chr m:val="∑"/>
              <m:limLoc m:val="undOvr"/>
              <m:supHide m:val="1"/>
              <m:ctrlPr>
                <w:rPr>
                  <w:rFonts w:ascii="Cambria Math" w:hAnsi="Cambria Math"/>
                </w:rPr>
              </m:ctrlPr>
            </m:naryPr>
            <m:sub>
              <m:r>
                <w:rPr>
                  <w:rFonts w:ascii="Cambria Math" w:hAnsi="Cambria Math"/>
                </w:rPr>
                <m:t>j</m:t>
              </m:r>
            </m:sub>
            <m:sup>
              <m:r>
                <w:rPr>
                  <w:rFonts w:ascii="Cambria Math" w:hAnsi="Cambria Math"/>
                </w:rPr>
                <m:t>​</m:t>
              </m:r>
            </m:sup>
            <m:e>
              <m:sSub>
                <m:sSubPr>
                  <m:ctrlPr>
                    <w:rPr>
                      <w:rFonts w:ascii="Cambria Math" w:hAnsi="Cambria Math"/>
                    </w:rPr>
                  </m:ctrlPr>
                </m:sSubPr>
                <m:e>
                  <m:acc>
                    <m:accPr>
                      <m:ctrlPr>
                        <w:rPr>
                          <w:rFonts w:ascii="Cambria Math" w:hAnsi="Cambria Math"/>
                        </w:rPr>
                      </m:ctrlPr>
                    </m:accPr>
                    <m:e>
                      <m:r>
                        <w:rPr>
                          <w:rFonts w:ascii="Cambria Math" w:hAnsi="Cambria Math"/>
                        </w:rPr>
                        <m:t>m</m:t>
                      </m:r>
                    </m:e>
                  </m:acc>
                </m:e>
                <m:sub>
                  <m:r>
                    <w:rPr>
                      <w:rFonts w:ascii="Cambria Math" w:hAnsi="Cambria Math"/>
                    </w:rPr>
                    <m:t>i</m:t>
                  </m:r>
                </m:sub>
              </m:sSub>
            </m:e>
          </m:nary>
          <m:r>
            <m:rPr>
              <m:sty m:val="p"/>
            </m:rP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i</m:t>
              </m:r>
              <m:r>
                <m:rPr>
                  <m:sty m:val="p"/>
                </m:rPr>
                <w:rPr>
                  <w:rFonts w:ascii="Cambria Math" w:hAnsi="Cambria Math"/>
                </w:rPr>
                <m:t>,</m:t>
              </m:r>
              <m:r>
                <w:rPr>
                  <w:rFonts w:ascii="Cambria Math" w:hAnsi="Cambria Math"/>
                </w:rPr>
                <m:t>j</m:t>
              </m:r>
              <m:r>
                <m:rPr>
                  <m:sty m:val="p"/>
                </m:rPr>
                <w:rPr>
                  <w:rFonts w:ascii="Cambria Math" w:hAnsi="Cambria Math"/>
                </w:rPr>
                <m:t>-</m:t>
              </m:r>
              <m:r>
                <w:rPr>
                  <w:rFonts w:ascii="Cambria Math" w:hAnsi="Cambria Math"/>
                </w:rPr>
                <m:t>1</m:t>
              </m:r>
            </m:sub>
          </m:sSub>
          <m:r>
            <m:rPr>
              <m:sty m:val="p"/>
            </m:rPr>
            <w:rPr>
              <w:rFonts w:ascii="Cambria Math" w:hAnsi="Cambria Math"/>
            </w:rPr>
            <m:t>,</m:t>
          </m:r>
          <m:r>
            <w:rPr>
              <w:rFonts w:ascii="Cambria Math" w:hAnsi="Cambria Math"/>
            </w:rPr>
            <m:t> </m:t>
          </m:r>
          <m:sSub>
            <m:sSubPr>
              <m:ctrlPr>
                <w:rPr>
                  <w:rFonts w:ascii="Cambria Math" w:hAnsi="Cambria Math"/>
                </w:rPr>
              </m:ctrlPr>
            </m:sSubPr>
            <m:e>
              <m:r>
                <w:rPr>
                  <w:rFonts w:ascii="Cambria Math" w:hAnsi="Cambria Math"/>
                </w:rPr>
                <m:t>t</m:t>
              </m:r>
            </m:e>
            <m:sub>
              <m:r>
                <w:rPr>
                  <w:rFonts w:ascii="Cambria Math" w:hAnsi="Cambria Math"/>
                </w:rPr>
                <m:t>ij</m:t>
              </m:r>
            </m:sub>
          </m:sSub>
          <m:r>
            <m:rPr>
              <m:sty m:val="p"/>
            </m:rPr>
            <w:rPr>
              <w:rFonts w:ascii="Cambria Math" w:hAnsi="Cambria Math"/>
            </w:rPr>
            <m:t>]</m:t>
          </m:r>
        </m:oMath>
      </m:oMathPara>
    </w:p>
    <w:p w14:paraId="00952803" w14:textId="77777777" w:rsidR="00C44FC6" w:rsidRDefault="00282DCE">
      <w:pPr>
        <w:pStyle w:val="FirstParagraph"/>
      </w:pPr>
      <w:r>
        <w:t xml:space="preserve">In practice this is computed as the </w:t>
      </w:r>
      <w:r>
        <w:rPr>
          <w:rStyle w:val="VerbatimChar"/>
        </w:rPr>
        <w:t>cumsum</w:t>
      </w:r>
      <w:r>
        <w:t xml:space="preserve"> of row-level predictions per patient, taking the value at the last observed interval (</w:t>
      </w:r>
      <w:r>
        <w:rPr>
          <w:rStyle w:val="VerbatimChar"/>
        </w:rPr>
        <w:t>which.max(tstop)</w:t>
      </w:r>
      <w:r>
        <w:t xml:space="preserve">). Rows with zero-length intervals </w:t>
      </w:r>
      <w:r>
        <w:lastRenderedPageBreak/>
        <w:t>(</w:t>
      </w:r>
      <m:oMath>
        <m:sSub>
          <m:sSubPr>
            <m:ctrlPr>
              <w:rPr>
                <w:rFonts w:ascii="Cambria Math" w:hAnsi="Cambria Math"/>
              </w:rPr>
            </m:ctrlPr>
          </m:sSubPr>
          <m:e>
            <m:r>
              <w:rPr>
                <w:rFonts w:ascii="Cambria Math" w:hAnsi="Cambria Math"/>
              </w:rPr>
              <m:t>t</m:t>
            </m:r>
          </m:e>
          <m:sub>
            <m:r>
              <m:rPr>
                <m:nor/>
              </m:rPr>
              <m:t>start</m:t>
            </m:r>
          </m:sub>
        </m:sSub>
        <m:r>
          <m:rPr>
            <m:sty m:val="p"/>
          </m:rPr>
          <w:rPr>
            <w:rFonts w:ascii="Cambria Math" w:hAnsi="Cambria Math"/>
          </w:rPr>
          <m:t>=</m:t>
        </m:r>
        <m:sSub>
          <m:sSubPr>
            <m:ctrlPr>
              <w:rPr>
                <w:rFonts w:ascii="Cambria Math" w:hAnsi="Cambria Math"/>
              </w:rPr>
            </m:ctrlPr>
          </m:sSubPr>
          <m:e>
            <m:r>
              <w:rPr>
                <w:rFonts w:ascii="Cambria Math" w:hAnsi="Cambria Math"/>
              </w:rPr>
              <m:t>t</m:t>
            </m:r>
          </m:e>
          <m:sub>
            <m:r>
              <m:rPr>
                <m:nor/>
              </m:rPr>
              <m:t>stop</m:t>
            </m:r>
          </m:sub>
        </m:sSub>
      </m:oMath>
      <w:r>
        <w:t xml:space="preserve">) are excluded before calling </w:t>
      </w:r>
      <w:r>
        <w:rPr>
          <w:rStyle w:val="VerbatimChar"/>
        </w:rPr>
        <w:t>predict</w:t>
      </w:r>
      <w:r>
        <w:t>, as these arise when two events occur on the same day and can produce undefined contributions from the Breslow estimator.</w:t>
      </w:r>
    </w:p>
    <w:p w14:paraId="752C9C48" w14:textId="77777777" w:rsidR="00C44FC6" w:rsidRDefault="00282DCE">
      <w:pPr>
        <w:pStyle w:val="Heading2"/>
      </w:pPr>
      <w:bookmarkStart w:id="11" w:name="X25864526d799537174292f4886cf52d0a2cdff6"/>
      <w:bookmarkEnd w:id="8"/>
      <w:bookmarkEnd w:id="10"/>
      <w:r>
        <w:t>S5. Prentice–Williams–Peterson Total Time (PWP-TT) Model</w:t>
      </w:r>
    </w:p>
    <w:p w14:paraId="4B7461E7" w14:textId="77777777" w:rsidR="00C44FC6" w:rsidRDefault="00282DCE">
      <w:pPr>
        <w:pStyle w:val="Heading3"/>
      </w:pPr>
      <w:bookmarkStart w:id="12" w:name="s5.1-model-specification"/>
      <w:r>
        <w:t>S5.1 Model specification</w:t>
      </w:r>
    </w:p>
    <w:p w14:paraId="4ADCC7F0" w14:textId="3FC1E99C" w:rsidR="00C44FC6" w:rsidRDefault="00282DCE">
      <w:pPr>
        <w:pStyle w:val="FirstParagraph"/>
      </w:pPr>
      <w:r>
        <w:t xml:space="preserve">The PWP-TT model extends the AG framework by allowing the baseline hazard to differ across event strata, where stratum </w:t>
      </w:r>
      <m:oMath>
        <m:r>
          <w:rPr>
            <w:rFonts w:ascii="Cambria Math" w:hAnsi="Cambria Math"/>
          </w:rPr>
          <m:t>k</m:t>
        </m:r>
      </m:oMath>
      <w:r>
        <w:t xml:space="preserve"> corresponds to the </w:t>
      </w:r>
      <m:oMath>
        <m:r>
          <w:rPr>
            <w:rFonts w:ascii="Cambria Math" w:hAnsi="Cambria Math"/>
          </w:rPr>
          <m:t>k</m:t>
        </m:r>
      </m:oMath>
      <w:r>
        <w:t>th event occurrence</w:t>
      </w:r>
      <w:r w:rsidR="00B11896">
        <w:t xml:space="preserve"> (Prentice, 1981)</w:t>
      </w:r>
      <w:r>
        <w:t xml:space="preserve">. Regression coefficients </w:t>
      </w:r>
      <m:oMath>
        <m:acc>
          <m:accPr>
            <m:ctrlPr>
              <w:rPr>
                <w:rFonts w:ascii="Cambria Math" w:hAnsi="Cambria Math"/>
              </w:rPr>
            </m:ctrlPr>
          </m:accPr>
          <m:e>
            <m:r>
              <m:rPr>
                <m:sty m:val="b"/>
              </m:rPr>
              <w:rPr>
                <w:rFonts w:ascii="Cambria Math" w:hAnsi="Cambria Math"/>
              </w:rPr>
              <m:t>β</m:t>
            </m:r>
          </m:e>
        </m:acc>
      </m:oMath>
      <w:r>
        <w:t xml:space="preserve"> are shared across strata:</w:t>
      </w:r>
    </w:p>
    <w:p w14:paraId="12EF270B" w14:textId="77777777" w:rsidR="00C44FC6" w:rsidRDefault="00AB04F8">
      <w:pPr>
        <w:pStyle w:val="BodyText"/>
      </w:pPr>
      <m:oMathPara>
        <m:oMathParaPr>
          <m:jc m:val="center"/>
        </m:oMathParaPr>
        <m:oMath>
          <m:sSub>
            <m:sSubPr>
              <m:ctrlPr>
                <w:rPr>
                  <w:rFonts w:ascii="Cambria Math" w:hAnsi="Cambria Math"/>
                </w:rPr>
              </m:ctrlPr>
            </m:sSubPr>
            <m:e>
              <m:r>
                <w:rPr>
                  <w:rFonts w:ascii="Cambria Math" w:hAnsi="Cambria Math"/>
                </w:rPr>
                <m:t>λ</m:t>
              </m:r>
            </m:e>
            <m:sub>
              <m:r>
                <w:rPr>
                  <w:rFonts w:ascii="Cambria Math" w:hAnsi="Cambria Math"/>
                </w:rPr>
                <m:t>ik</m:t>
              </m:r>
            </m:sub>
          </m:sSub>
          <m:d>
            <m:dPr>
              <m:ctrlPr>
                <w:rPr>
                  <w:rFonts w:ascii="Cambria Math" w:hAnsi="Cambria Math"/>
                </w:rPr>
              </m:ctrlPr>
            </m:dPr>
            <m:e>
              <m:r>
                <w:rPr>
                  <w:rFonts w:ascii="Cambria Math" w:hAnsi="Cambria Math"/>
                </w:rPr>
                <m:t>t</m:t>
              </m:r>
            </m:e>
          </m:d>
          <m:r>
            <m:rPr>
              <m:sty m:val="p"/>
            </m:rPr>
            <w:rPr>
              <w:rFonts w:ascii="Cambria Math" w:hAnsi="Cambria Math"/>
            </w:rPr>
            <m:t>=</m:t>
          </m:r>
          <m:sSub>
            <m:sSubPr>
              <m:ctrlPr>
                <w:rPr>
                  <w:rFonts w:ascii="Cambria Math" w:hAnsi="Cambria Math"/>
                </w:rPr>
              </m:ctrlPr>
            </m:sSubPr>
            <m:e>
              <m:r>
                <w:rPr>
                  <w:rFonts w:ascii="Cambria Math" w:hAnsi="Cambria Math"/>
                </w:rPr>
                <m:t>λ</m:t>
              </m:r>
            </m:e>
            <m:sub>
              <m:r>
                <w:rPr>
                  <w:rFonts w:ascii="Cambria Math" w:hAnsi="Cambria Math"/>
                </w:rPr>
                <m:t>0k</m:t>
              </m:r>
            </m:sub>
          </m:sSub>
          <m:d>
            <m:dPr>
              <m:ctrlPr>
                <w:rPr>
                  <w:rFonts w:ascii="Cambria Math" w:hAnsi="Cambria Math"/>
                </w:rPr>
              </m:ctrlPr>
            </m:dPr>
            <m:e>
              <m:r>
                <w:rPr>
                  <w:rFonts w:ascii="Cambria Math" w:hAnsi="Cambria Math"/>
                </w:rPr>
                <m:t>t</m:t>
              </m:r>
            </m:e>
          </m:d>
          <m:r>
            <m:rPr>
              <m:sty m:val="p"/>
            </m:rPr>
            <w:rPr>
              <w:rFonts w:ascii="Cambria Math" w:hAnsi="Cambria Math"/>
            </w:rPr>
            <m:t>⋅exp</m:t>
          </m:r>
          <m:r>
            <w:rPr>
              <w:rFonts w:ascii="Cambria Math" w:hAnsi="Cambria Math"/>
            </w:rPr>
            <m:t>​</m:t>
          </m:r>
          <m:d>
            <m:dPr>
              <m:ctrlPr>
                <w:rPr>
                  <w:rFonts w:ascii="Cambria Math" w:hAnsi="Cambria Math"/>
                </w:rPr>
              </m:ctrlPr>
            </m:dPr>
            <m:e>
              <m:sSubSup>
                <m:sSubSupPr>
                  <m:ctrlPr>
                    <w:rPr>
                      <w:rFonts w:ascii="Cambria Math" w:hAnsi="Cambria Math"/>
                    </w:rPr>
                  </m:ctrlPr>
                </m:sSubSupPr>
                <m:e>
                  <m:r>
                    <m:rPr>
                      <m:sty m:val="b"/>
                    </m:rPr>
                    <w:rPr>
                      <w:rFonts w:ascii="Cambria Math" w:hAnsi="Cambria Math"/>
                    </w:rPr>
                    <m:t>x</m:t>
                  </m:r>
                </m:e>
                <m:sub>
                  <m:r>
                    <w:rPr>
                      <w:rFonts w:ascii="Cambria Math" w:hAnsi="Cambria Math"/>
                    </w:rPr>
                    <m:t>i</m:t>
                  </m:r>
                </m:sub>
                <m:sup>
                  <m:r>
                    <m:rPr>
                      <m:sty m:val="p"/>
                    </m:rPr>
                    <w:rPr>
                      <w:rFonts w:ascii="Cambria Math" w:hAnsi="Cambria Math"/>
                    </w:rPr>
                    <m:t>⊤</m:t>
                  </m:r>
                </m:sup>
              </m:sSubSup>
              <m:acc>
                <m:accPr>
                  <m:ctrlPr>
                    <w:rPr>
                      <w:rFonts w:ascii="Cambria Math" w:hAnsi="Cambria Math"/>
                    </w:rPr>
                  </m:ctrlPr>
                </m:accPr>
                <m:e>
                  <m:r>
                    <m:rPr>
                      <m:sty m:val="b"/>
                    </m:rPr>
                    <w:rPr>
                      <w:rFonts w:ascii="Cambria Math" w:hAnsi="Cambria Math"/>
                    </w:rPr>
                    <m:t>β</m:t>
                  </m:r>
                </m:e>
              </m:acc>
            </m:e>
          </m:d>
        </m:oMath>
      </m:oMathPara>
    </w:p>
    <w:p w14:paraId="7BB99733" w14:textId="77777777" w:rsidR="00C44FC6" w:rsidRDefault="00282DCE">
      <w:pPr>
        <w:pStyle w:val="FirstParagraph"/>
      </w:pPr>
      <w:r>
        <w:t xml:space="preserve">Separate Breslow cumulative baseline hazards </w:t>
      </w:r>
      <m:oMath>
        <m:sSub>
          <m:sSubPr>
            <m:ctrlPr>
              <w:rPr>
                <w:rFonts w:ascii="Cambria Math" w:hAnsi="Cambria Math"/>
              </w:rPr>
            </m:ctrlPr>
          </m:sSubPr>
          <m:e>
            <m:acc>
              <m:accPr>
                <m:ctrlPr>
                  <w:rPr>
                    <w:rFonts w:ascii="Cambria Math" w:hAnsi="Cambria Math"/>
                  </w:rPr>
                </m:ctrlPr>
              </m:accPr>
              <m:e>
                <m:r>
                  <w:rPr>
                    <w:rFonts w:ascii="Cambria Math" w:hAnsi="Cambria Math"/>
                  </w:rPr>
                  <m:t>Λ</m:t>
                </m:r>
              </m:e>
            </m:acc>
          </m:e>
          <m:sub>
            <m:r>
              <w:rPr>
                <w:rFonts w:ascii="Cambria Math" w:hAnsi="Cambria Math"/>
              </w:rPr>
              <m:t>0k</m:t>
            </m:r>
          </m:sub>
        </m:sSub>
        <m:d>
          <m:dPr>
            <m:ctrlPr>
              <w:rPr>
                <w:rFonts w:ascii="Cambria Math" w:hAnsi="Cambria Math"/>
              </w:rPr>
            </m:ctrlPr>
          </m:dPr>
          <m:e>
            <m:r>
              <w:rPr>
                <w:rFonts w:ascii="Cambria Math" w:hAnsi="Cambria Math"/>
              </w:rPr>
              <m:t>t</m:t>
            </m:r>
          </m:e>
        </m:d>
      </m:oMath>
      <w:r>
        <w:t xml:space="preserve"> are estimated for each stratum </w:t>
      </w:r>
      <m:oMath>
        <m:r>
          <w:rPr>
            <w:rFonts w:ascii="Cambria Math" w:hAnsi="Cambria Math"/>
          </w:rPr>
          <m:t>k</m:t>
        </m:r>
      </m:oMath>
      <w:r>
        <w:t xml:space="preserve">. Individual </w:t>
      </w:r>
      <m:oMath>
        <m:r>
          <w:rPr>
            <w:rFonts w:ascii="Cambria Math" w:hAnsi="Cambria Math"/>
          </w:rPr>
          <m:t>i</m:t>
        </m:r>
      </m:oMath>
      <w:r>
        <w:t xml:space="preserve"> is at risk for stratum </w:t>
      </w:r>
      <m:oMath>
        <m:r>
          <w:rPr>
            <w:rFonts w:ascii="Cambria Math" w:hAnsi="Cambria Math"/>
          </w:rPr>
          <m:t>k</m:t>
        </m:r>
      </m:oMath>
      <w:r>
        <w:t xml:space="preserve"> only when exactly </w:t>
      </w:r>
      <m:oMath>
        <m:r>
          <w:rPr>
            <w:rFonts w:ascii="Cambria Math" w:hAnsi="Cambria Math"/>
          </w:rPr>
          <m:t>k</m:t>
        </m:r>
        <m:r>
          <m:rPr>
            <m:sty m:val="p"/>
          </m:rPr>
          <w:rPr>
            <w:rFonts w:ascii="Cambria Math" w:hAnsi="Cambria Math"/>
          </w:rPr>
          <m:t>-</m:t>
        </m:r>
        <m:r>
          <w:rPr>
            <w:rFonts w:ascii="Cambria Math" w:hAnsi="Cambria Math"/>
          </w:rPr>
          <m:t>1</m:t>
        </m:r>
      </m:oMath>
      <w:r>
        <w:t xml:space="preserve"> prior events have occurred.</w:t>
      </w:r>
    </w:p>
    <w:p w14:paraId="19EA874D" w14:textId="77777777" w:rsidR="00C44FC6" w:rsidRDefault="00282DCE">
      <w:pPr>
        <w:pStyle w:val="Heading3"/>
      </w:pPr>
      <w:bookmarkStart w:id="13" w:name="s5.2-predicted-cumulative-event-count"/>
      <w:bookmarkEnd w:id="12"/>
      <w:r>
        <w:t>S5.2 Predicted cumulative event count</w:t>
      </w:r>
    </w:p>
    <w:p w14:paraId="55554D8B" w14:textId="77777777" w:rsidR="00C44FC6" w:rsidRDefault="00282DCE">
      <w:pPr>
        <w:pStyle w:val="FirstParagraph"/>
      </w:pPr>
      <w:r>
        <w:t xml:space="preserve">The expected contribution from stratum </w:t>
      </w:r>
      <m:oMath>
        <m:r>
          <w:rPr>
            <w:rFonts w:ascii="Cambria Math" w:hAnsi="Cambria Math"/>
          </w:rPr>
          <m:t>k</m:t>
        </m:r>
      </m:oMath>
      <w:r>
        <w:t xml:space="preserve"> for individual </w:t>
      </w:r>
      <m:oMath>
        <m:r>
          <w:rPr>
            <w:rFonts w:ascii="Cambria Math" w:hAnsi="Cambria Math"/>
          </w:rPr>
          <m:t>i</m:t>
        </m:r>
      </m:oMath>
      <w:r>
        <w:t xml:space="preserve"> in interval </w:t>
      </w:r>
      <m:oMath>
        <m:r>
          <m:rPr>
            <m:sty m:val="p"/>
          </m:rPr>
          <w:rPr>
            <w:rFonts w:ascii="Cambria Math" w:hAnsi="Cambria Math"/>
          </w:rPr>
          <m:t>(</m:t>
        </m:r>
        <m:r>
          <w:rPr>
            <w:rFonts w:ascii="Cambria Math" w:hAnsi="Cambria Math"/>
          </w:rPr>
          <m:t>l</m:t>
        </m:r>
        <m:r>
          <m:rPr>
            <m:sty m:val="p"/>
          </m:rPr>
          <w:rPr>
            <w:rFonts w:ascii="Cambria Math" w:hAnsi="Cambria Math"/>
          </w:rPr>
          <m:t>,</m:t>
        </m:r>
        <m:r>
          <w:rPr>
            <w:rFonts w:ascii="Cambria Math" w:hAnsi="Cambria Math"/>
          </w:rPr>
          <m:t> u</m:t>
        </m:r>
        <m:r>
          <m:rPr>
            <m:sty m:val="p"/>
          </m:rPr>
          <w:rPr>
            <w:rFonts w:ascii="Cambria Math" w:hAnsi="Cambria Math"/>
          </w:rPr>
          <m:t>]</m:t>
        </m:r>
      </m:oMath>
      <w:r>
        <w:t xml:space="preserve"> is:</w:t>
      </w:r>
    </w:p>
    <w:p w14:paraId="448CACA8" w14:textId="77777777" w:rsidR="00C44FC6" w:rsidRDefault="00AB04F8">
      <w:pPr>
        <w:pStyle w:val="BodyText"/>
      </w:pPr>
      <m:oMathPara>
        <m:oMathParaPr>
          <m:jc m:val="center"/>
        </m:oMathParaPr>
        <m:oMath>
          <m:sSub>
            <m:sSubPr>
              <m:ctrlPr>
                <w:rPr>
                  <w:rFonts w:ascii="Cambria Math" w:hAnsi="Cambria Math"/>
                </w:rPr>
              </m:ctrlPr>
            </m:sSubPr>
            <m:e>
              <m:acc>
                <m:accPr>
                  <m:ctrlPr>
                    <w:rPr>
                      <w:rFonts w:ascii="Cambria Math" w:hAnsi="Cambria Math"/>
                    </w:rPr>
                  </m:ctrlPr>
                </m:accPr>
                <m:e>
                  <m:r>
                    <w:rPr>
                      <w:rFonts w:ascii="Cambria Math" w:hAnsi="Cambria Math"/>
                    </w:rPr>
                    <m:t>m</m:t>
                  </m:r>
                </m:e>
              </m:acc>
            </m:e>
            <m:sub>
              <m:r>
                <w:rPr>
                  <w:rFonts w:ascii="Cambria Math" w:hAnsi="Cambria Math"/>
                </w:rPr>
                <m:t>ik</m:t>
              </m:r>
            </m:sub>
          </m:sSub>
          <m:r>
            <m:rPr>
              <m:sty m:val="p"/>
            </m:rPr>
            <w:rPr>
              <w:rFonts w:ascii="Cambria Math" w:hAnsi="Cambria Math"/>
            </w:rPr>
            <m:t>(</m:t>
          </m:r>
          <m:r>
            <w:rPr>
              <w:rFonts w:ascii="Cambria Math" w:hAnsi="Cambria Math"/>
            </w:rPr>
            <m:t>l</m:t>
          </m:r>
          <m:r>
            <m:rPr>
              <m:sty m:val="p"/>
            </m:rPr>
            <w:rPr>
              <w:rFonts w:ascii="Cambria Math" w:hAnsi="Cambria Math"/>
            </w:rPr>
            <m:t>,</m:t>
          </m:r>
          <m:r>
            <w:rPr>
              <w:rFonts w:ascii="Cambria Math" w:hAnsi="Cambria Math"/>
            </w:rPr>
            <m:t>u</m:t>
          </m:r>
          <m:r>
            <m:rPr>
              <m:sty m:val="p"/>
            </m:rPr>
            <w:rPr>
              <w:rFonts w:ascii="Cambria Math" w:hAnsi="Cambria Math"/>
            </w:rPr>
            <m:t>]=exp</m:t>
          </m:r>
          <m:r>
            <w:rPr>
              <w:rFonts w:ascii="Cambria Math" w:hAnsi="Cambria Math"/>
            </w:rPr>
            <m:t>​</m:t>
          </m:r>
          <m:d>
            <m:dPr>
              <m:ctrlPr>
                <w:rPr>
                  <w:rFonts w:ascii="Cambria Math" w:hAnsi="Cambria Math"/>
                </w:rPr>
              </m:ctrlPr>
            </m:dPr>
            <m:e>
              <m:sSubSup>
                <m:sSubSupPr>
                  <m:ctrlPr>
                    <w:rPr>
                      <w:rFonts w:ascii="Cambria Math" w:hAnsi="Cambria Math"/>
                    </w:rPr>
                  </m:ctrlPr>
                </m:sSubSupPr>
                <m:e>
                  <m:r>
                    <m:rPr>
                      <m:sty m:val="b"/>
                    </m:rPr>
                    <w:rPr>
                      <w:rFonts w:ascii="Cambria Math" w:hAnsi="Cambria Math"/>
                    </w:rPr>
                    <m:t>x</m:t>
                  </m:r>
                </m:e>
                <m:sub>
                  <m:r>
                    <w:rPr>
                      <w:rFonts w:ascii="Cambria Math" w:hAnsi="Cambria Math"/>
                    </w:rPr>
                    <m:t>i</m:t>
                  </m:r>
                </m:sub>
                <m:sup>
                  <m:r>
                    <m:rPr>
                      <m:sty m:val="p"/>
                    </m:rPr>
                    <w:rPr>
                      <w:rFonts w:ascii="Cambria Math" w:hAnsi="Cambria Math"/>
                    </w:rPr>
                    <m:t>⊤</m:t>
                  </m:r>
                </m:sup>
              </m:sSubSup>
              <m:acc>
                <m:accPr>
                  <m:ctrlPr>
                    <w:rPr>
                      <w:rFonts w:ascii="Cambria Math" w:hAnsi="Cambria Math"/>
                    </w:rPr>
                  </m:ctrlPr>
                </m:accPr>
                <m:e>
                  <m:r>
                    <m:rPr>
                      <m:sty m:val="b"/>
                    </m:rPr>
                    <w:rPr>
                      <w:rFonts w:ascii="Cambria Math" w:hAnsi="Cambria Math"/>
                    </w:rPr>
                    <m:t>β</m:t>
                  </m:r>
                </m:e>
              </m:acc>
            </m:e>
          </m:d>
          <m:r>
            <m:rPr>
              <m:sty m:val="p"/>
            </m:rPr>
            <w:rPr>
              <w:rFonts w:ascii="Cambria Math" w:hAnsi="Cambria Math"/>
            </w:rPr>
            <m:t>⋅</m:t>
          </m:r>
          <m:d>
            <m:dPr>
              <m:begChr m:val="["/>
              <m:endChr m:val="]"/>
              <m:ctrlPr>
                <w:rPr>
                  <w:rFonts w:ascii="Cambria Math" w:hAnsi="Cambria Math"/>
                </w:rPr>
              </m:ctrlPr>
            </m:dPr>
            <m:e>
              <m:sSub>
                <m:sSubPr>
                  <m:ctrlPr>
                    <w:rPr>
                      <w:rFonts w:ascii="Cambria Math" w:hAnsi="Cambria Math"/>
                    </w:rPr>
                  </m:ctrlPr>
                </m:sSubPr>
                <m:e>
                  <m:acc>
                    <m:accPr>
                      <m:ctrlPr>
                        <w:rPr>
                          <w:rFonts w:ascii="Cambria Math" w:hAnsi="Cambria Math"/>
                        </w:rPr>
                      </m:ctrlPr>
                    </m:accPr>
                    <m:e>
                      <m:r>
                        <w:rPr>
                          <w:rFonts w:ascii="Cambria Math" w:hAnsi="Cambria Math"/>
                        </w:rPr>
                        <m:t>Λ</m:t>
                      </m:r>
                    </m:e>
                  </m:acc>
                </m:e>
                <m:sub>
                  <m:r>
                    <w:rPr>
                      <w:rFonts w:ascii="Cambria Math" w:hAnsi="Cambria Math"/>
                    </w:rPr>
                    <m:t>0k</m:t>
                  </m:r>
                </m:sub>
              </m:sSub>
              <m:d>
                <m:dPr>
                  <m:ctrlPr>
                    <w:rPr>
                      <w:rFonts w:ascii="Cambria Math" w:hAnsi="Cambria Math"/>
                    </w:rPr>
                  </m:ctrlPr>
                </m:dPr>
                <m:e>
                  <m:r>
                    <w:rPr>
                      <w:rFonts w:ascii="Cambria Math" w:hAnsi="Cambria Math"/>
                    </w:rPr>
                    <m:t>u</m:t>
                  </m:r>
                </m:e>
              </m:d>
              <m:r>
                <m:rPr>
                  <m:sty m:val="p"/>
                </m:rPr>
                <w:rPr>
                  <w:rFonts w:ascii="Cambria Math" w:hAnsi="Cambria Math"/>
                </w:rPr>
                <m:t>-</m:t>
              </m:r>
              <m:sSub>
                <m:sSubPr>
                  <m:ctrlPr>
                    <w:rPr>
                      <w:rFonts w:ascii="Cambria Math" w:hAnsi="Cambria Math"/>
                    </w:rPr>
                  </m:ctrlPr>
                </m:sSubPr>
                <m:e>
                  <m:acc>
                    <m:accPr>
                      <m:ctrlPr>
                        <w:rPr>
                          <w:rFonts w:ascii="Cambria Math" w:hAnsi="Cambria Math"/>
                        </w:rPr>
                      </m:ctrlPr>
                    </m:accPr>
                    <m:e>
                      <m:r>
                        <w:rPr>
                          <w:rFonts w:ascii="Cambria Math" w:hAnsi="Cambria Math"/>
                        </w:rPr>
                        <m:t>Λ</m:t>
                      </m:r>
                    </m:e>
                  </m:acc>
                </m:e>
                <m:sub>
                  <m:r>
                    <w:rPr>
                      <w:rFonts w:ascii="Cambria Math" w:hAnsi="Cambria Math"/>
                    </w:rPr>
                    <m:t>0k</m:t>
                  </m:r>
                </m:sub>
              </m:sSub>
              <m:d>
                <m:dPr>
                  <m:ctrlPr>
                    <w:rPr>
                      <w:rFonts w:ascii="Cambria Math" w:hAnsi="Cambria Math"/>
                    </w:rPr>
                  </m:ctrlPr>
                </m:dPr>
                <m:e>
                  <m:r>
                    <w:rPr>
                      <w:rFonts w:ascii="Cambria Math" w:hAnsi="Cambria Math"/>
                    </w:rPr>
                    <m:t>l</m:t>
                  </m:r>
                </m:e>
              </m:d>
            </m:e>
          </m:d>
        </m:oMath>
      </m:oMathPara>
    </w:p>
    <w:p w14:paraId="63C876BB" w14:textId="77777777" w:rsidR="00C44FC6" w:rsidRDefault="00282DCE">
      <w:pPr>
        <w:pStyle w:val="FirstParagraph"/>
      </w:pPr>
      <w:r>
        <w:t xml:space="preserve">The total predicted event count up to </w:t>
      </w:r>
      <m:oMath>
        <m:sSup>
          <m:sSupPr>
            <m:ctrlPr>
              <w:rPr>
                <w:rFonts w:ascii="Cambria Math" w:hAnsi="Cambria Math"/>
              </w:rPr>
            </m:ctrlPr>
          </m:sSupPr>
          <m:e>
            <m:r>
              <w:rPr>
                <w:rFonts w:ascii="Cambria Math" w:hAnsi="Cambria Math"/>
              </w:rPr>
              <m:t>t</m:t>
            </m:r>
          </m:e>
          <m:sup>
            <m:r>
              <m:rPr>
                <m:sty m:val="p"/>
              </m:rPr>
              <w:rPr>
                <w:rFonts w:ascii="Cambria Math" w:hAnsi="Cambria Math"/>
              </w:rPr>
              <m:t>*</m:t>
            </m:r>
          </m:sup>
        </m:sSup>
      </m:oMath>
      <w:r>
        <w:t xml:space="preserve"> sums over both strata and intervals within strata:</w:t>
      </w:r>
    </w:p>
    <w:p w14:paraId="1C7FCBA3" w14:textId="77777777" w:rsidR="00C44FC6" w:rsidRDefault="00AB04F8">
      <w:pPr>
        <w:pStyle w:val="BodyText"/>
      </w:pPr>
      <m:oMathPara>
        <m:oMathParaPr>
          <m:jc m:val="center"/>
        </m:oMathParaPr>
        <m:oMath>
          <m:sSub>
            <m:sSubPr>
              <m:ctrlPr>
                <w:rPr>
                  <w:rFonts w:ascii="Cambria Math" w:hAnsi="Cambria Math"/>
                </w:rPr>
              </m:ctrlPr>
            </m:sSubPr>
            <m:e>
              <m:acc>
                <m:accPr>
                  <m:ctrlPr>
                    <w:rPr>
                      <w:rFonts w:ascii="Cambria Math" w:hAnsi="Cambria Math"/>
                    </w:rPr>
                  </m:ctrlPr>
                </m:accPr>
                <m:e>
                  <m:r>
                    <w:rPr>
                      <w:rFonts w:ascii="Cambria Math" w:hAnsi="Cambria Math"/>
                    </w:rPr>
                    <m:t>μ</m:t>
                  </m:r>
                </m:e>
              </m:acc>
            </m:e>
            <m:sub>
              <m:r>
                <w:rPr>
                  <w:rFonts w:ascii="Cambria Math" w:hAnsi="Cambria Math"/>
                </w:rPr>
                <m:t>i</m:t>
              </m:r>
            </m:sub>
          </m:sSub>
          <m:d>
            <m:dPr>
              <m:ctrlPr>
                <w:rPr>
                  <w:rFonts w:ascii="Cambria Math" w:hAnsi="Cambria Math"/>
                </w:rPr>
              </m:ctrlPr>
            </m:dPr>
            <m:e>
              <m:sSup>
                <m:sSupPr>
                  <m:ctrlPr>
                    <w:rPr>
                      <w:rFonts w:ascii="Cambria Math" w:hAnsi="Cambria Math"/>
                    </w:rPr>
                  </m:ctrlPr>
                </m:sSupPr>
                <m:e>
                  <m:r>
                    <w:rPr>
                      <w:rFonts w:ascii="Cambria Math" w:hAnsi="Cambria Math"/>
                    </w:rPr>
                    <m:t>t</m:t>
                  </m:r>
                </m:e>
                <m:sup>
                  <m:r>
                    <m:rPr>
                      <m:sty m:val="p"/>
                    </m:rPr>
                    <w:rPr>
                      <w:rFonts w:ascii="Cambria Math" w:hAnsi="Cambria Math"/>
                    </w:rPr>
                    <m:t>*</m:t>
                  </m:r>
                </m:sup>
              </m:sSup>
            </m:e>
          </m:d>
          <m:r>
            <m:rPr>
              <m:sty m:val="p"/>
            </m:rPr>
            <w:rPr>
              <w:rFonts w:ascii="Cambria Math" w:hAnsi="Cambria Math"/>
            </w:rPr>
            <m:t>=</m:t>
          </m:r>
          <m:nary>
            <m:naryPr>
              <m:chr m:val="∑"/>
              <m:limLoc m:val="undOvr"/>
              <m:supHide m:val="1"/>
              <m:ctrlPr>
                <w:rPr>
                  <w:rFonts w:ascii="Cambria Math" w:hAnsi="Cambria Math"/>
                </w:rPr>
              </m:ctrlPr>
            </m:naryPr>
            <m:sub>
              <m:r>
                <w:rPr>
                  <w:rFonts w:ascii="Cambria Math" w:hAnsi="Cambria Math"/>
                </w:rPr>
                <m:t>k</m:t>
              </m:r>
            </m:sub>
            <m:sup>
              <m:r>
                <w:rPr>
                  <w:rFonts w:ascii="Cambria Math" w:hAnsi="Cambria Math"/>
                </w:rPr>
                <m:t>​</m:t>
              </m:r>
            </m:sup>
            <m:e>
              <m:nary>
                <m:naryPr>
                  <m:chr m:val="∑"/>
                  <m:limLoc m:val="undOvr"/>
                  <m:supHide m:val="1"/>
                  <m:ctrlPr>
                    <w:rPr>
                      <w:rFonts w:ascii="Cambria Math" w:hAnsi="Cambria Math"/>
                    </w:rPr>
                  </m:ctrlPr>
                </m:naryPr>
                <m:sub>
                  <m:r>
                    <w:rPr>
                      <w:rFonts w:ascii="Cambria Math" w:hAnsi="Cambria Math"/>
                    </w:rPr>
                    <m:t>j</m:t>
                  </m:r>
                </m:sub>
                <m:sup>
                  <m:r>
                    <w:rPr>
                      <w:rFonts w:ascii="Cambria Math" w:hAnsi="Cambria Math"/>
                    </w:rPr>
                    <m:t>​</m:t>
                  </m:r>
                </m:sup>
                <m:e>
                  <m:sSub>
                    <m:sSubPr>
                      <m:ctrlPr>
                        <w:rPr>
                          <w:rFonts w:ascii="Cambria Math" w:hAnsi="Cambria Math"/>
                        </w:rPr>
                      </m:ctrlPr>
                    </m:sSubPr>
                    <m:e>
                      <m:acc>
                        <m:accPr>
                          <m:ctrlPr>
                            <w:rPr>
                              <w:rFonts w:ascii="Cambria Math" w:hAnsi="Cambria Math"/>
                            </w:rPr>
                          </m:ctrlPr>
                        </m:accPr>
                        <m:e>
                          <m:r>
                            <w:rPr>
                              <w:rFonts w:ascii="Cambria Math" w:hAnsi="Cambria Math"/>
                            </w:rPr>
                            <m:t>m</m:t>
                          </m:r>
                        </m:e>
                      </m:acc>
                    </m:e>
                    <m:sub>
                      <m:r>
                        <w:rPr>
                          <w:rFonts w:ascii="Cambria Math" w:hAnsi="Cambria Math"/>
                        </w:rPr>
                        <m:t>ik</m:t>
                      </m:r>
                    </m:sub>
                  </m:sSub>
                </m:e>
              </m:nary>
            </m:e>
          </m:nary>
          <m:r>
            <m:rPr>
              <m:sty m:val="p"/>
            </m:rP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i</m:t>
              </m:r>
              <m:r>
                <m:rPr>
                  <m:sty m:val="p"/>
                </m:rPr>
                <w:rPr>
                  <w:rFonts w:ascii="Cambria Math" w:hAnsi="Cambria Math"/>
                </w:rPr>
                <m:t>,</m:t>
              </m:r>
              <m:r>
                <w:rPr>
                  <w:rFonts w:ascii="Cambria Math" w:hAnsi="Cambria Math"/>
                </w:rPr>
                <m:t>j</m:t>
              </m:r>
              <m:r>
                <m:rPr>
                  <m:sty m:val="p"/>
                </m:rPr>
                <w:rPr>
                  <w:rFonts w:ascii="Cambria Math" w:hAnsi="Cambria Math"/>
                </w:rPr>
                <m:t>-</m:t>
              </m:r>
              <m:r>
                <w:rPr>
                  <w:rFonts w:ascii="Cambria Math" w:hAnsi="Cambria Math"/>
                </w:rPr>
                <m:t>1</m:t>
              </m:r>
            </m:sub>
          </m:sSub>
          <m:r>
            <m:rPr>
              <m:sty m:val="p"/>
            </m:rPr>
            <w:rPr>
              <w:rFonts w:ascii="Cambria Math" w:hAnsi="Cambria Math"/>
            </w:rPr>
            <m:t>,</m:t>
          </m:r>
          <m:r>
            <w:rPr>
              <w:rFonts w:ascii="Cambria Math" w:hAnsi="Cambria Math"/>
            </w:rPr>
            <m:t> </m:t>
          </m:r>
          <m:sSub>
            <m:sSubPr>
              <m:ctrlPr>
                <w:rPr>
                  <w:rFonts w:ascii="Cambria Math" w:hAnsi="Cambria Math"/>
                </w:rPr>
              </m:ctrlPr>
            </m:sSubPr>
            <m:e>
              <m:r>
                <w:rPr>
                  <w:rFonts w:ascii="Cambria Math" w:hAnsi="Cambria Math"/>
                </w:rPr>
                <m:t>t</m:t>
              </m:r>
            </m:e>
            <m:sub>
              <m:r>
                <w:rPr>
                  <w:rFonts w:ascii="Cambria Math" w:hAnsi="Cambria Math"/>
                </w:rPr>
                <m:t>ij</m:t>
              </m:r>
            </m:sub>
          </m:sSub>
          <m:r>
            <m:rPr>
              <m:sty m:val="p"/>
            </m:rPr>
            <w:rPr>
              <w:rFonts w:ascii="Cambria Math" w:hAnsi="Cambria Math"/>
            </w:rPr>
            <m:t>]</m:t>
          </m:r>
        </m:oMath>
      </m:oMathPara>
    </w:p>
    <w:p w14:paraId="6DB3EEAC" w14:textId="77777777" w:rsidR="00C44FC6" w:rsidRDefault="00282DCE">
      <w:pPr>
        <w:pStyle w:val="FirstParagraph"/>
      </w:pPr>
      <w:r>
        <w:t xml:space="preserve">As with the AG model, this is computed by accumulating the row-level </w:t>
      </w:r>
      <w:r>
        <w:rPr>
          <w:rStyle w:val="VerbatimChar"/>
        </w:rPr>
        <w:t>predict(fit, type = "expected")</w:t>
      </w:r>
      <w:r>
        <w:t xml:space="preserve"> values via </w:t>
      </w:r>
      <w:r>
        <w:rPr>
          <w:rStyle w:val="VerbatimChar"/>
        </w:rPr>
        <w:t>cumsum</w:t>
      </w:r>
      <w:r>
        <w:t xml:space="preserve"> per patient and taking the value at the last observed interval. The stratum is specified in R via </w:t>
      </w:r>
      <w:r>
        <w:rPr>
          <w:rStyle w:val="VerbatimChar"/>
        </w:rPr>
        <w:t>strata(enum)</w:t>
      </w:r>
      <w:r>
        <w:t xml:space="preserve"> in the </w:t>
      </w:r>
      <w:r>
        <w:rPr>
          <w:rStyle w:val="VerbatimChar"/>
        </w:rPr>
        <w:t>coxph</w:t>
      </w:r>
      <w:r>
        <w:t xml:space="preserve"> formula, where </w:t>
      </w:r>
      <w:r>
        <w:rPr>
          <w:rStyle w:val="VerbatimChar"/>
        </w:rPr>
        <w:t>enum</w:t>
      </w:r>
      <w:r>
        <w:t xml:space="preserve"> indexes the event occurrence number. In the SANAD analysis, predictions were additionally restricted to intervals with </w:t>
      </w:r>
      <w:r>
        <w:rPr>
          <w:rStyle w:val="VerbatimChar"/>
        </w:rPr>
        <w:t>stop &lt;= 730</w:t>
      </w:r>
      <w:r>
        <w:t xml:space="preserve"> days (the two-year horizon) before accumulation.</w:t>
      </w:r>
    </w:p>
    <w:p w14:paraId="2AD8411C" w14:textId="77777777" w:rsidR="00C44FC6" w:rsidRDefault="00282DCE">
      <w:pPr>
        <w:pStyle w:val="Heading2"/>
      </w:pPr>
      <w:bookmarkStart w:id="14" w:name="s6.-annotated-r-code"/>
      <w:bookmarkEnd w:id="11"/>
      <w:bookmarkEnd w:id="13"/>
      <w:r>
        <w:t>S6. Annotated R Code</w:t>
      </w:r>
    </w:p>
    <w:p w14:paraId="45469621" w14:textId="77777777" w:rsidR="00C44FC6" w:rsidRDefault="00282DCE">
      <w:pPr>
        <w:pStyle w:val="FirstParagraph"/>
      </w:pPr>
      <w:r>
        <w:t>The following self-contained code illustrates model fitting and prediction extraction for each of the four model types. Variable names correspond to those used in the analyses described in the main paper (OPCRD dataset shown; the SANAD equivalent is structurally identical with dataset-specific covariate names and a horizon of 730 days).</w:t>
      </w:r>
    </w:p>
    <w:p w14:paraId="3FFA4A5A" w14:textId="77777777" w:rsidR="00C44FC6" w:rsidRDefault="00282DCE">
      <w:pPr>
        <w:pStyle w:val="Heading3"/>
      </w:pPr>
      <w:bookmarkStart w:id="15" w:name="s6.1-data-requirements"/>
      <w:r>
        <w:t>S6.1 Data requirements</w:t>
      </w:r>
    </w:p>
    <w:p w14:paraId="00033AC9" w14:textId="77777777" w:rsidR="00C44FC6" w:rsidRDefault="00282DCE">
      <w:pPr>
        <w:pStyle w:val="FirstParagraph"/>
      </w:pPr>
      <w:r>
        <w:t xml:space="preserve">Two data structures are required: (i) a </w:t>
      </w:r>
      <w:r>
        <w:rPr>
          <w:b/>
          <w:bCs/>
        </w:rPr>
        <w:t>person-level</w:t>
      </w:r>
      <w:r>
        <w:t xml:space="preserve"> dataset (one row per individual) for the NB and ZINB models, containing the total event count over follow-up (</w:t>
      </w:r>
      <w:r>
        <w:rPr>
          <w:rStyle w:val="VerbatimChar"/>
        </w:rPr>
        <w:t>event_count</w:t>
      </w:r>
      <w:r>
        <w:t>), follow-up duration (</w:t>
      </w:r>
      <w:r>
        <w:rPr>
          <w:rStyle w:val="VerbatimChar"/>
        </w:rPr>
        <w:t>follow_up</w:t>
      </w:r>
      <w:r>
        <w:t xml:space="preserve">), and covariates; and (ii) a </w:t>
      </w:r>
      <w:r>
        <w:rPr>
          <w:b/>
          <w:bCs/>
        </w:rPr>
        <w:t>counting-process</w:t>
      </w:r>
      <w:r>
        <w:t xml:space="preserve"> dataset (one row per interval per individual) for the AG and PWP-TT models, with columns </w:t>
      </w:r>
      <w:r>
        <w:rPr>
          <w:rStyle w:val="VerbatimChar"/>
        </w:rPr>
        <w:t>Patient_ID</w:t>
      </w:r>
      <w:r>
        <w:t xml:space="preserve">, </w:t>
      </w:r>
      <w:r>
        <w:rPr>
          <w:rStyle w:val="VerbatimChar"/>
        </w:rPr>
        <w:t>tstart</w:t>
      </w:r>
      <w:r>
        <w:t xml:space="preserve">, </w:t>
      </w:r>
      <w:r>
        <w:rPr>
          <w:rStyle w:val="VerbatimChar"/>
        </w:rPr>
        <w:t>tstop</w:t>
      </w:r>
      <w:r>
        <w:t xml:space="preserve">, </w:t>
      </w:r>
      <w:r>
        <w:rPr>
          <w:rStyle w:val="VerbatimChar"/>
        </w:rPr>
        <w:t>status</w:t>
      </w:r>
      <w:r>
        <w:t xml:space="preserve">, </w:t>
      </w:r>
      <w:r>
        <w:rPr>
          <w:rStyle w:val="VerbatimChar"/>
        </w:rPr>
        <w:t>enum</w:t>
      </w:r>
      <w:r>
        <w:t xml:space="preserve"> (event occurrence index), and covariates.</w:t>
      </w:r>
    </w:p>
    <w:p w14:paraId="16F2ED90" w14:textId="77777777" w:rsidR="00C44FC6" w:rsidRDefault="00282DCE">
      <w:pPr>
        <w:pStyle w:val="Heading3"/>
      </w:pPr>
      <w:bookmarkStart w:id="16" w:name="s6.2-required-packages"/>
      <w:bookmarkEnd w:id="15"/>
      <w:r>
        <w:lastRenderedPageBreak/>
        <w:t>S6.2 Required packages</w:t>
      </w:r>
    </w:p>
    <w:p w14:paraId="00907E2A" w14:textId="77777777" w:rsidR="00C44FC6" w:rsidRDefault="00282DCE">
      <w:pPr>
        <w:pStyle w:val="SourceCode"/>
      </w:pPr>
      <w:r>
        <w:rPr>
          <w:rStyle w:val="FunctionTok"/>
        </w:rPr>
        <w:t>library</w:t>
      </w:r>
      <w:r>
        <w:rPr>
          <w:rStyle w:val="NormalTok"/>
        </w:rPr>
        <w:t xml:space="preserve">(MASS)        </w:t>
      </w:r>
      <w:r>
        <w:rPr>
          <w:rStyle w:val="CommentTok"/>
        </w:rPr>
        <w:t># glm.nb()</w:t>
      </w:r>
      <w:r>
        <w:br/>
      </w:r>
      <w:r>
        <w:rPr>
          <w:rStyle w:val="FunctionTok"/>
        </w:rPr>
        <w:t>library</w:t>
      </w:r>
      <w:r>
        <w:rPr>
          <w:rStyle w:val="NormalTok"/>
        </w:rPr>
        <w:t xml:space="preserve">(pscl)        </w:t>
      </w:r>
      <w:r>
        <w:rPr>
          <w:rStyle w:val="CommentTok"/>
        </w:rPr>
        <w:t># zeroinfl()</w:t>
      </w:r>
      <w:r>
        <w:br/>
      </w:r>
      <w:r>
        <w:rPr>
          <w:rStyle w:val="FunctionTok"/>
        </w:rPr>
        <w:t>library</w:t>
      </w:r>
      <w:r>
        <w:rPr>
          <w:rStyle w:val="NormalTok"/>
        </w:rPr>
        <w:t xml:space="preserve">(survival)    </w:t>
      </w:r>
      <w:r>
        <w:rPr>
          <w:rStyle w:val="CommentTok"/>
        </w:rPr>
        <w:t># coxph()</w:t>
      </w:r>
      <w:r>
        <w:br/>
      </w:r>
      <w:r>
        <w:rPr>
          <w:rStyle w:val="FunctionTok"/>
        </w:rPr>
        <w:t>library</w:t>
      </w:r>
      <w:r>
        <w:rPr>
          <w:rStyle w:val="NormalTok"/>
        </w:rPr>
        <w:t xml:space="preserve">(data.table)  </w:t>
      </w:r>
      <w:r>
        <w:rPr>
          <w:rStyle w:val="CommentTok"/>
        </w:rPr>
        <w:t># fast per-patient cumsum</w:t>
      </w:r>
    </w:p>
    <w:p w14:paraId="4244D22F" w14:textId="77777777" w:rsidR="00C44FC6" w:rsidRDefault="00282DCE">
      <w:pPr>
        <w:pStyle w:val="Heading3"/>
      </w:pPr>
      <w:bookmarkStart w:id="17" w:name="s6.3-negative-binomial"/>
      <w:bookmarkEnd w:id="16"/>
      <w:r>
        <w:t>S6.3 Negative Binomial</w:t>
      </w:r>
    </w:p>
    <w:p w14:paraId="65402AC1" w14:textId="77777777" w:rsidR="00C44FC6" w:rsidRDefault="00282DCE">
      <w:pPr>
        <w:pStyle w:val="SourceCode"/>
      </w:pPr>
      <w:r>
        <w:rPr>
          <w:rStyle w:val="CommentTok"/>
        </w:rPr>
        <w:t># Fit</w:t>
      </w:r>
      <w:r>
        <w:br/>
      </w:r>
      <w:r>
        <w:rPr>
          <w:rStyle w:val="NormalTok"/>
        </w:rPr>
        <w:t xml:space="preserve">nb_fit </w:t>
      </w:r>
      <w:r>
        <w:rPr>
          <w:rStyle w:val="OtherTok"/>
        </w:rPr>
        <w:t>&lt;-</w:t>
      </w:r>
      <w:r>
        <w:rPr>
          <w:rStyle w:val="NormalTok"/>
        </w:rPr>
        <w:t xml:space="preserve"> </w:t>
      </w:r>
      <w:r>
        <w:rPr>
          <w:rStyle w:val="FunctionTok"/>
        </w:rPr>
        <w:t>glm.nb</w:t>
      </w:r>
      <w:r>
        <w:rPr>
          <w:rStyle w:val="NormalTok"/>
        </w:rPr>
        <w:t>(</w:t>
      </w:r>
      <w:r>
        <w:br/>
      </w:r>
      <w:r>
        <w:rPr>
          <w:rStyle w:val="NormalTok"/>
        </w:rPr>
        <w:t xml:space="preserve">  event_count </w:t>
      </w:r>
      <w:r>
        <w:rPr>
          <w:rStyle w:val="SpecialCharTok"/>
        </w:rPr>
        <w:t>~</w:t>
      </w:r>
      <w:r>
        <w:rPr>
          <w:rStyle w:val="NormalTok"/>
        </w:rPr>
        <w:t xml:space="preserve"> x1 </w:t>
      </w:r>
      <w:r>
        <w:rPr>
          <w:rStyle w:val="SpecialCharTok"/>
        </w:rPr>
        <w:t>+</w:t>
      </w:r>
      <w:r>
        <w:rPr>
          <w:rStyle w:val="NormalTok"/>
        </w:rPr>
        <w:t xml:space="preserve"> x2 </w:t>
      </w:r>
      <w:r>
        <w:rPr>
          <w:rStyle w:val="SpecialCharTok"/>
        </w:rPr>
        <w:t>+</w:t>
      </w:r>
      <w:r>
        <w:rPr>
          <w:rStyle w:val="NormalTok"/>
        </w:rPr>
        <w:t xml:space="preserve"> </w:t>
      </w:r>
      <w:r>
        <w:rPr>
          <w:rStyle w:val="FunctionTok"/>
        </w:rPr>
        <w:t>offset</w:t>
      </w:r>
      <w:r>
        <w:rPr>
          <w:rStyle w:val="NormalTok"/>
        </w:rPr>
        <w:t>(</w:t>
      </w:r>
      <w:r>
        <w:rPr>
          <w:rStyle w:val="FunctionTok"/>
        </w:rPr>
        <w:t>log</w:t>
      </w:r>
      <w:r>
        <w:rPr>
          <w:rStyle w:val="NormalTok"/>
        </w:rPr>
        <w:t>(follow_up)),</w:t>
      </w:r>
      <w:r>
        <w:br/>
      </w:r>
      <w:r>
        <w:rPr>
          <w:rStyle w:val="NormalTok"/>
        </w:rPr>
        <w:t xml:space="preserve">  </w:t>
      </w:r>
      <w:r>
        <w:rPr>
          <w:rStyle w:val="AttributeTok"/>
        </w:rPr>
        <w:t>data =</w:t>
      </w:r>
      <w:r>
        <w:rPr>
          <w:rStyle w:val="NormalTok"/>
        </w:rPr>
        <w:t xml:space="preserve"> person_dat</w:t>
      </w:r>
      <w:r>
        <w:br/>
      </w:r>
      <w:r>
        <w:rPr>
          <w:rStyle w:val="NormalTok"/>
        </w:rPr>
        <w:t>)</w:t>
      </w:r>
      <w:r>
        <w:br/>
      </w:r>
      <w:r>
        <w:br/>
      </w:r>
      <w:r>
        <w:rPr>
          <w:rStyle w:val="CommentTok"/>
        </w:rPr>
        <w:t># Predicted cumulative event count (scaled by individual follow-up via offset)</w:t>
      </w:r>
      <w:r>
        <w:br/>
      </w:r>
      <w:r>
        <w:rPr>
          <w:rStyle w:val="NormalTok"/>
        </w:rPr>
        <w:t>person_dat</w:t>
      </w:r>
      <w:r>
        <w:rPr>
          <w:rStyle w:val="SpecialCharTok"/>
        </w:rPr>
        <w:t>$</w:t>
      </w:r>
      <w:r>
        <w:rPr>
          <w:rStyle w:val="NormalTok"/>
        </w:rPr>
        <w:t xml:space="preserve">pred_nb </w:t>
      </w:r>
      <w:r>
        <w:rPr>
          <w:rStyle w:val="OtherTok"/>
        </w:rPr>
        <w:t>&lt;-</w:t>
      </w:r>
      <w:r>
        <w:rPr>
          <w:rStyle w:val="NormalTok"/>
        </w:rPr>
        <w:t xml:space="preserve"> </w:t>
      </w:r>
      <w:r>
        <w:rPr>
          <w:rStyle w:val="FunctionTok"/>
        </w:rPr>
        <w:t>exp</w:t>
      </w:r>
      <w:r>
        <w:rPr>
          <w:rStyle w:val="NormalTok"/>
        </w:rPr>
        <w:t>(</w:t>
      </w:r>
      <w:r>
        <w:rPr>
          <w:rStyle w:val="FunctionTok"/>
        </w:rPr>
        <w:t>predict</w:t>
      </w:r>
      <w:r>
        <w:rPr>
          <w:rStyle w:val="NormalTok"/>
        </w:rPr>
        <w:t xml:space="preserve">(nb_fit, </w:t>
      </w:r>
      <w:r>
        <w:rPr>
          <w:rStyle w:val="AttributeTok"/>
        </w:rPr>
        <w:t>type =</w:t>
      </w:r>
      <w:r>
        <w:rPr>
          <w:rStyle w:val="NormalTok"/>
        </w:rPr>
        <w:t xml:space="preserve"> </w:t>
      </w:r>
      <w:r>
        <w:rPr>
          <w:rStyle w:val="StringTok"/>
        </w:rPr>
        <w:t>"link"</w:t>
      </w:r>
      <w:r>
        <w:rPr>
          <w:rStyle w:val="NormalTok"/>
        </w:rPr>
        <w:t>))</w:t>
      </w:r>
    </w:p>
    <w:p w14:paraId="69B51B5B" w14:textId="77777777" w:rsidR="00C44FC6" w:rsidRDefault="00282DCE">
      <w:pPr>
        <w:pStyle w:val="Heading3"/>
      </w:pPr>
      <w:bookmarkStart w:id="18" w:name="s6.4-zero-inflated-negative-binomial"/>
      <w:bookmarkEnd w:id="17"/>
      <w:r>
        <w:t>S6.4 Zero-Inflated Negative Binomial</w:t>
      </w:r>
    </w:p>
    <w:p w14:paraId="63E76BD1" w14:textId="77777777" w:rsidR="00C44FC6" w:rsidRDefault="00282DCE">
      <w:pPr>
        <w:pStyle w:val="FirstParagraph"/>
      </w:pPr>
      <w:r>
        <w:t xml:space="preserve">When using the </w:t>
      </w:r>
      <w:r>
        <w:rPr>
          <w:rStyle w:val="VerbatimChar"/>
        </w:rPr>
        <w:t>pscl</w:t>
      </w:r>
      <w:r>
        <w:t xml:space="preserve"> package (OPCRD analysis), the marginal expected count </w:t>
      </w:r>
      <m:oMath>
        <m:d>
          <m:dPr>
            <m:ctrlPr>
              <w:rPr>
                <w:rFonts w:ascii="Cambria Math" w:hAnsi="Cambria Math"/>
              </w:rPr>
            </m:ctrlPr>
          </m:dPr>
          <m:e>
            <m:r>
              <w:rPr>
                <w:rFonts w:ascii="Cambria Math" w:hAnsi="Cambria Math"/>
              </w:rPr>
              <m:t>1</m:t>
            </m:r>
            <m:r>
              <m:rPr>
                <m:sty m:val="p"/>
              </m:rPr>
              <w:rPr>
                <w:rFonts w:ascii="Cambria Math" w:hAnsi="Cambria Math"/>
              </w:rPr>
              <m:t>-</m:t>
            </m:r>
            <m:sSub>
              <m:sSubPr>
                <m:ctrlPr>
                  <w:rPr>
                    <w:rFonts w:ascii="Cambria Math" w:hAnsi="Cambria Math"/>
                  </w:rPr>
                </m:ctrlPr>
              </m:sSubPr>
              <m:e>
                <m:acc>
                  <m:accPr>
                    <m:ctrlPr>
                      <w:rPr>
                        <w:rFonts w:ascii="Cambria Math" w:hAnsi="Cambria Math"/>
                      </w:rPr>
                    </m:ctrlPr>
                  </m:accPr>
                  <m:e>
                    <m:r>
                      <w:rPr>
                        <w:rFonts w:ascii="Cambria Math" w:hAnsi="Cambria Math"/>
                      </w:rPr>
                      <m:t>π</m:t>
                    </m:r>
                  </m:e>
                </m:acc>
              </m:e>
              <m:sub>
                <m:r>
                  <w:rPr>
                    <w:rFonts w:ascii="Cambria Math" w:hAnsi="Cambria Math"/>
                  </w:rPr>
                  <m:t>i</m:t>
                </m:r>
              </m:sub>
            </m:sSub>
          </m:e>
        </m:d>
        <m:r>
          <m:rPr>
            <m:sty m:val="p"/>
          </m:rPr>
          <w:rPr>
            <w:rFonts w:ascii="Cambria Math" w:hAnsi="Cambria Math"/>
          </w:rPr>
          <m:t>⋅</m:t>
        </m:r>
        <m:sSub>
          <m:sSubPr>
            <m:ctrlPr>
              <w:rPr>
                <w:rFonts w:ascii="Cambria Math" w:hAnsi="Cambria Math"/>
              </w:rPr>
            </m:ctrlPr>
          </m:sSubPr>
          <m:e>
            <m:acc>
              <m:accPr>
                <m:ctrlPr>
                  <w:rPr>
                    <w:rFonts w:ascii="Cambria Math" w:hAnsi="Cambria Math"/>
                  </w:rPr>
                </m:ctrlPr>
              </m:accPr>
              <m:e>
                <m:r>
                  <w:rPr>
                    <w:rFonts w:ascii="Cambria Math" w:hAnsi="Cambria Math"/>
                  </w:rPr>
                  <m:t>μ</m:t>
                </m:r>
              </m:e>
            </m:acc>
          </m:e>
          <m:sub>
            <m:r>
              <w:rPr>
                <w:rFonts w:ascii="Cambria Math" w:hAnsi="Cambria Math"/>
              </w:rPr>
              <m:t>i</m:t>
            </m:r>
          </m:sub>
        </m:sSub>
      </m:oMath>
      <w:r>
        <w:t xml:space="preserve"> is returned directly:</w:t>
      </w:r>
    </w:p>
    <w:p w14:paraId="40201122" w14:textId="77777777" w:rsidR="00C44FC6" w:rsidRDefault="00282DCE">
      <w:pPr>
        <w:pStyle w:val="SourceCode"/>
      </w:pPr>
      <w:r>
        <w:rPr>
          <w:rStyle w:val="CommentTok"/>
        </w:rPr>
        <w:t># Fit (count and zero-inflation parts share the same covariate set)</w:t>
      </w:r>
      <w:r>
        <w:br/>
      </w:r>
      <w:r>
        <w:rPr>
          <w:rStyle w:val="NormalTok"/>
        </w:rPr>
        <w:t xml:space="preserve">zinb_fit </w:t>
      </w:r>
      <w:r>
        <w:rPr>
          <w:rStyle w:val="OtherTok"/>
        </w:rPr>
        <w:t>&lt;-</w:t>
      </w:r>
      <w:r>
        <w:rPr>
          <w:rStyle w:val="NormalTok"/>
        </w:rPr>
        <w:t xml:space="preserve"> </w:t>
      </w:r>
      <w:r>
        <w:rPr>
          <w:rStyle w:val="FunctionTok"/>
        </w:rPr>
        <w:t>zeroinfl</w:t>
      </w:r>
      <w:r>
        <w:rPr>
          <w:rStyle w:val="NormalTok"/>
        </w:rPr>
        <w:t>(</w:t>
      </w:r>
      <w:r>
        <w:br/>
      </w:r>
      <w:r>
        <w:rPr>
          <w:rStyle w:val="NormalTok"/>
        </w:rPr>
        <w:t xml:space="preserve">  event_count </w:t>
      </w:r>
      <w:r>
        <w:rPr>
          <w:rStyle w:val="SpecialCharTok"/>
        </w:rPr>
        <w:t>~</w:t>
      </w:r>
      <w:r>
        <w:rPr>
          <w:rStyle w:val="NormalTok"/>
        </w:rPr>
        <w:t xml:space="preserve"> x1 </w:t>
      </w:r>
      <w:r>
        <w:rPr>
          <w:rStyle w:val="SpecialCharTok"/>
        </w:rPr>
        <w:t>+</w:t>
      </w:r>
      <w:r>
        <w:rPr>
          <w:rStyle w:val="NormalTok"/>
        </w:rPr>
        <w:t xml:space="preserve"> x2 </w:t>
      </w:r>
      <w:r>
        <w:rPr>
          <w:rStyle w:val="SpecialCharTok"/>
        </w:rPr>
        <w:t>+</w:t>
      </w:r>
      <w:r>
        <w:rPr>
          <w:rStyle w:val="NormalTok"/>
        </w:rPr>
        <w:t xml:space="preserve"> </w:t>
      </w:r>
      <w:r>
        <w:rPr>
          <w:rStyle w:val="FunctionTok"/>
        </w:rPr>
        <w:t>offset</w:t>
      </w:r>
      <w:r>
        <w:rPr>
          <w:rStyle w:val="NormalTok"/>
        </w:rPr>
        <w:t>(</w:t>
      </w:r>
      <w:r>
        <w:rPr>
          <w:rStyle w:val="FunctionTok"/>
        </w:rPr>
        <w:t>log</w:t>
      </w:r>
      <w:r>
        <w:rPr>
          <w:rStyle w:val="NormalTok"/>
        </w:rPr>
        <w:t>(follow_up)),</w:t>
      </w:r>
      <w:r>
        <w:br/>
      </w:r>
      <w:r>
        <w:rPr>
          <w:rStyle w:val="NormalTok"/>
        </w:rPr>
        <w:t xml:space="preserve">  </w:t>
      </w:r>
      <w:r>
        <w:rPr>
          <w:rStyle w:val="AttributeTok"/>
        </w:rPr>
        <w:t>data =</w:t>
      </w:r>
      <w:r>
        <w:rPr>
          <w:rStyle w:val="NormalTok"/>
        </w:rPr>
        <w:t xml:space="preserve"> person_dat, </w:t>
      </w:r>
      <w:r>
        <w:rPr>
          <w:rStyle w:val="AttributeTok"/>
        </w:rPr>
        <w:t>dist =</w:t>
      </w:r>
      <w:r>
        <w:rPr>
          <w:rStyle w:val="NormalTok"/>
        </w:rPr>
        <w:t xml:space="preserve"> </w:t>
      </w:r>
      <w:r>
        <w:rPr>
          <w:rStyle w:val="StringTok"/>
        </w:rPr>
        <w:t>"negbin"</w:t>
      </w:r>
      <w:r>
        <w:br/>
      </w:r>
      <w:r>
        <w:rPr>
          <w:rStyle w:val="NormalTok"/>
        </w:rPr>
        <w:t>)</w:t>
      </w:r>
      <w:r>
        <w:br/>
      </w:r>
      <w:r>
        <w:br/>
      </w:r>
      <w:r>
        <w:rPr>
          <w:rStyle w:val="CommentTok"/>
        </w:rPr>
        <w:t># Marginal predicted count: (1 - pi_i) * mu_i, returned directly</w:t>
      </w:r>
      <w:r>
        <w:br/>
      </w:r>
      <w:r>
        <w:rPr>
          <w:rStyle w:val="NormalTok"/>
        </w:rPr>
        <w:t>person_dat</w:t>
      </w:r>
      <w:r>
        <w:rPr>
          <w:rStyle w:val="SpecialCharTok"/>
        </w:rPr>
        <w:t>$</w:t>
      </w:r>
      <w:r>
        <w:rPr>
          <w:rStyle w:val="NormalTok"/>
        </w:rPr>
        <w:t xml:space="preserve">pred_zinb </w:t>
      </w:r>
      <w:r>
        <w:rPr>
          <w:rStyle w:val="OtherTok"/>
        </w:rPr>
        <w:t>&lt;-</w:t>
      </w:r>
      <w:r>
        <w:rPr>
          <w:rStyle w:val="NormalTok"/>
        </w:rPr>
        <w:t xml:space="preserve"> </w:t>
      </w:r>
      <w:r>
        <w:rPr>
          <w:rStyle w:val="FunctionTok"/>
        </w:rPr>
        <w:t>predict</w:t>
      </w:r>
      <w:r>
        <w:rPr>
          <w:rStyle w:val="NormalTok"/>
        </w:rPr>
        <w:t xml:space="preserve">(zinb_fit, </w:t>
      </w:r>
      <w:r>
        <w:rPr>
          <w:rStyle w:val="AttributeTok"/>
        </w:rPr>
        <w:t>type =</w:t>
      </w:r>
      <w:r>
        <w:rPr>
          <w:rStyle w:val="NormalTok"/>
        </w:rPr>
        <w:t xml:space="preserve"> </w:t>
      </w:r>
      <w:r>
        <w:rPr>
          <w:rStyle w:val="StringTok"/>
        </w:rPr>
        <w:t>"response"</w:t>
      </w:r>
      <w:r>
        <w:rPr>
          <w:rStyle w:val="NormalTok"/>
        </w:rPr>
        <w:t>)</w:t>
      </w:r>
    </w:p>
    <w:p w14:paraId="293E27E2" w14:textId="77777777" w:rsidR="00C44FC6" w:rsidRDefault="00282DCE">
      <w:pPr>
        <w:pStyle w:val="FirstParagraph"/>
      </w:pPr>
      <w:r>
        <w:t>When the two parts are fitted separately (SANAD analysis), the marginal count must be assembled manually:</w:t>
      </w:r>
    </w:p>
    <w:p w14:paraId="508CDD78" w14:textId="77777777" w:rsidR="00C44FC6" w:rsidRDefault="00282DCE">
      <w:pPr>
        <w:pStyle w:val="SourceCode"/>
      </w:pPr>
      <w:r>
        <w:rPr>
          <w:rStyle w:val="CommentTok"/>
        </w:rPr>
        <w:t># Step 1: logistic model for P(event &gt; 0)</w:t>
      </w:r>
      <w:r>
        <w:br/>
      </w:r>
      <w:r>
        <w:rPr>
          <w:rStyle w:val="NormalTok"/>
        </w:rPr>
        <w:t xml:space="preserve">logist_fit </w:t>
      </w:r>
      <w:r>
        <w:rPr>
          <w:rStyle w:val="OtherTok"/>
        </w:rPr>
        <w:t>&lt;-</w:t>
      </w:r>
      <w:r>
        <w:rPr>
          <w:rStyle w:val="NormalTok"/>
        </w:rPr>
        <w:t xml:space="preserve"> </w:t>
      </w:r>
      <w:r>
        <w:rPr>
          <w:rStyle w:val="FunctionTok"/>
        </w:rPr>
        <w:t>glm</w:t>
      </w:r>
      <w:r>
        <w:rPr>
          <w:rStyle w:val="NormalTok"/>
        </w:rPr>
        <w:t>(</w:t>
      </w:r>
      <w:r>
        <w:rPr>
          <w:rStyle w:val="FunctionTok"/>
        </w:rPr>
        <w:t>I</w:t>
      </w:r>
      <w:r>
        <w:rPr>
          <w:rStyle w:val="NormalTok"/>
        </w:rPr>
        <w:t xml:space="preserve">(event_count </w:t>
      </w:r>
      <w:r>
        <w:rPr>
          <w:rStyle w:val="SpecialCharTok"/>
        </w:rPr>
        <w:t>&gt;</w:t>
      </w:r>
      <w:r>
        <w:rPr>
          <w:rStyle w:val="NormalTok"/>
        </w:rPr>
        <w:t xml:space="preserve"> </w:t>
      </w:r>
      <w:r>
        <w:rPr>
          <w:rStyle w:val="DecValTok"/>
        </w:rPr>
        <w:t>0</w:t>
      </w:r>
      <w:r>
        <w:rPr>
          <w:rStyle w:val="NormalTok"/>
        </w:rPr>
        <w:t xml:space="preserve">) </w:t>
      </w:r>
      <w:r>
        <w:rPr>
          <w:rStyle w:val="SpecialCharTok"/>
        </w:rPr>
        <w:t>~</w:t>
      </w:r>
      <w:r>
        <w:rPr>
          <w:rStyle w:val="NormalTok"/>
        </w:rPr>
        <w:t xml:space="preserve"> x1 </w:t>
      </w:r>
      <w:r>
        <w:rPr>
          <w:rStyle w:val="SpecialCharTok"/>
        </w:rPr>
        <w:t>+</w:t>
      </w:r>
      <w:r>
        <w:rPr>
          <w:rStyle w:val="NormalTok"/>
        </w:rPr>
        <w:t xml:space="preserve"> x2 </w:t>
      </w:r>
      <w:r>
        <w:rPr>
          <w:rStyle w:val="SpecialCharTok"/>
        </w:rPr>
        <w:t>+</w:t>
      </w:r>
      <w:r>
        <w:rPr>
          <w:rStyle w:val="NormalTok"/>
        </w:rPr>
        <w:t xml:space="preserve"> </w:t>
      </w:r>
      <w:r>
        <w:rPr>
          <w:rStyle w:val="FunctionTok"/>
        </w:rPr>
        <w:t>offset</w:t>
      </w:r>
      <w:r>
        <w:rPr>
          <w:rStyle w:val="NormalTok"/>
        </w:rPr>
        <w:t>(</w:t>
      </w:r>
      <w:r>
        <w:rPr>
          <w:rStyle w:val="FunctionTok"/>
        </w:rPr>
        <w:t>log</w:t>
      </w:r>
      <w:r>
        <w:rPr>
          <w:rStyle w:val="NormalTok"/>
        </w:rPr>
        <w:t>(follow_up)),</w:t>
      </w:r>
      <w:r>
        <w:br/>
      </w:r>
      <w:r>
        <w:rPr>
          <w:rStyle w:val="NormalTok"/>
        </w:rPr>
        <w:t xml:space="preserve">                  </w:t>
      </w:r>
      <w:r>
        <w:rPr>
          <w:rStyle w:val="AttributeTok"/>
        </w:rPr>
        <w:t>family =</w:t>
      </w:r>
      <w:r>
        <w:rPr>
          <w:rStyle w:val="NormalTok"/>
        </w:rPr>
        <w:t xml:space="preserve"> binomial, </w:t>
      </w:r>
      <w:r>
        <w:rPr>
          <w:rStyle w:val="AttributeTok"/>
        </w:rPr>
        <w:t>data =</w:t>
      </w:r>
      <w:r>
        <w:rPr>
          <w:rStyle w:val="NormalTok"/>
        </w:rPr>
        <w:t xml:space="preserve"> person_dat)</w:t>
      </w:r>
      <w:r>
        <w:br/>
      </w:r>
      <w:r>
        <w:rPr>
          <w:rStyle w:val="NormalTok"/>
        </w:rPr>
        <w:t xml:space="preserve">prob_nonzero </w:t>
      </w:r>
      <w:r>
        <w:rPr>
          <w:rStyle w:val="OtherTok"/>
        </w:rPr>
        <w:t>&lt;-</w:t>
      </w:r>
      <w:r>
        <w:rPr>
          <w:rStyle w:val="NormalTok"/>
        </w:rPr>
        <w:t xml:space="preserve"> </w:t>
      </w:r>
      <w:r>
        <w:rPr>
          <w:rStyle w:val="FunctionTok"/>
        </w:rPr>
        <w:t>predict</w:t>
      </w:r>
      <w:r>
        <w:rPr>
          <w:rStyle w:val="NormalTok"/>
        </w:rPr>
        <w:t xml:space="preserve">(logist_fit, </w:t>
      </w:r>
      <w:r>
        <w:rPr>
          <w:rStyle w:val="AttributeTok"/>
        </w:rPr>
        <w:t>type =</w:t>
      </w:r>
      <w:r>
        <w:rPr>
          <w:rStyle w:val="NormalTok"/>
        </w:rPr>
        <w:t xml:space="preserve"> </w:t>
      </w:r>
      <w:r>
        <w:rPr>
          <w:rStyle w:val="StringTok"/>
        </w:rPr>
        <w:t>"response"</w:t>
      </w:r>
      <w:r>
        <w:rPr>
          <w:rStyle w:val="NormalTok"/>
        </w:rPr>
        <w:t xml:space="preserve">)   </w:t>
      </w:r>
      <w:r>
        <w:rPr>
          <w:rStyle w:val="CommentTok"/>
        </w:rPr>
        <w:t># 1 - pi_i</w:t>
      </w:r>
      <w:r>
        <w:br/>
      </w:r>
      <w:r>
        <w:br/>
      </w:r>
      <w:r>
        <w:rPr>
          <w:rStyle w:val="CommentTok"/>
        </w:rPr>
        <w:t># Step 2: NB model fitted only on non-zero counts</w:t>
      </w:r>
      <w:r>
        <w:br/>
      </w:r>
      <w:r>
        <w:rPr>
          <w:rStyle w:val="NormalTok"/>
        </w:rPr>
        <w:t xml:space="preserve">nb_nonzero </w:t>
      </w:r>
      <w:r>
        <w:rPr>
          <w:rStyle w:val="OtherTok"/>
        </w:rPr>
        <w:t>&lt;-</w:t>
      </w:r>
      <w:r>
        <w:rPr>
          <w:rStyle w:val="NormalTok"/>
        </w:rPr>
        <w:t xml:space="preserve"> </w:t>
      </w:r>
      <w:r>
        <w:rPr>
          <w:rStyle w:val="FunctionTok"/>
        </w:rPr>
        <w:t>glm.nb</w:t>
      </w:r>
      <w:r>
        <w:rPr>
          <w:rStyle w:val="NormalTok"/>
        </w:rPr>
        <w:t>(</w:t>
      </w:r>
      <w:r>
        <w:br/>
      </w:r>
      <w:r>
        <w:rPr>
          <w:rStyle w:val="NormalTok"/>
        </w:rPr>
        <w:t xml:space="preserve">  event_count </w:t>
      </w:r>
      <w:r>
        <w:rPr>
          <w:rStyle w:val="SpecialCharTok"/>
        </w:rPr>
        <w:t>~</w:t>
      </w:r>
      <w:r>
        <w:rPr>
          <w:rStyle w:val="NormalTok"/>
        </w:rPr>
        <w:t xml:space="preserve"> x1 </w:t>
      </w:r>
      <w:r>
        <w:rPr>
          <w:rStyle w:val="SpecialCharTok"/>
        </w:rPr>
        <w:t>+</w:t>
      </w:r>
      <w:r>
        <w:rPr>
          <w:rStyle w:val="NormalTok"/>
        </w:rPr>
        <w:t xml:space="preserve"> x2 </w:t>
      </w:r>
      <w:r>
        <w:rPr>
          <w:rStyle w:val="SpecialCharTok"/>
        </w:rPr>
        <w:t>+</w:t>
      </w:r>
      <w:r>
        <w:rPr>
          <w:rStyle w:val="NormalTok"/>
        </w:rPr>
        <w:t xml:space="preserve"> </w:t>
      </w:r>
      <w:r>
        <w:rPr>
          <w:rStyle w:val="FunctionTok"/>
        </w:rPr>
        <w:t>offset</w:t>
      </w:r>
      <w:r>
        <w:rPr>
          <w:rStyle w:val="NormalTok"/>
        </w:rPr>
        <w:t>(</w:t>
      </w:r>
      <w:r>
        <w:rPr>
          <w:rStyle w:val="FunctionTok"/>
        </w:rPr>
        <w:t>log</w:t>
      </w:r>
      <w:r>
        <w:rPr>
          <w:rStyle w:val="NormalTok"/>
        </w:rPr>
        <w:t>(follow_up)),</w:t>
      </w:r>
      <w:r>
        <w:br/>
      </w:r>
      <w:r>
        <w:rPr>
          <w:rStyle w:val="NormalTok"/>
        </w:rPr>
        <w:t xml:space="preserve">  </w:t>
      </w:r>
      <w:r>
        <w:rPr>
          <w:rStyle w:val="AttributeTok"/>
        </w:rPr>
        <w:t>data =</w:t>
      </w:r>
      <w:r>
        <w:rPr>
          <w:rStyle w:val="NormalTok"/>
        </w:rPr>
        <w:t xml:space="preserve"> </w:t>
      </w:r>
      <w:r>
        <w:rPr>
          <w:rStyle w:val="FunctionTok"/>
        </w:rPr>
        <w:t>subset</w:t>
      </w:r>
      <w:r>
        <w:rPr>
          <w:rStyle w:val="NormalTok"/>
        </w:rPr>
        <w:t xml:space="preserve">(person_dat, event_count </w:t>
      </w:r>
      <w:r>
        <w:rPr>
          <w:rStyle w:val="SpecialCharTok"/>
        </w:rPr>
        <w:t>&gt;</w:t>
      </w:r>
      <w:r>
        <w:rPr>
          <w:rStyle w:val="NormalTok"/>
        </w:rPr>
        <w:t xml:space="preserve"> </w:t>
      </w:r>
      <w:r>
        <w:rPr>
          <w:rStyle w:val="DecValTok"/>
        </w:rPr>
        <w:t>0</w:t>
      </w:r>
      <w:r>
        <w:rPr>
          <w:rStyle w:val="NormalTok"/>
        </w:rPr>
        <w:t>)</w:t>
      </w:r>
      <w:r>
        <w:br/>
      </w:r>
      <w:r>
        <w:rPr>
          <w:rStyle w:val="NormalTok"/>
        </w:rPr>
        <w:t>)</w:t>
      </w:r>
      <w:r>
        <w:br/>
      </w:r>
      <w:r>
        <w:rPr>
          <w:rStyle w:val="NormalTok"/>
        </w:rPr>
        <w:t xml:space="preserve">mu_i </w:t>
      </w:r>
      <w:r>
        <w:rPr>
          <w:rStyle w:val="OtherTok"/>
        </w:rPr>
        <w:t>&lt;-</w:t>
      </w:r>
      <w:r>
        <w:rPr>
          <w:rStyle w:val="NormalTok"/>
        </w:rPr>
        <w:t xml:space="preserve"> </w:t>
      </w:r>
      <w:r>
        <w:rPr>
          <w:rStyle w:val="FunctionTok"/>
        </w:rPr>
        <w:t>exp</w:t>
      </w:r>
      <w:r>
        <w:rPr>
          <w:rStyle w:val="NormalTok"/>
        </w:rPr>
        <w:t>(</w:t>
      </w:r>
      <w:r>
        <w:rPr>
          <w:rStyle w:val="FunctionTok"/>
        </w:rPr>
        <w:t>predict</w:t>
      </w:r>
      <w:r>
        <w:rPr>
          <w:rStyle w:val="NormalTok"/>
        </w:rPr>
        <w:t xml:space="preserve">(nb_nonzero, </w:t>
      </w:r>
      <w:r>
        <w:rPr>
          <w:rStyle w:val="AttributeTok"/>
        </w:rPr>
        <w:t>newdata =</w:t>
      </w:r>
      <w:r>
        <w:rPr>
          <w:rStyle w:val="NormalTok"/>
        </w:rPr>
        <w:t xml:space="preserve"> person_dat, </w:t>
      </w:r>
      <w:r>
        <w:rPr>
          <w:rStyle w:val="AttributeTok"/>
        </w:rPr>
        <w:t>type =</w:t>
      </w:r>
      <w:r>
        <w:rPr>
          <w:rStyle w:val="NormalTok"/>
        </w:rPr>
        <w:t xml:space="preserve"> </w:t>
      </w:r>
      <w:r>
        <w:rPr>
          <w:rStyle w:val="StringTok"/>
        </w:rPr>
        <w:t>"link"</w:t>
      </w:r>
      <w:r>
        <w:rPr>
          <w:rStyle w:val="NormalTok"/>
        </w:rPr>
        <w:t>))</w:t>
      </w:r>
      <w:r>
        <w:br/>
      </w:r>
      <w:r>
        <w:br/>
      </w:r>
      <w:r>
        <w:rPr>
          <w:rStyle w:val="CommentTok"/>
        </w:rPr>
        <w:t># Step 3: marginal expected count</w:t>
      </w:r>
      <w:r>
        <w:br/>
      </w:r>
      <w:r>
        <w:rPr>
          <w:rStyle w:val="NormalTok"/>
        </w:rPr>
        <w:t>person_dat</w:t>
      </w:r>
      <w:r>
        <w:rPr>
          <w:rStyle w:val="SpecialCharTok"/>
        </w:rPr>
        <w:t>$</w:t>
      </w:r>
      <w:r>
        <w:rPr>
          <w:rStyle w:val="NormalTok"/>
        </w:rPr>
        <w:t xml:space="preserve">pred_zinb </w:t>
      </w:r>
      <w:r>
        <w:rPr>
          <w:rStyle w:val="OtherTok"/>
        </w:rPr>
        <w:t>&lt;-</w:t>
      </w:r>
      <w:r>
        <w:rPr>
          <w:rStyle w:val="NormalTok"/>
        </w:rPr>
        <w:t xml:space="preserve"> prob_nonzero </w:t>
      </w:r>
      <w:r>
        <w:rPr>
          <w:rStyle w:val="SpecialCharTok"/>
        </w:rPr>
        <w:t>*</w:t>
      </w:r>
      <w:r>
        <w:rPr>
          <w:rStyle w:val="NormalTok"/>
        </w:rPr>
        <w:t xml:space="preserve"> mu_i</w:t>
      </w:r>
    </w:p>
    <w:p w14:paraId="471932AA" w14:textId="77777777" w:rsidR="00C44FC6" w:rsidRDefault="00282DCE">
      <w:pPr>
        <w:pStyle w:val="Heading3"/>
      </w:pPr>
      <w:bookmarkStart w:id="19" w:name="s6.5-andersengill"/>
      <w:bookmarkEnd w:id="18"/>
      <w:r>
        <w:lastRenderedPageBreak/>
        <w:t>S6.5 Andersen–Gill</w:t>
      </w:r>
    </w:p>
    <w:p w14:paraId="2CB97714" w14:textId="77777777" w:rsidR="00C44FC6" w:rsidRDefault="00282DCE">
      <w:pPr>
        <w:pStyle w:val="SourceCode"/>
      </w:pPr>
      <w:r>
        <w:rPr>
          <w:rStyle w:val="CommentTok"/>
        </w:rPr>
        <w:t># Fit (counting-process format: Surv(tstart, tstop, status))</w:t>
      </w:r>
      <w:r>
        <w:br/>
      </w:r>
      <w:r>
        <w:rPr>
          <w:rStyle w:val="NormalTok"/>
        </w:rPr>
        <w:t xml:space="preserve">ag_fit </w:t>
      </w:r>
      <w:r>
        <w:rPr>
          <w:rStyle w:val="OtherTok"/>
        </w:rPr>
        <w:t>&lt;-</w:t>
      </w:r>
      <w:r>
        <w:rPr>
          <w:rStyle w:val="NormalTok"/>
        </w:rPr>
        <w:t xml:space="preserve"> </w:t>
      </w:r>
      <w:r>
        <w:rPr>
          <w:rStyle w:val="FunctionTok"/>
        </w:rPr>
        <w:t>coxph</w:t>
      </w:r>
      <w:r>
        <w:rPr>
          <w:rStyle w:val="NormalTok"/>
        </w:rPr>
        <w:t>(</w:t>
      </w:r>
      <w:r>
        <w:br/>
      </w:r>
      <w:r>
        <w:rPr>
          <w:rStyle w:val="NormalTok"/>
        </w:rPr>
        <w:t xml:space="preserve">  </w:t>
      </w:r>
      <w:r>
        <w:rPr>
          <w:rStyle w:val="FunctionTok"/>
        </w:rPr>
        <w:t>Surv</w:t>
      </w:r>
      <w:r>
        <w:rPr>
          <w:rStyle w:val="NormalTok"/>
        </w:rPr>
        <w:t xml:space="preserve">(tstart, tstop, status) </w:t>
      </w:r>
      <w:r>
        <w:rPr>
          <w:rStyle w:val="SpecialCharTok"/>
        </w:rPr>
        <w:t>~</w:t>
      </w:r>
      <w:r>
        <w:rPr>
          <w:rStyle w:val="NormalTok"/>
        </w:rPr>
        <w:t xml:space="preserve"> x1 </w:t>
      </w:r>
      <w:r>
        <w:rPr>
          <w:rStyle w:val="SpecialCharTok"/>
        </w:rPr>
        <w:t>+</w:t>
      </w:r>
      <w:r>
        <w:rPr>
          <w:rStyle w:val="NormalTok"/>
        </w:rPr>
        <w:t xml:space="preserve"> x2 </w:t>
      </w:r>
      <w:r>
        <w:rPr>
          <w:rStyle w:val="SpecialCharTok"/>
        </w:rPr>
        <w:t>+</w:t>
      </w:r>
      <w:r>
        <w:rPr>
          <w:rStyle w:val="NormalTok"/>
        </w:rPr>
        <w:t xml:space="preserve"> </w:t>
      </w:r>
      <w:r>
        <w:rPr>
          <w:rStyle w:val="FunctionTok"/>
        </w:rPr>
        <w:t>cluster</w:t>
      </w:r>
      <w:r>
        <w:rPr>
          <w:rStyle w:val="NormalTok"/>
        </w:rPr>
        <w:t>(Patient_ID),</w:t>
      </w:r>
      <w:r>
        <w:br/>
      </w:r>
      <w:r>
        <w:rPr>
          <w:rStyle w:val="NormalTok"/>
        </w:rPr>
        <w:t xml:space="preserve">  </w:t>
      </w:r>
      <w:r>
        <w:rPr>
          <w:rStyle w:val="AttributeTok"/>
        </w:rPr>
        <w:t>data =</w:t>
      </w:r>
      <w:r>
        <w:rPr>
          <w:rStyle w:val="NormalTok"/>
        </w:rPr>
        <w:t xml:space="preserve"> long_dat</w:t>
      </w:r>
      <w:r>
        <w:br/>
      </w:r>
      <w:r>
        <w:rPr>
          <w:rStyle w:val="NormalTok"/>
        </w:rPr>
        <w:t>)</w:t>
      </w:r>
      <w:r>
        <w:br/>
      </w:r>
      <w:r>
        <w:br/>
      </w:r>
      <w:r>
        <w:rPr>
          <w:rStyle w:val="CommentTok"/>
        </w:rPr>
        <w:t># Exclude zero-length intervals before predicting</w:t>
      </w:r>
      <w:r>
        <w:br/>
      </w:r>
      <w:r>
        <w:rPr>
          <w:rStyle w:val="NormalTok"/>
        </w:rPr>
        <w:t xml:space="preserve">long_dat_nz </w:t>
      </w:r>
      <w:r>
        <w:rPr>
          <w:rStyle w:val="OtherTok"/>
        </w:rPr>
        <w:t>&lt;-</w:t>
      </w:r>
      <w:r>
        <w:rPr>
          <w:rStyle w:val="NormalTok"/>
        </w:rPr>
        <w:t xml:space="preserve"> </w:t>
      </w:r>
      <w:r>
        <w:rPr>
          <w:rStyle w:val="FunctionTok"/>
        </w:rPr>
        <w:t>subset</w:t>
      </w:r>
      <w:r>
        <w:rPr>
          <w:rStyle w:val="NormalTok"/>
        </w:rPr>
        <w:t xml:space="preserve">(long_dat, tstart </w:t>
      </w:r>
      <w:r>
        <w:rPr>
          <w:rStyle w:val="SpecialCharTok"/>
        </w:rPr>
        <w:t>!=</w:t>
      </w:r>
      <w:r>
        <w:rPr>
          <w:rStyle w:val="NormalTok"/>
        </w:rPr>
        <w:t xml:space="preserve"> tstop)</w:t>
      </w:r>
      <w:r>
        <w:br/>
      </w:r>
      <w:r>
        <w:rPr>
          <w:rStyle w:val="NormalTok"/>
        </w:rPr>
        <w:t>long_dat_nz</w:t>
      </w:r>
      <w:r>
        <w:rPr>
          <w:rStyle w:val="SpecialCharTok"/>
        </w:rPr>
        <w:t>$</w:t>
      </w:r>
      <w:r>
        <w:rPr>
          <w:rStyle w:val="NormalTok"/>
        </w:rPr>
        <w:t xml:space="preserve">row_pred </w:t>
      </w:r>
      <w:r>
        <w:rPr>
          <w:rStyle w:val="OtherTok"/>
        </w:rPr>
        <w:t>&lt;-</w:t>
      </w:r>
      <w:r>
        <w:rPr>
          <w:rStyle w:val="NormalTok"/>
        </w:rPr>
        <w:t xml:space="preserve"> </w:t>
      </w:r>
      <w:r>
        <w:rPr>
          <w:rStyle w:val="FunctionTok"/>
        </w:rPr>
        <w:t>predict</w:t>
      </w:r>
      <w:r>
        <w:rPr>
          <w:rStyle w:val="NormalTok"/>
        </w:rPr>
        <w:t xml:space="preserve">(ag_fit, </w:t>
      </w:r>
      <w:r>
        <w:rPr>
          <w:rStyle w:val="AttributeTok"/>
        </w:rPr>
        <w:t>newdata =</w:t>
      </w:r>
      <w:r>
        <w:rPr>
          <w:rStyle w:val="NormalTok"/>
        </w:rPr>
        <w:t xml:space="preserve"> long_dat_nz,</w:t>
      </w:r>
      <w:r>
        <w:br/>
      </w:r>
      <w:r>
        <w:rPr>
          <w:rStyle w:val="NormalTok"/>
        </w:rPr>
        <w:t xml:space="preserve">                                </w:t>
      </w:r>
      <w:r>
        <w:rPr>
          <w:rStyle w:val="AttributeTok"/>
        </w:rPr>
        <w:t>type =</w:t>
      </w:r>
      <w:r>
        <w:rPr>
          <w:rStyle w:val="NormalTok"/>
        </w:rPr>
        <w:t xml:space="preserve"> </w:t>
      </w:r>
      <w:r>
        <w:rPr>
          <w:rStyle w:val="StringTok"/>
        </w:rPr>
        <w:t>"expected"</w:t>
      </w:r>
      <w:r>
        <w:rPr>
          <w:rStyle w:val="NormalTok"/>
        </w:rPr>
        <w:t>)</w:t>
      </w:r>
      <w:r>
        <w:br/>
      </w:r>
      <w:r>
        <w:br/>
      </w:r>
      <w:r>
        <w:rPr>
          <w:rStyle w:val="CommentTok"/>
        </w:rPr>
        <w:t># Accumulate per patient; take value at last interval</w:t>
      </w:r>
      <w:r>
        <w:br/>
      </w:r>
      <w:r>
        <w:rPr>
          <w:rStyle w:val="NormalTok"/>
        </w:rPr>
        <w:t xml:space="preserve">ag_dt </w:t>
      </w:r>
      <w:r>
        <w:rPr>
          <w:rStyle w:val="OtherTok"/>
        </w:rPr>
        <w:t>&lt;-</w:t>
      </w:r>
      <w:r>
        <w:rPr>
          <w:rStyle w:val="NormalTok"/>
        </w:rPr>
        <w:t xml:space="preserve"> </w:t>
      </w:r>
      <w:r>
        <w:rPr>
          <w:rStyle w:val="FunctionTok"/>
        </w:rPr>
        <w:t>data.table</w:t>
      </w:r>
      <w:r>
        <w:rPr>
          <w:rStyle w:val="NormalTok"/>
        </w:rPr>
        <w:t xml:space="preserve">(long_dat_nz, </w:t>
      </w:r>
      <w:r>
        <w:rPr>
          <w:rStyle w:val="AttributeTok"/>
        </w:rPr>
        <w:t>key =</w:t>
      </w:r>
      <w:r>
        <w:rPr>
          <w:rStyle w:val="NormalTok"/>
        </w:rPr>
        <w:t xml:space="preserve"> </w:t>
      </w:r>
      <w:r>
        <w:rPr>
          <w:rStyle w:val="StringTok"/>
        </w:rPr>
        <w:t>"Patient_ID"</w:t>
      </w:r>
      <w:r>
        <w:rPr>
          <w:rStyle w:val="NormalTok"/>
        </w:rPr>
        <w:t>)</w:t>
      </w:r>
      <w:r>
        <w:br/>
      </w:r>
      <w:r>
        <w:rPr>
          <w:rStyle w:val="NormalTok"/>
        </w:rPr>
        <w:t xml:space="preserve">ag_dt[, pred_ag_cum </w:t>
      </w:r>
      <w:r>
        <w:rPr>
          <w:rStyle w:val="SpecialCharTok"/>
        </w:rPr>
        <w:t>:=</w:t>
      </w:r>
      <w:r>
        <w:rPr>
          <w:rStyle w:val="NormalTok"/>
        </w:rPr>
        <w:t xml:space="preserve"> </w:t>
      </w:r>
      <w:r>
        <w:rPr>
          <w:rStyle w:val="FunctionTok"/>
        </w:rPr>
        <w:t>cumsum</w:t>
      </w:r>
      <w:r>
        <w:rPr>
          <w:rStyle w:val="NormalTok"/>
        </w:rPr>
        <w:t xml:space="preserve">(row_pred), by </w:t>
      </w:r>
      <w:r>
        <w:rPr>
          <w:rStyle w:val="OtherTok"/>
        </w:rPr>
        <w:t>=</w:t>
      </w:r>
      <w:r>
        <w:rPr>
          <w:rStyle w:val="NormalTok"/>
        </w:rPr>
        <w:t xml:space="preserve"> Patient_ID]</w:t>
      </w:r>
      <w:r>
        <w:br/>
      </w:r>
      <w:r>
        <w:rPr>
          <w:rStyle w:val="NormalTok"/>
        </w:rPr>
        <w:t xml:space="preserve">ag_pred </w:t>
      </w:r>
      <w:r>
        <w:rPr>
          <w:rStyle w:val="OtherTok"/>
        </w:rPr>
        <w:t>&lt;-</w:t>
      </w:r>
      <w:r>
        <w:rPr>
          <w:rStyle w:val="NormalTok"/>
        </w:rPr>
        <w:t xml:space="preserve"> ag_dt[, .SD[</w:t>
      </w:r>
      <w:r>
        <w:rPr>
          <w:rStyle w:val="FunctionTok"/>
        </w:rPr>
        <w:t>which.max</w:t>
      </w:r>
      <w:r>
        <w:rPr>
          <w:rStyle w:val="NormalTok"/>
        </w:rPr>
        <w:t xml:space="preserve">(tstop), ], by </w:t>
      </w:r>
      <w:r>
        <w:rPr>
          <w:rStyle w:val="OtherTok"/>
        </w:rPr>
        <w:t>=</w:t>
      </w:r>
      <w:r>
        <w:rPr>
          <w:rStyle w:val="NormalTok"/>
        </w:rPr>
        <w:t xml:space="preserve"> Patient_ID]</w:t>
      </w:r>
      <w:r>
        <w:br/>
      </w:r>
      <w:r>
        <w:rPr>
          <w:rStyle w:val="CommentTok"/>
        </w:rPr>
        <w:t># ag_pred$pred_ag_cum is the predicted total event count per patient</w:t>
      </w:r>
    </w:p>
    <w:p w14:paraId="621A1381" w14:textId="77777777" w:rsidR="00C44FC6" w:rsidRDefault="00282DCE">
      <w:pPr>
        <w:pStyle w:val="Heading3"/>
      </w:pPr>
      <w:bookmarkStart w:id="20" w:name="s6.6-prenticewilliamspeterson-total-time"/>
      <w:bookmarkEnd w:id="19"/>
      <w:r>
        <w:t>S6.6 Prentice–Williams–Peterson Total Time</w:t>
      </w:r>
    </w:p>
    <w:p w14:paraId="1D6B2284" w14:textId="77777777" w:rsidR="00C44FC6" w:rsidRDefault="00282DCE">
      <w:pPr>
        <w:pStyle w:val="SourceCode"/>
      </w:pPr>
      <w:r>
        <w:rPr>
          <w:rStyle w:val="CommentTok"/>
        </w:rPr>
        <w:t># Fit (strata() specifies separate baseline hazards per event occurrence)</w:t>
      </w:r>
      <w:r>
        <w:br/>
      </w:r>
      <w:r>
        <w:rPr>
          <w:rStyle w:val="NormalTok"/>
        </w:rPr>
        <w:t xml:space="preserve">pwp_fit </w:t>
      </w:r>
      <w:r>
        <w:rPr>
          <w:rStyle w:val="OtherTok"/>
        </w:rPr>
        <w:t>&lt;-</w:t>
      </w:r>
      <w:r>
        <w:rPr>
          <w:rStyle w:val="NormalTok"/>
        </w:rPr>
        <w:t xml:space="preserve"> </w:t>
      </w:r>
      <w:r>
        <w:rPr>
          <w:rStyle w:val="FunctionTok"/>
        </w:rPr>
        <w:t>coxph</w:t>
      </w:r>
      <w:r>
        <w:rPr>
          <w:rStyle w:val="NormalTok"/>
        </w:rPr>
        <w:t>(</w:t>
      </w:r>
      <w:r>
        <w:br/>
      </w:r>
      <w:r>
        <w:rPr>
          <w:rStyle w:val="NormalTok"/>
        </w:rPr>
        <w:t xml:space="preserve">  </w:t>
      </w:r>
      <w:r>
        <w:rPr>
          <w:rStyle w:val="FunctionTok"/>
        </w:rPr>
        <w:t>Surv</w:t>
      </w:r>
      <w:r>
        <w:rPr>
          <w:rStyle w:val="NormalTok"/>
        </w:rPr>
        <w:t xml:space="preserve">(tstart, tstop, status) </w:t>
      </w:r>
      <w:r>
        <w:rPr>
          <w:rStyle w:val="SpecialCharTok"/>
        </w:rPr>
        <w:t>~</w:t>
      </w:r>
      <w:r>
        <w:rPr>
          <w:rStyle w:val="NormalTok"/>
        </w:rPr>
        <w:t xml:space="preserve"> x1 </w:t>
      </w:r>
      <w:r>
        <w:rPr>
          <w:rStyle w:val="SpecialCharTok"/>
        </w:rPr>
        <w:t>+</w:t>
      </w:r>
      <w:r>
        <w:rPr>
          <w:rStyle w:val="NormalTok"/>
        </w:rPr>
        <w:t xml:space="preserve"> x2 </w:t>
      </w:r>
      <w:r>
        <w:rPr>
          <w:rStyle w:val="SpecialCharTok"/>
        </w:rPr>
        <w:t>+</w:t>
      </w:r>
      <w:r>
        <w:br/>
      </w:r>
      <w:r>
        <w:rPr>
          <w:rStyle w:val="NormalTok"/>
        </w:rPr>
        <w:t xml:space="preserve">    </w:t>
      </w:r>
      <w:r>
        <w:rPr>
          <w:rStyle w:val="FunctionTok"/>
        </w:rPr>
        <w:t>cluster</w:t>
      </w:r>
      <w:r>
        <w:rPr>
          <w:rStyle w:val="NormalTok"/>
        </w:rPr>
        <w:t xml:space="preserve">(Patient_ID) </w:t>
      </w:r>
      <w:r>
        <w:rPr>
          <w:rStyle w:val="SpecialCharTok"/>
        </w:rPr>
        <w:t>+</w:t>
      </w:r>
      <w:r>
        <w:rPr>
          <w:rStyle w:val="NormalTok"/>
        </w:rPr>
        <w:t xml:space="preserve"> </w:t>
      </w:r>
      <w:r>
        <w:rPr>
          <w:rStyle w:val="FunctionTok"/>
        </w:rPr>
        <w:t>strata</w:t>
      </w:r>
      <w:r>
        <w:rPr>
          <w:rStyle w:val="NormalTok"/>
        </w:rPr>
        <w:t>(enum),</w:t>
      </w:r>
      <w:r>
        <w:br/>
      </w:r>
      <w:r>
        <w:rPr>
          <w:rStyle w:val="NormalTok"/>
        </w:rPr>
        <w:t xml:space="preserve">  </w:t>
      </w:r>
      <w:r>
        <w:rPr>
          <w:rStyle w:val="AttributeTok"/>
        </w:rPr>
        <w:t>data =</w:t>
      </w:r>
      <w:r>
        <w:rPr>
          <w:rStyle w:val="NormalTok"/>
        </w:rPr>
        <w:t xml:space="preserve"> long_dat</w:t>
      </w:r>
      <w:r>
        <w:br/>
      </w:r>
      <w:r>
        <w:rPr>
          <w:rStyle w:val="NormalTok"/>
        </w:rPr>
        <w:t>)</w:t>
      </w:r>
      <w:r>
        <w:br/>
      </w:r>
      <w:r>
        <w:br/>
      </w:r>
      <w:r>
        <w:rPr>
          <w:rStyle w:val="CommentTok"/>
        </w:rPr>
        <w:t># Row-level expected counts (stratum-specific cumulative intensity increments)</w:t>
      </w:r>
      <w:r>
        <w:br/>
      </w:r>
      <w:r>
        <w:rPr>
          <w:rStyle w:val="NormalTok"/>
        </w:rPr>
        <w:t>long_dat_nz</w:t>
      </w:r>
      <w:r>
        <w:rPr>
          <w:rStyle w:val="SpecialCharTok"/>
        </w:rPr>
        <w:t>$</w:t>
      </w:r>
      <w:r>
        <w:rPr>
          <w:rStyle w:val="NormalTok"/>
        </w:rPr>
        <w:t xml:space="preserve">row_pred_pwp </w:t>
      </w:r>
      <w:r>
        <w:rPr>
          <w:rStyle w:val="OtherTok"/>
        </w:rPr>
        <w:t>&lt;-</w:t>
      </w:r>
      <w:r>
        <w:rPr>
          <w:rStyle w:val="NormalTok"/>
        </w:rPr>
        <w:t xml:space="preserve"> </w:t>
      </w:r>
      <w:r>
        <w:rPr>
          <w:rStyle w:val="FunctionTok"/>
        </w:rPr>
        <w:t>predict</w:t>
      </w:r>
      <w:r>
        <w:rPr>
          <w:rStyle w:val="NormalTok"/>
        </w:rPr>
        <w:t xml:space="preserve">(pwp_fit, </w:t>
      </w:r>
      <w:r>
        <w:rPr>
          <w:rStyle w:val="AttributeTok"/>
        </w:rPr>
        <w:t>newdata =</w:t>
      </w:r>
      <w:r>
        <w:rPr>
          <w:rStyle w:val="NormalTok"/>
        </w:rPr>
        <w:t xml:space="preserve"> long_dat_nz,</w:t>
      </w:r>
      <w:r>
        <w:br/>
      </w:r>
      <w:r>
        <w:rPr>
          <w:rStyle w:val="NormalTok"/>
        </w:rPr>
        <w:t xml:space="preserve">                                    </w:t>
      </w:r>
      <w:r>
        <w:rPr>
          <w:rStyle w:val="AttributeTok"/>
        </w:rPr>
        <w:t>type =</w:t>
      </w:r>
      <w:r>
        <w:rPr>
          <w:rStyle w:val="NormalTok"/>
        </w:rPr>
        <w:t xml:space="preserve"> </w:t>
      </w:r>
      <w:r>
        <w:rPr>
          <w:rStyle w:val="StringTok"/>
        </w:rPr>
        <w:t>"expected"</w:t>
      </w:r>
      <w:r>
        <w:rPr>
          <w:rStyle w:val="NormalTok"/>
        </w:rPr>
        <w:t>)</w:t>
      </w:r>
      <w:r>
        <w:br/>
      </w:r>
      <w:r>
        <w:br/>
      </w:r>
      <w:r>
        <w:rPr>
          <w:rStyle w:val="CommentTok"/>
        </w:rPr>
        <w:t># Accumulate per patient; take value at last interval within horizon</w:t>
      </w:r>
      <w:r>
        <w:br/>
      </w:r>
      <w:r>
        <w:rPr>
          <w:rStyle w:val="NormalTok"/>
        </w:rPr>
        <w:t xml:space="preserve">pwp_dt </w:t>
      </w:r>
      <w:r>
        <w:rPr>
          <w:rStyle w:val="OtherTok"/>
        </w:rPr>
        <w:t>&lt;-</w:t>
      </w:r>
      <w:r>
        <w:rPr>
          <w:rStyle w:val="NormalTok"/>
        </w:rPr>
        <w:t xml:space="preserve"> </w:t>
      </w:r>
      <w:r>
        <w:rPr>
          <w:rStyle w:val="FunctionTok"/>
        </w:rPr>
        <w:t>data.table</w:t>
      </w:r>
      <w:r>
        <w:rPr>
          <w:rStyle w:val="NormalTok"/>
        </w:rPr>
        <w:t xml:space="preserve">(long_dat_nz, </w:t>
      </w:r>
      <w:r>
        <w:rPr>
          <w:rStyle w:val="AttributeTok"/>
        </w:rPr>
        <w:t>key =</w:t>
      </w:r>
      <w:r>
        <w:rPr>
          <w:rStyle w:val="NormalTok"/>
        </w:rPr>
        <w:t xml:space="preserve"> </w:t>
      </w:r>
      <w:r>
        <w:rPr>
          <w:rStyle w:val="StringTok"/>
        </w:rPr>
        <w:t>"Patient_ID"</w:t>
      </w:r>
      <w:r>
        <w:rPr>
          <w:rStyle w:val="NormalTok"/>
        </w:rPr>
        <w:t>)</w:t>
      </w:r>
      <w:r>
        <w:br/>
      </w:r>
      <w:r>
        <w:rPr>
          <w:rStyle w:val="NormalTok"/>
        </w:rPr>
        <w:t xml:space="preserve">pwp_dt[, pred_pwp_cum </w:t>
      </w:r>
      <w:r>
        <w:rPr>
          <w:rStyle w:val="SpecialCharTok"/>
        </w:rPr>
        <w:t>:=</w:t>
      </w:r>
      <w:r>
        <w:rPr>
          <w:rStyle w:val="NormalTok"/>
        </w:rPr>
        <w:t xml:space="preserve"> </w:t>
      </w:r>
      <w:r>
        <w:rPr>
          <w:rStyle w:val="FunctionTok"/>
        </w:rPr>
        <w:t>cumsum</w:t>
      </w:r>
      <w:r>
        <w:rPr>
          <w:rStyle w:val="NormalTok"/>
        </w:rPr>
        <w:t xml:space="preserve">(row_pred_pwp), by </w:t>
      </w:r>
      <w:r>
        <w:rPr>
          <w:rStyle w:val="OtherTok"/>
        </w:rPr>
        <w:t>=</w:t>
      </w:r>
      <w:r>
        <w:rPr>
          <w:rStyle w:val="NormalTok"/>
        </w:rPr>
        <w:t xml:space="preserve"> Patient_ID]</w:t>
      </w:r>
      <w:r>
        <w:br/>
      </w:r>
      <w:r>
        <w:rPr>
          <w:rStyle w:val="NormalTok"/>
        </w:rPr>
        <w:t xml:space="preserve">pwp_pred </w:t>
      </w:r>
      <w:r>
        <w:rPr>
          <w:rStyle w:val="OtherTok"/>
        </w:rPr>
        <w:t>&lt;-</w:t>
      </w:r>
      <w:r>
        <w:rPr>
          <w:rStyle w:val="NormalTok"/>
        </w:rPr>
        <w:t xml:space="preserve"> pwp_dt[, .SD[</w:t>
      </w:r>
      <w:r>
        <w:rPr>
          <w:rStyle w:val="FunctionTok"/>
        </w:rPr>
        <w:t>which.max</w:t>
      </w:r>
      <w:r>
        <w:rPr>
          <w:rStyle w:val="NormalTok"/>
        </w:rPr>
        <w:t xml:space="preserve">(tstop), ], by </w:t>
      </w:r>
      <w:r>
        <w:rPr>
          <w:rStyle w:val="OtherTok"/>
        </w:rPr>
        <w:t>=</w:t>
      </w:r>
      <w:r>
        <w:rPr>
          <w:rStyle w:val="NormalTok"/>
        </w:rPr>
        <w:t xml:space="preserve"> Patient_ID]</w:t>
      </w:r>
      <w:r>
        <w:br/>
      </w:r>
      <w:r>
        <w:rPr>
          <w:rStyle w:val="CommentTok"/>
        </w:rPr>
        <w:t># pwp_pred$pred_pwp_cum is the predicted total event count per patient</w:t>
      </w:r>
    </w:p>
    <w:p w14:paraId="3217F5F3" w14:textId="77777777" w:rsidR="00C44FC6" w:rsidRDefault="00282DCE">
      <w:pPr>
        <w:pStyle w:val="Heading3"/>
      </w:pPr>
      <w:bookmarkStart w:id="21" w:name="s6.7-passing-predictions-to-vpmr"/>
      <w:bookmarkEnd w:id="20"/>
      <w:r>
        <w:t>S6.7 Passing predictions to vpmr</w:t>
      </w:r>
    </w:p>
    <w:p w14:paraId="5C433681" w14:textId="77777777" w:rsidR="00C44FC6" w:rsidRDefault="00282DCE">
      <w:pPr>
        <w:pStyle w:val="FirstParagraph"/>
      </w:pPr>
      <w:r>
        <w:t xml:space="preserve">Once person-level predicted counts have been obtained from any of the four models above, they are passed alongside the observed total counts to the </w:t>
      </w:r>
      <w:r>
        <w:rPr>
          <w:rStyle w:val="VerbatimChar"/>
        </w:rPr>
        <w:t>vpmr</w:t>
      </w:r>
      <w:r>
        <w:t xml:space="preserve"> package for discrimination evaluation:</w:t>
      </w:r>
    </w:p>
    <w:p w14:paraId="198EDACB" w14:textId="77777777" w:rsidR="00C44FC6" w:rsidRDefault="00282DCE">
      <w:pPr>
        <w:pStyle w:val="SourceCode"/>
      </w:pPr>
      <w:r>
        <w:rPr>
          <w:rStyle w:val="CommentTok"/>
        </w:rPr>
        <w:t># Install from GitHub if required</w:t>
      </w:r>
      <w:r>
        <w:br/>
      </w:r>
      <w:r>
        <w:rPr>
          <w:rStyle w:val="CommentTok"/>
        </w:rPr>
        <w:t># remotes::install_github("tomjspain/vpmr")</w:t>
      </w:r>
      <w:r>
        <w:br/>
      </w:r>
      <w:r>
        <w:rPr>
          <w:rStyle w:val="FunctionTok"/>
        </w:rPr>
        <w:t>library</w:t>
      </w:r>
      <w:r>
        <w:rPr>
          <w:rStyle w:val="NormalTok"/>
        </w:rPr>
        <w:t>(vpmr)</w:t>
      </w:r>
      <w:r>
        <w:br/>
      </w:r>
      <w:r>
        <w:br/>
      </w:r>
      <w:r>
        <w:rPr>
          <w:rStyle w:val="CommentTok"/>
        </w:rPr>
        <w:t># Example using NB predictions</w:t>
      </w:r>
      <w:r>
        <w:br/>
      </w:r>
      <w:r>
        <w:rPr>
          <w:rStyle w:val="NormalTok"/>
        </w:rPr>
        <w:t xml:space="preserve">result </w:t>
      </w:r>
      <w:r>
        <w:rPr>
          <w:rStyle w:val="OtherTok"/>
        </w:rPr>
        <w:t>&lt;-</w:t>
      </w:r>
      <w:r>
        <w:rPr>
          <w:rStyle w:val="NormalTok"/>
        </w:rPr>
        <w:t xml:space="preserve"> </w:t>
      </w:r>
      <w:r>
        <w:rPr>
          <w:rStyle w:val="FunctionTok"/>
        </w:rPr>
        <w:t>vpmr</w:t>
      </w:r>
      <w:r>
        <w:rPr>
          <w:rStyle w:val="NormalTok"/>
        </w:rPr>
        <w:t>(</w:t>
      </w:r>
      <w:r>
        <w:br/>
      </w:r>
      <w:r>
        <w:rPr>
          <w:rStyle w:val="NormalTok"/>
        </w:rPr>
        <w:t xml:space="preserve">  </w:t>
      </w:r>
      <w:r>
        <w:rPr>
          <w:rStyle w:val="AttributeTok"/>
        </w:rPr>
        <w:t>predicted =</w:t>
      </w:r>
      <w:r>
        <w:rPr>
          <w:rStyle w:val="NormalTok"/>
        </w:rPr>
        <w:t xml:space="preserve"> person_dat</w:t>
      </w:r>
      <w:r>
        <w:rPr>
          <w:rStyle w:val="SpecialCharTok"/>
        </w:rPr>
        <w:t>$</w:t>
      </w:r>
      <w:r>
        <w:rPr>
          <w:rStyle w:val="NormalTok"/>
        </w:rPr>
        <w:t>pred_nb,</w:t>
      </w:r>
      <w:r>
        <w:br/>
      </w:r>
      <w:r>
        <w:rPr>
          <w:rStyle w:val="NormalTok"/>
        </w:rPr>
        <w:lastRenderedPageBreak/>
        <w:t xml:space="preserve">  </w:t>
      </w:r>
      <w:r>
        <w:rPr>
          <w:rStyle w:val="AttributeTok"/>
        </w:rPr>
        <w:t>observed  =</w:t>
      </w:r>
      <w:r>
        <w:rPr>
          <w:rStyle w:val="NormalTok"/>
        </w:rPr>
        <w:t xml:space="preserve"> person_dat</w:t>
      </w:r>
      <w:r>
        <w:rPr>
          <w:rStyle w:val="SpecialCharTok"/>
        </w:rPr>
        <w:t>$</w:t>
      </w:r>
      <w:r>
        <w:rPr>
          <w:rStyle w:val="NormalTok"/>
        </w:rPr>
        <w:t>event_count</w:t>
      </w:r>
      <w:r>
        <w:br/>
      </w:r>
      <w:r>
        <w:rPr>
          <w:rStyle w:val="NormalTok"/>
        </w:rPr>
        <w:t>)</w:t>
      </w:r>
      <w:r>
        <w:br/>
      </w:r>
      <w:r>
        <w:rPr>
          <w:rStyle w:val="FunctionTok"/>
        </w:rPr>
        <w:t>print</w:t>
      </w:r>
      <w:r>
        <w:rPr>
          <w:rStyle w:val="NormalTok"/>
        </w:rPr>
        <w:t xml:space="preserve">(result)   </w:t>
      </w:r>
      <w:r>
        <w:rPr>
          <w:rStyle w:val="CommentTok"/>
        </w:rPr>
        <w:t># returns c, tau_a, Goodman-Kruskal gamma, Somers' D</w:t>
      </w:r>
      <w:r>
        <w:br/>
      </w:r>
      <w:r>
        <w:rPr>
          <w:rStyle w:val="NormalTok"/>
        </w:rPr>
        <w:t xml:space="preserve">                </w:t>
      </w:r>
      <w:r>
        <w:rPr>
          <w:rStyle w:val="CommentTok"/>
        </w:rPr>
        <w:t># with jackknife confidence intervals</w:t>
      </w:r>
    </w:p>
    <w:p w14:paraId="186C4EC0" w14:textId="77777777" w:rsidR="00C44FC6" w:rsidRDefault="00282DCE">
      <w:pPr>
        <w:pStyle w:val="FirstParagraph"/>
      </w:pPr>
      <w:r>
        <w:t>Full documentation, including grouped (delete-</w:t>
      </w:r>
      <m:oMath>
        <m:r>
          <w:rPr>
            <w:rFonts w:ascii="Cambria Math" w:hAnsi="Cambria Math"/>
          </w:rPr>
          <m:t>d</m:t>
        </m:r>
      </m:oMath>
      <w:r>
        <w:t xml:space="preserve">) jackknife options, is available at </w:t>
      </w:r>
      <w:hyperlink r:id="rId7">
        <w:r>
          <w:rPr>
            <w:rStyle w:val="Hyperlink"/>
          </w:rPr>
          <w:t>https://github.com/tomjspain/vpmr</w:t>
        </w:r>
      </w:hyperlink>
      <w:r>
        <w:t xml:space="preserve"> and the accompanying GitHub Pages site at </w:t>
      </w:r>
      <w:hyperlink r:id="rId8">
        <w:r>
          <w:rPr>
            <w:rStyle w:val="Hyperlink"/>
          </w:rPr>
          <w:t>https://tomjspain.github.io/vpmr</w:t>
        </w:r>
      </w:hyperlink>
      <w:r>
        <w:t>.</w:t>
      </w:r>
    </w:p>
    <w:p w14:paraId="3913D9D6" w14:textId="77777777" w:rsidR="00B11896" w:rsidRDefault="00B11896" w:rsidP="00B11896">
      <w:pPr>
        <w:pStyle w:val="BodyText"/>
      </w:pPr>
    </w:p>
    <w:p w14:paraId="21A24CAE" w14:textId="4A3FFA4C" w:rsidR="00B11896" w:rsidRDefault="00B11896" w:rsidP="00B11896">
      <w:pPr>
        <w:pStyle w:val="Heading2"/>
      </w:pPr>
      <w:r>
        <w:t>References</w:t>
      </w:r>
    </w:p>
    <w:bookmarkEnd w:id="0"/>
    <w:bookmarkEnd w:id="14"/>
    <w:bookmarkEnd w:id="21"/>
    <w:p w14:paraId="6E6F2A47" w14:textId="44D17117" w:rsidR="00B11896" w:rsidRPr="00B11896" w:rsidRDefault="00B11896" w:rsidP="00B11896">
      <w:pPr>
        <w:pStyle w:val="BodyText"/>
        <w:numPr>
          <w:ilvl w:val="0"/>
          <w:numId w:val="2"/>
        </w:numPr>
        <w:spacing w:before="0" w:after="0"/>
        <w:rPr>
          <w:lang w:val="en-GB"/>
        </w:rPr>
      </w:pPr>
      <w:r w:rsidRPr="00B11896">
        <w:rPr>
          <w:lang w:val="en-GB"/>
        </w:rPr>
        <w:t xml:space="preserve">Andersen PK, Gill RD (1982). Cox's regression model for counting processes: a large sample study. </w:t>
      </w:r>
      <w:r w:rsidRPr="00B11896">
        <w:rPr>
          <w:i/>
          <w:iCs/>
          <w:lang w:val="en-GB"/>
        </w:rPr>
        <w:t>Annals of Statistics</w:t>
      </w:r>
      <w:r w:rsidRPr="00B11896">
        <w:rPr>
          <w:lang w:val="en-GB"/>
        </w:rPr>
        <w:t xml:space="preserve">, 10(4): 1100–1120. </w:t>
      </w:r>
    </w:p>
    <w:p w14:paraId="39B5E9BE" w14:textId="340DADB1" w:rsidR="00B11896" w:rsidRPr="00B11896" w:rsidRDefault="00B11896" w:rsidP="00B11896">
      <w:pPr>
        <w:pStyle w:val="BodyText"/>
        <w:numPr>
          <w:ilvl w:val="0"/>
          <w:numId w:val="2"/>
        </w:numPr>
        <w:spacing w:before="0" w:after="0"/>
        <w:rPr>
          <w:lang w:val="en-GB"/>
        </w:rPr>
      </w:pPr>
      <w:r w:rsidRPr="00B11896">
        <w:rPr>
          <w:lang w:val="en-GB"/>
        </w:rPr>
        <w:t xml:space="preserve">Prentice RL, Williams BJ, Peterson AV (1981). On the regression analysis of multivariate failure time data. </w:t>
      </w:r>
      <w:r w:rsidRPr="00B11896">
        <w:rPr>
          <w:i/>
          <w:iCs/>
          <w:lang w:val="en-GB"/>
        </w:rPr>
        <w:t>Biometrika</w:t>
      </w:r>
      <w:r w:rsidRPr="00B11896">
        <w:rPr>
          <w:lang w:val="en-GB"/>
        </w:rPr>
        <w:t xml:space="preserve">, 68(2): 373–379. </w:t>
      </w:r>
    </w:p>
    <w:p w14:paraId="12D4F2EC" w14:textId="00AF91E9" w:rsidR="00B11896" w:rsidRPr="00B11896" w:rsidRDefault="00B11896" w:rsidP="00B11896">
      <w:pPr>
        <w:pStyle w:val="BodyText"/>
        <w:numPr>
          <w:ilvl w:val="0"/>
          <w:numId w:val="2"/>
        </w:numPr>
        <w:spacing w:before="0" w:after="0"/>
        <w:rPr>
          <w:lang w:val="en-GB"/>
        </w:rPr>
      </w:pPr>
      <w:r w:rsidRPr="00B11896">
        <w:rPr>
          <w:lang w:val="en-GB"/>
        </w:rPr>
        <w:t xml:space="preserve">Therneau TM, Grambsch PM (2000). </w:t>
      </w:r>
      <w:r w:rsidRPr="00B11896">
        <w:rPr>
          <w:i/>
          <w:iCs/>
          <w:lang w:val="en-GB"/>
        </w:rPr>
        <w:t>Modeling Survival Data: Extending the Cox Model</w:t>
      </w:r>
      <w:r w:rsidRPr="00B11896">
        <w:rPr>
          <w:lang w:val="en-GB"/>
        </w:rPr>
        <w:t xml:space="preserve">. Springer, New York. </w:t>
      </w:r>
    </w:p>
    <w:p w14:paraId="0060D100" w14:textId="198D3C77" w:rsidR="00B11896" w:rsidRPr="00B11896" w:rsidRDefault="00B11896" w:rsidP="00B11896">
      <w:pPr>
        <w:pStyle w:val="BodyText"/>
        <w:numPr>
          <w:ilvl w:val="0"/>
          <w:numId w:val="2"/>
        </w:numPr>
        <w:spacing w:before="0" w:after="0"/>
      </w:pPr>
      <w:r w:rsidRPr="00B11896">
        <w:rPr>
          <w:lang w:val="en-GB"/>
        </w:rPr>
        <w:t xml:space="preserve">Zeileis A, Kleiber C, Jackman S (2008). Regression models for count data in R. </w:t>
      </w:r>
      <w:r w:rsidRPr="00B11896">
        <w:rPr>
          <w:i/>
          <w:iCs/>
          <w:lang w:val="en-GB"/>
        </w:rPr>
        <w:t>Journal of Statistical Software</w:t>
      </w:r>
      <w:r w:rsidRPr="00B11896">
        <w:rPr>
          <w:lang w:val="en-GB"/>
        </w:rPr>
        <w:t>, 27(8): 1–25.</w:t>
      </w:r>
    </w:p>
    <w:sectPr w:rsidR="00B11896" w:rsidRPr="00B1189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F73718" w14:textId="77777777" w:rsidR="00AB04F8" w:rsidRDefault="00AB04F8">
      <w:pPr>
        <w:spacing w:after="0"/>
      </w:pPr>
      <w:r>
        <w:separator/>
      </w:r>
    </w:p>
  </w:endnote>
  <w:endnote w:type="continuationSeparator" w:id="0">
    <w:p w14:paraId="73AED049" w14:textId="77777777" w:rsidR="00AB04F8" w:rsidRDefault="00AB04F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13588" w14:textId="77777777" w:rsidR="00AB04F8" w:rsidRDefault="00AB04F8">
      <w:r>
        <w:separator/>
      </w:r>
    </w:p>
  </w:footnote>
  <w:footnote w:type="continuationSeparator" w:id="0">
    <w:p w14:paraId="651A9B89" w14:textId="77777777" w:rsidR="00AB04F8" w:rsidRDefault="00AB04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31142928"/>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29F96B92"/>
    <w:multiLevelType w:val="hybridMultilevel"/>
    <w:tmpl w:val="38EE6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42657568">
    <w:abstractNumId w:val="0"/>
  </w:num>
  <w:num w:numId="2" w16cid:durableId="5557495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4FC6"/>
    <w:rsid w:val="001D5EFE"/>
    <w:rsid w:val="00282DCE"/>
    <w:rsid w:val="00473F96"/>
    <w:rsid w:val="0048702A"/>
    <w:rsid w:val="00912BA0"/>
    <w:rsid w:val="00AB04F8"/>
    <w:rsid w:val="00B11896"/>
    <w:rsid w:val="00BD0D2D"/>
    <w:rsid w:val="00C44FC6"/>
    <w:rsid w:val="00EF302F"/>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4D157"/>
  <w15:docId w15:val="{99C75917-79CA-4709-9765-16F4BED01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Cs/>
      <w:i/>
      <w:color w:val="4F81BD" w:themeColor="accent1"/>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color w:val="345A8A"/>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character" w:styleId="Emphasis">
    <w:name w:val="Emphasis"/>
    <w:basedOn w:val="DefaultParagraphFont"/>
    <w:uiPriority w:val="20"/>
    <w:qFormat/>
    <w:rsid w:val="00B1189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mjspain.github.io/vpmr" TargetMode="External"/><Relationship Id="rId3" Type="http://schemas.openxmlformats.org/officeDocument/2006/relationships/settings" Target="settings.xml"/><Relationship Id="rId7" Type="http://schemas.openxmlformats.org/officeDocument/2006/relationships/hyperlink" Target="https://github.com/tomjspain/vpm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1662</Words>
  <Characters>9475</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Spain, Thomas</dc:creator>
  <cp:keywords/>
  <cp:lastModifiedBy>Bonnett, Laura</cp:lastModifiedBy>
  <cp:revision>4</cp:revision>
  <dcterms:created xsi:type="dcterms:W3CDTF">2026-05-27T09:27:00Z</dcterms:created>
  <dcterms:modified xsi:type="dcterms:W3CDTF">2026-05-28T20:31:00Z</dcterms:modified>
</cp:coreProperties>
</file>