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CBC" w:rsidRPr="000A00FF" w:rsidRDefault="003A1CBC" w:rsidP="003A1CBC">
      <w:pPr>
        <w:pStyle w:val="MediumShading1-Accent11"/>
        <w:spacing w:line="276" w:lineRule="auto"/>
        <w:rPr>
          <w:b/>
        </w:rPr>
      </w:pPr>
      <w:bookmarkStart w:id="0" w:name="_GoBack"/>
      <w:bookmarkEnd w:id="0"/>
      <w:r w:rsidRPr="000A00FF">
        <w:rPr>
          <w:b/>
        </w:rPr>
        <w:t>APPENDICES</w:t>
      </w:r>
    </w:p>
    <w:p w:rsidR="003A1CBC" w:rsidRDefault="003A1CBC" w:rsidP="000A00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00FF">
        <w:rPr>
          <w:rFonts w:ascii="Times New Roman" w:hAnsi="Times New Roman" w:cs="Times New Roman"/>
          <w:b/>
          <w:sz w:val="24"/>
          <w:szCs w:val="24"/>
        </w:rPr>
        <w:t>Supplement</w:t>
      </w:r>
      <w:r w:rsidRPr="002D483A">
        <w:rPr>
          <w:rFonts w:ascii="Times New Roman" w:hAnsi="Times New Roman" w:cs="Times New Roman"/>
          <w:b/>
          <w:sz w:val="24"/>
          <w:szCs w:val="24"/>
        </w:rPr>
        <w:t xml:space="preserve">ary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0A00FF">
        <w:rPr>
          <w:rFonts w:ascii="Times New Roman" w:hAnsi="Times New Roman" w:cs="Times New Roman"/>
          <w:b/>
          <w:sz w:val="24"/>
          <w:szCs w:val="24"/>
        </w:rPr>
        <w:t>ables</w:t>
      </w:r>
    </w:p>
    <w:p w:rsidR="005B2B97" w:rsidRDefault="005B2B97" w:rsidP="000A00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2B97" w:rsidRPr="0017046C" w:rsidRDefault="005B2B97" w:rsidP="005B2B9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7046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72872">
        <w:rPr>
          <w:rFonts w:ascii="Times New Roman" w:hAnsi="Times New Roman" w:cs="Times New Roman"/>
          <w:b/>
          <w:sz w:val="24"/>
          <w:szCs w:val="24"/>
        </w:rPr>
        <w:t>S</w:t>
      </w:r>
      <w:r w:rsidRPr="0017046C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18409E">
        <w:rPr>
          <w:rFonts w:ascii="Times New Roman" w:hAnsi="Times New Roman" w:cs="Times New Roman"/>
          <w:sz w:val="24"/>
          <w:szCs w:val="24"/>
        </w:rPr>
        <w:t>Primary Measures and Scoring</w:t>
      </w:r>
    </w:p>
    <w:p w:rsidR="005B2B97" w:rsidRDefault="005B2B97" w:rsidP="005B2B97">
      <w:pPr>
        <w:spacing w:after="120"/>
        <w:rPr>
          <w:rFonts w:ascii="Times New Roman" w:hAnsi="Times New Roman" w:cs="Times New Roman"/>
        </w:rPr>
      </w:pPr>
    </w:p>
    <w:tbl>
      <w:tblPr>
        <w:tblStyle w:val="TableGrid3"/>
        <w:tblW w:w="10260" w:type="dxa"/>
        <w:tblInd w:w="-432" w:type="dxa"/>
        <w:tblLayout w:type="fixed"/>
        <w:tblLook w:val="04A0"/>
      </w:tblPr>
      <w:tblGrid>
        <w:gridCol w:w="900"/>
        <w:gridCol w:w="1530"/>
        <w:gridCol w:w="4590"/>
        <w:gridCol w:w="3240"/>
      </w:tblGrid>
      <w:tr w:rsidR="005B2B97" w:rsidRPr="007C1BBE" w:rsidTr="009E3F4D">
        <w:tc>
          <w:tcPr>
            <w:tcW w:w="900" w:type="dxa"/>
          </w:tcPr>
          <w:p w:rsidR="005B2B97" w:rsidRPr="007C1BBE" w:rsidRDefault="005B2B97" w:rsidP="009E3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5B2B97" w:rsidRPr="007C1BBE" w:rsidRDefault="005B2B97" w:rsidP="009E3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b/>
                <w:sz w:val="24"/>
                <w:szCs w:val="24"/>
              </w:rPr>
              <w:t>Measure</w:t>
            </w:r>
          </w:p>
        </w:tc>
        <w:tc>
          <w:tcPr>
            <w:tcW w:w="4590" w:type="dxa"/>
          </w:tcPr>
          <w:p w:rsidR="005B2B97" w:rsidRPr="007C1BBE" w:rsidRDefault="005B2B97" w:rsidP="009E3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b/>
                <w:sz w:val="24"/>
                <w:szCs w:val="24"/>
              </w:rPr>
              <w:t>Tool</w:t>
            </w:r>
          </w:p>
        </w:tc>
        <w:tc>
          <w:tcPr>
            <w:tcW w:w="3240" w:type="dxa"/>
          </w:tcPr>
          <w:p w:rsidR="005B2B97" w:rsidRPr="007C1BBE" w:rsidRDefault="005B2B97" w:rsidP="009E3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b/>
                <w:sz w:val="24"/>
                <w:szCs w:val="24"/>
              </w:rPr>
              <w:t>Scoring</w:t>
            </w:r>
          </w:p>
        </w:tc>
      </w:tr>
      <w:tr w:rsidR="005B2B97" w:rsidRPr="007C1BBE" w:rsidTr="009E3F4D">
        <w:tc>
          <w:tcPr>
            <w:tcW w:w="900" w:type="dxa"/>
            <w:vMerge w:val="restart"/>
            <w:textDirection w:val="btLr"/>
            <w:vAlign w:val="center"/>
          </w:tcPr>
          <w:p w:rsidR="005B2B97" w:rsidRPr="007C1BBE" w:rsidRDefault="005B2B97" w:rsidP="009E3F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b/>
                <w:sz w:val="24"/>
                <w:szCs w:val="24"/>
              </w:rPr>
              <w:t>Disease  Burden</w:t>
            </w:r>
          </w:p>
        </w:tc>
        <w:tc>
          <w:tcPr>
            <w:tcW w:w="1530" w:type="dxa"/>
          </w:tcPr>
          <w:p w:rsidR="005B2B97" w:rsidRPr="007C1BBE" w:rsidRDefault="005B2B97" w:rsidP="009E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>Pain Interference</w:t>
            </w:r>
          </w:p>
        </w:tc>
        <w:tc>
          <w:tcPr>
            <w:tcW w:w="4590" w:type="dxa"/>
          </w:tcPr>
          <w:p w:rsidR="005B2B97" w:rsidRPr="007C1BBE" w:rsidRDefault="005B2B97" w:rsidP="009E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>8-item PROMIS® Parent Proxy Pain Interference Short Form, version 1.0: parent proxies were asked about the frequency with which pain affected their child’s cognitive, emotional, physical, and recreational aspects of daily life in the past week.</w:t>
            </w:r>
          </w:p>
        </w:tc>
        <w:tc>
          <w:tcPr>
            <w:tcW w:w="3240" w:type="dxa"/>
          </w:tcPr>
          <w:p w:rsidR="005B2B97" w:rsidRPr="007C1BBE" w:rsidRDefault="005B2B97" w:rsidP="009E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>A raw score total was computed and converted to a standardized T-score using a look-up table, with allowable values ranging from 38.0-78.0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&lt;EndNote&gt;&lt;Cite&gt;&lt;Year&gt;2015&lt;/Year&gt;&lt;RecNum&gt;180&lt;/RecNum&gt;&lt;DisplayText&gt;[25]&lt;/DisplayText&gt;&lt;record&gt;&lt;rec-number&gt;180&lt;/rec-number&gt;&lt;foreign-keys&gt;&lt;key app="EN" db-id="t0vfv2txvx9drle5pd0x222iepr5zdtftr2p" timestamp="1481643927"&gt;180&lt;/key&gt;&lt;/foreign-keys&gt;&lt;ref-type name="Report"&gt;27&lt;/ref-type&gt;&lt;contributors&gt;&lt;/contributors&gt;&lt;titles&gt;&lt;title&gt;A brief guide to the PROMIS Pain interference instruments&lt;/title&gt;&lt;/titles&gt;&lt;dates&gt;&lt;year&gt;2015&lt;/year&gt;&lt;/dates&gt;&lt;publisher&gt;Patient-Reported Outcomes Measurement Inforamtion System&lt;/publisher&gt;&lt;urls&gt;&lt;related-urls&gt;&lt;url&gt;https://www.assessmentcenter.net/documents/PROMIS%20Pain%20Interference%20Scoring%20Manual.pdf&lt;/url&gt;&lt;/related-urls&gt;&lt;/urls&gt;&lt;/record&gt;&lt;/Cite&gt;&lt;/EndNote&gt;</w:instrTex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[25]</w: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2B97" w:rsidRPr="007C1BBE" w:rsidTr="009E3F4D">
        <w:tc>
          <w:tcPr>
            <w:tcW w:w="900" w:type="dxa"/>
            <w:vMerge/>
          </w:tcPr>
          <w:p w:rsidR="005B2B97" w:rsidRPr="007C1BBE" w:rsidRDefault="005B2B97" w:rsidP="009E3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5B2B97" w:rsidRPr="007C1BBE" w:rsidRDefault="005B2B97" w:rsidP="009E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>Morning Stiffness</w:t>
            </w:r>
          </w:p>
        </w:tc>
        <w:tc>
          <w:tcPr>
            <w:tcW w:w="4590" w:type="dxa"/>
          </w:tcPr>
          <w:p w:rsidR="005B2B97" w:rsidRPr="007C1BBE" w:rsidRDefault="005B2B97" w:rsidP="009E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>Single question: “On a typical day over the past two weeks, how many minutes of morning stiffness did your child experience?”</w:t>
            </w:r>
          </w:p>
        </w:tc>
        <w:tc>
          <w:tcPr>
            <w:tcW w:w="3240" w:type="dxa"/>
          </w:tcPr>
          <w:p w:rsidR="005B2B97" w:rsidRPr="007C1BBE" w:rsidRDefault="005B2B97" w:rsidP="009E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>Dichotomous variable where &lt;15 minutes was considered a criterion of clinically inactive disease.</w:t>
            </w:r>
          </w:p>
        </w:tc>
      </w:tr>
      <w:tr w:rsidR="005B2B97" w:rsidRPr="007C1BBE" w:rsidTr="009E3F4D">
        <w:tc>
          <w:tcPr>
            <w:tcW w:w="900" w:type="dxa"/>
            <w:vMerge w:val="restart"/>
            <w:textDirection w:val="btLr"/>
            <w:vAlign w:val="center"/>
          </w:tcPr>
          <w:p w:rsidR="005B2B97" w:rsidRPr="007C1BBE" w:rsidRDefault="005B2B97" w:rsidP="009E3F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b/>
                <w:sz w:val="24"/>
                <w:szCs w:val="24"/>
              </w:rPr>
              <w:t>Treatment Burden</w:t>
            </w:r>
          </w:p>
        </w:tc>
        <w:tc>
          <w:tcPr>
            <w:tcW w:w="1530" w:type="dxa"/>
          </w:tcPr>
          <w:p w:rsidR="005B2B97" w:rsidRPr="007C1BBE" w:rsidRDefault="005B2B97" w:rsidP="009E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>Serious Medication Side Effect</w:t>
            </w:r>
          </w:p>
        </w:tc>
        <w:tc>
          <w:tcPr>
            <w:tcW w:w="4590" w:type="dxa"/>
          </w:tcPr>
          <w:p w:rsidR="005B2B97" w:rsidRPr="007C1BBE" w:rsidRDefault="005B2B97" w:rsidP="009E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>Single Question: “Has your child ever experienced a serious problem or side effect from a prescription medication?”</w:t>
            </w:r>
          </w:p>
        </w:tc>
        <w:tc>
          <w:tcPr>
            <w:tcW w:w="3240" w:type="dxa"/>
          </w:tcPr>
          <w:p w:rsidR="005B2B97" w:rsidRPr="007C1BBE" w:rsidRDefault="005B2B97" w:rsidP="009E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>Response options were yes/no.</w:t>
            </w:r>
          </w:p>
        </w:tc>
      </w:tr>
      <w:tr w:rsidR="005B2B97" w:rsidRPr="007C1BBE" w:rsidTr="009E3F4D">
        <w:tc>
          <w:tcPr>
            <w:tcW w:w="900" w:type="dxa"/>
            <w:vMerge/>
          </w:tcPr>
          <w:p w:rsidR="005B2B97" w:rsidRPr="007C1BBE" w:rsidRDefault="005B2B97" w:rsidP="009E3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5B2B97" w:rsidRPr="007C1BBE" w:rsidRDefault="005B2B97" w:rsidP="009E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 xml:space="preserve">Methotrexate Intolerance </w:t>
            </w:r>
          </w:p>
        </w:tc>
        <w:tc>
          <w:tcPr>
            <w:tcW w:w="4590" w:type="dxa"/>
          </w:tcPr>
          <w:p w:rsidR="005B2B97" w:rsidRPr="007C1BBE" w:rsidRDefault="005B2B97" w:rsidP="009E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>12-item Methotrexate Intolerance Severity Score questionnaire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PEVuZE5vdGU+PENpdGU+PEF1dGhvcj5CdWxhdG92aWM8L0F1dGhvcj48WWVhcj4yMDExPC9ZZWFy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PEVuZE5vdGU+PENpdGU+PEF1dGhvcj5CdWxhdG92aWM8L0F1dGhvcj48WWVhcj4yMDExPC9ZZWFy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[27]</w: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 xml:space="preserve">: parent proxies of methotrexate users were asked about past month: abdominal pain, nausea, vomiting that occurred before or after their child’s methotrexate intake; abdominal pain and nausea that occurred at the thought of taking methotrexate, and behavioral complaints (crying, irritability, etc.) associated with intake. Response options were: no complaints (0), mild (1), moderate (2), severe complaints (3). </w:t>
            </w:r>
          </w:p>
        </w:tc>
        <w:tc>
          <w:tcPr>
            <w:tcW w:w="3240" w:type="dxa"/>
          </w:tcPr>
          <w:p w:rsidR="005B2B97" w:rsidRPr="007C1BBE" w:rsidRDefault="005B2B97" w:rsidP="009E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 xml:space="preserve">Sum scores ranged from 0 to 36, and methotrexate intolerance was defined as a sum score of </w:t>
            </w:r>
            <w:r w:rsidRPr="007C1B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>6 with at least one point on questions assessing anticipatory, associative, and/or behavioral symptoms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PEVuZE5vdGU+PENpdGU+PEF1dGhvcj5CdWxhdG92aWM8L0F1dGhvcj48WWVhcj4yMDExPC9ZZWFy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PEVuZE5vdGU+PENpdGU+PEF1dGhvcj5CdWxhdG92aWM8L0F1dGhvcj48WWVhcj4yMDExPC9ZZWFy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[27]</w: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2B97" w:rsidRPr="007C1BBE" w:rsidTr="009E3F4D">
        <w:trPr>
          <w:cantSplit/>
          <w:trHeight w:val="1134"/>
        </w:trPr>
        <w:tc>
          <w:tcPr>
            <w:tcW w:w="900" w:type="dxa"/>
            <w:textDirection w:val="btLr"/>
            <w:vAlign w:val="center"/>
          </w:tcPr>
          <w:p w:rsidR="005B2B97" w:rsidRPr="007C1BBE" w:rsidRDefault="005B2B97" w:rsidP="009E3F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b/>
                <w:sz w:val="24"/>
                <w:szCs w:val="24"/>
              </w:rPr>
              <w:t>Health Related Quality of Life (HRQOL)</w:t>
            </w:r>
          </w:p>
        </w:tc>
        <w:tc>
          <w:tcPr>
            <w:tcW w:w="1530" w:type="dxa"/>
          </w:tcPr>
          <w:p w:rsidR="005B2B97" w:rsidRPr="007C1BBE" w:rsidRDefault="005B2B97" w:rsidP="009E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>Pediatric Quality of Life</w:t>
            </w:r>
          </w:p>
        </w:tc>
        <w:tc>
          <w:tcPr>
            <w:tcW w:w="4590" w:type="dxa"/>
          </w:tcPr>
          <w:p w:rsidR="005B2B97" w:rsidRPr="007C1BBE" w:rsidRDefault="005B2B97" w:rsidP="009E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>The Pediatric Quality of Life (PedsQL)™ 4.0 Generic Core Scales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&lt;EndNote&gt;&lt;Cite&gt;&lt;Author&gt;Varni&lt;/Author&gt;&lt;Year&gt;2016&lt;/Year&gt;&lt;RecNum&gt;194&lt;/RecNum&gt;&lt;DisplayText&gt;[22]&lt;/DisplayText&gt;&lt;record&gt;&lt;rec-number&gt;194&lt;/rec-number&gt;&lt;foreign-keys&gt;&lt;key app="EN" db-id="t0vfv2txvx9drle5pd0x222iepr5zdtftr2p" timestamp="1482339045"&gt;194&lt;/key&gt;&lt;/foreign-keys&gt;&lt;ref-type name="Web Page"&gt;12&lt;/ref-type&gt;&lt;contributors&gt;&lt;authors&gt;&lt;author&gt;Varni, J. W.&lt;/author&gt;&lt;/authors&gt;&lt;/contributors&gt;&lt;titles&gt;&lt;title&gt;The PedsQL Measurement Model for the Pediatric Quality of Life Inventory&lt;/title&gt;&lt;/titles&gt;&lt;dates&gt;&lt;year&gt;2016&lt;/year&gt;&lt;/dates&gt;&lt;urls&gt;&lt;related-urls&gt;&lt;url&gt;http://www.pedsql.org/about_pedsql.html&lt;/url&gt;&lt;/related-urls&gt;&lt;/urls&gt;&lt;/record&gt;&lt;/Cite&gt;&lt;/EndNote&gt;</w:instrTex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[22]</w: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 xml:space="preserve"> was administered to parent proxies. This 23-item (21 for toddlers) measure asks questions to parents about their child’s physical, emotional, social, and school functioning in the past month.</w:t>
            </w:r>
          </w:p>
        </w:tc>
        <w:tc>
          <w:tcPr>
            <w:tcW w:w="3240" w:type="dxa"/>
          </w:tcPr>
          <w:p w:rsidR="005B2B97" w:rsidRPr="007C1BBE" w:rsidRDefault="005B2B97" w:rsidP="009E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>Psychosocial and physical summary scores and a total scale score were computed using standardized scoring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&lt;EndNote&gt;&lt;Cite&gt;&lt;Author&gt;Varni&lt;/Author&gt;&lt;Year&gt;2014&lt;/Year&gt;&lt;RecNum&gt;179&lt;/RecNum&gt;&lt;DisplayText&gt;[24]&lt;/DisplayText&gt;&lt;record&gt;&lt;rec-number&gt;179&lt;/rec-number&gt;&lt;foreign-keys&gt;&lt;key app="EN" db-id="t0vfv2txvx9drle5pd0x222iepr5zdtftr2p" timestamp="1481643405"&gt;179&lt;/key&gt;&lt;/foreign-keys&gt;&lt;ref-type name="Report"&gt;27&lt;/ref-type&gt;&lt;contributors&gt;&lt;authors&gt;&lt;author&gt;Varni, J. W.&lt;/author&gt;&lt;/authors&gt;&lt;tertiary-authors&gt;&lt;author&gt;Mapi Research Trust&lt;/author&gt;&lt;/tertiary-authors&gt;&lt;/contributors&gt;&lt;titles&gt;&lt;title&gt;Scaling and Scoring of the Pediatric Quality of Life Inventory PedsQL&lt;/title&gt;&lt;/titles&gt;&lt;dates&gt;&lt;year&gt;2014&lt;/year&gt;&lt;/dates&gt;&lt;pub-location&gt;Lyon, France&lt;/pub-location&gt;&lt;urls&gt;&lt;/urls&gt;&lt;/record&gt;&lt;/Cite&gt;&lt;/EndNote&gt;</w:instrTex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[24]</w: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>. Each score ranged 0-100, higher scores indicating better HRQOL, and a score of &lt;78.6 indicating suboptimal HRQOL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&lt;EndNote&gt;&lt;Cite&gt;&lt;Author&gt;Seid&lt;/Author&gt;&lt;Year&gt;2009&lt;/Year&gt;&lt;RecNum&gt;20&lt;/RecNum&gt;&lt;DisplayText&gt;[5]&lt;/DisplayText&gt;&lt;record&gt;&lt;rec-number&gt;20&lt;/rec-number&gt;&lt;foreign-keys&gt;&lt;key app="EN" db-id="t0vfv2txvx9drle5pd0x222iepr5zdtftr2p" timestamp="1478271720"&gt;20&lt;/key&gt;&lt;/foreign-keys&gt;&lt;ref-type name="Journal Article"&gt;17&lt;/ref-type&gt;&lt;contributors&gt;&lt;authors&gt;&lt;author&gt;Seid, M.&lt;/author&gt;&lt;author&gt;Opipari, L.&lt;/author&gt;&lt;author&gt;Huang, B.&lt;/author&gt;&lt;author&gt;Brunner, H. I.&lt;/author&gt;&lt;author&gt;Lovell, D. J.&lt;/author&gt;&lt;/authors&gt;&lt;/contributors&gt;&lt;auth-address&gt;Cincinnati Children&amp;apos;s Hospital Medical Center, Cincinnati, Ohio 45229-3039, USA. michael.seid@cchmc.org&lt;/auth-address&gt;&lt;titles&gt;&lt;title&gt;Disease control and health-related quality of life in juvenile idiopathic arthritis&lt;/title&gt;&lt;secondary-title&gt;Arthritis Rheum&lt;/secondary-title&gt;&lt;/titles&gt;&lt;periodical&gt;&lt;full-title&gt;Arthritis Rheum&lt;/full-title&gt;&lt;/periodical&gt;&lt;pages&gt;393-9&lt;/pages&gt;&lt;volume&gt;61&lt;/volume&gt;&lt;number&gt;3&lt;/number&gt;&lt;keywords&gt;&lt;keyword&gt;Adolescent&lt;/keyword&gt;&lt;keyword&gt;Arthritis, Juvenile/*complications/diagnosis/*drug therapy&lt;/keyword&gt;&lt;keyword&gt;Child&lt;/keyword&gt;&lt;keyword&gt;Child, Preschool&lt;/keyword&gt;&lt;keyword&gt;Databases, Factual&lt;/keyword&gt;&lt;keyword&gt;Female&lt;/keyword&gt;&lt;keyword&gt;Humans&lt;/keyword&gt;&lt;keyword&gt;Immunologic Factors/*therapeutic use&lt;/keyword&gt;&lt;keyword&gt;Infant&lt;/keyword&gt;&lt;keyword&gt;Male&lt;/keyword&gt;&lt;keyword&gt;Prospective Studies&lt;/keyword&gt;&lt;keyword&gt;*Quality of Life&lt;/keyword&gt;&lt;keyword&gt;Retrospective Studies&lt;/keyword&gt;&lt;keyword&gt;Severity of Illness Index&lt;/keyword&gt;&lt;/keywords&gt;&lt;dates&gt;&lt;year&gt;2009&lt;/year&gt;&lt;pub-dates&gt;&lt;date&gt;Mar 15&lt;/date&gt;&lt;/pub-dates&gt;&lt;/dates&gt;&lt;isbn&gt;0004-3591 (Print)&amp;#xD;0004-3591 (Linking)&lt;/isbn&gt;&lt;accession-num&gt;19248113&lt;/accession-num&gt;&lt;urls&gt;&lt;related-urls&gt;&lt;url&gt;http://www.ncbi.nlm.nih.gov/pubmed/19248113&lt;/url&gt;&lt;/related-urls&gt;&lt;/urls&gt;&lt;electronic-resource-num&gt;10.1002/art.24477&lt;/electronic-resource-num&gt;&lt;/record&gt;&lt;/Cite&gt;&lt;/EndNote&gt;</w:instrTex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[5]</w:t>
            </w:r>
            <w:r w:rsidR="0033736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C1B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B2B97" w:rsidRPr="007C1BBE" w:rsidRDefault="005B2B97" w:rsidP="005B2B97"/>
    <w:p w:rsidR="005B2B97" w:rsidRPr="00893BE9" w:rsidRDefault="005B2B97" w:rsidP="005B2B97"/>
    <w:p w:rsidR="006E7CFD" w:rsidRDefault="006E7CFD" w:rsidP="000A00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172872">
        <w:rPr>
          <w:rFonts w:ascii="Times New Roman" w:hAnsi="Times New Roman" w:cs="Times New Roman"/>
          <w:b/>
          <w:sz w:val="24"/>
          <w:szCs w:val="24"/>
        </w:rPr>
        <w:t>S</w:t>
      </w:r>
      <w:r w:rsidR="005B2B9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75B2">
        <w:rPr>
          <w:rFonts w:ascii="Times New Roman" w:hAnsi="Times New Roman" w:cs="Times New Roman"/>
          <w:sz w:val="24"/>
          <w:szCs w:val="24"/>
        </w:rPr>
        <w:t xml:space="preserve">Association between demographic </w:t>
      </w:r>
      <w:r w:rsidR="00446D99" w:rsidRPr="001975B2">
        <w:rPr>
          <w:rFonts w:ascii="Times New Roman" w:hAnsi="Times New Roman" w:cs="Times New Roman"/>
          <w:sz w:val="24"/>
          <w:szCs w:val="24"/>
        </w:rPr>
        <w:t xml:space="preserve">characteristics and </w:t>
      </w:r>
      <w:r w:rsidR="00446D99">
        <w:rPr>
          <w:rFonts w:ascii="Times New Roman" w:hAnsi="Times New Roman" w:cs="Times New Roman"/>
          <w:sz w:val="24"/>
          <w:szCs w:val="24"/>
        </w:rPr>
        <w:t>Physician Global Assessment (PGA) score</w:t>
      </w:r>
      <w:r w:rsidR="00E40535">
        <w:rPr>
          <w:rFonts w:ascii="Times New Roman" w:hAnsi="Times New Roman" w:cs="Times New Roman"/>
          <w:sz w:val="24"/>
          <w:szCs w:val="24"/>
        </w:rPr>
        <w:t xml:space="preserve"> among a sample restricted to participants with a value for PGA score (N=153)</w:t>
      </w:r>
    </w:p>
    <w:p w:rsidR="006E7CFD" w:rsidRDefault="006E7CFD" w:rsidP="000A00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1"/>
        <w:tblW w:w="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38"/>
        <w:gridCol w:w="990"/>
        <w:gridCol w:w="740"/>
        <w:gridCol w:w="866"/>
      </w:tblGrid>
      <w:tr w:rsidR="00446D99" w:rsidRPr="00784BE2" w:rsidTr="00446D99">
        <w:trPr>
          <w:trHeight w:val="290"/>
        </w:trPr>
        <w:tc>
          <w:tcPr>
            <w:tcW w:w="2538" w:type="dxa"/>
            <w:tcBorders>
              <w:top w:val="single" w:sz="4" w:space="0" w:color="auto"/>
            </w:tcBorders>
            <w:vAlign w:val="center"/>
          </w:tcPr>
          <w:p w:rsidR="00446D99" w:rsidRPr="00784BE2" w:rsidRDefault="00446D99" w:rsidP="000208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gridSpan w:val="3"/>
            <w:tcBorders>
              <w:top w:val="single" w:sz="4" w:space="0" w:color="auto"/>
            </w:tcBorders>
            <w:vAlign w:val="center"/>
          </w:tcPr>
          <w:p w:rsidR="00446D99" w:rsidRPr="00784BE2" w:rsidRDefault="00446D99" w:rsidP="000208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PGA Score</w:t>
            </w: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tcBorders>
              <w:bottom w:val="single" w:sz="4" w:space="0" w:color="auto"/>
            </w:tcBorders>
            <w:vAlign w:val="center"/>
          </w:tcPr>
          <w:p w:rsidR="00446D99" w:rsidRPr="00784BE2" w:rsidRDefault="00446D99" w:rsidP="000208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446D99" w:rsidRPr="00784BE2" w:rsidRDefault="00446D99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vAlign w:val="center"/>
          </w:tcPr>
          <w:p w:rsidR="00446D99" w:rsidRPr="00784BE2" w:rsidRDefault="00446D99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446D99" w:rsidRPr="00784BE2" w:rsidRDefault="00446D99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tcBorders>
              <w:top w:val="single" w:sz="4" w:space="0" w:color="auto"/>
            </w:tcBorders>
            <w:vAlign w:val="center"/>
          </w:tcPr>
          <w:p w:rsidR="00446D99" w:rsidRPr="00784BE2" w:rsidRDefault="00446D99" w:rsidP="000208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Total (N=153</w:t>
            </w:r>
            <w:r w:rsidRPr="00784BE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446D99" w:rsidRPr="00784BE2" w:rsidRDefault="0012516B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0" w:type="dxa"/>
            <w:tcBorders>
              <w:top w:val="single" w:sz="4" w:space="0" w:color="auto"/>
            </w:tcBorders>
            <w:vAlign w:val="center"/>
          </w:tcPr>
          <w:p w:rsidR="00446D99" w:rsidRPr="00784BE2" w:rsidRDefault="0012516B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446D99" w:rsidRPr="00784BE2" w:rsidRDefault="0012516B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446D99" w:rsidP="000208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Disease duration</w:t>
            </w:r>
          </w:p>
        </w:tc>
        <w:tc>
          <w:tcPr>
            <w:tcW w:w="990" w:type="dxa"/>
            <w:vAlign w:val="bottom"/>
          </w:tcPr>
          <w:p w:rsidR="00446D99" w:rsidRPr="00784BE2" w:rsidRDefault="00446D99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vAlign w:val="bottom"/>
          </w:tcPr>
          <w:p w:rsidR="00446D99" w:rsidRPr="00784BE2" w:rsidRDefault="00446D99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6" w:type="dxa"/>
            <w:vAlign w:val="bottom"/>
          </w:tcPr>
          <w:p w:rsidR="00446D99" w:rsidRPr="00784BE2" w:rsidRDefault="00446D99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120E39" w:rsidP="000208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446D99"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</w:t>
            </w:r>
            <w:r w:rsidR="00BE5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46D99"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years</w:t>
            </w:r>
          </w:p>
        </w:tc>
        <w:tc>
          <w:tcPr>
            <w:tcW w:w="990" w:type="dxa"/>
            <w:vAlign w:val="center"/>
          </w:tcPr>
          <w:p w:rsidR="00446D99" w:rsidRPr="00784BE2" w:rsidRDefault="00FD4BA7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40" w:type="dxa"/>
            <w:vAlign w:val="center"/>
          </w:tcPr>
          <w:p w:rsidR="00446D99" w:rsidRPr="00784BE2" w:rsidRDefault="00BE5A9C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66" w:type="dxa"/>
            <w:vAlign w:val="center"/>
          </w:tcPr>
          <w:p w:rsidR="00446D99" w:rsidRPr="00784BE2" w:rsidRDefault="00FD4BA7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E5A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120E39" w:rsidP="000208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446D99"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≤ </w:t>
            </w:r>
            <w:r w:rsidR="00BE5A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46D99"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years</w:t>
            </w:r>
          </w:p>
        </w:tc>
        <w:tc>
          <w:tcPr>
            <w:tcW w:w="990" w:type="dxa"/>
            <w:vAlign w:val="center"/>
          </w:tcPr>
          <w:p w:rsidR="00446D99" w:rsidRPr="00784BE2" w:rsidRDefault="00FD4BA7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0" w:type="dxa"/>
            <w:vAlign w:val="center"/>
          </w:tcPr>
          <w:p w:rsidR="00446D99" w:rsidRPr="00784BE2" w:rsidRDefault="00FD4BA7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66" w:type="dxa"/>
            <w:vAlign w:val="center"/>
          </w:tcPr>
          <w:p w:rsidR="00446D99" w:rsidRPr="00784BE2" w:rsidRDefault="00FD4BA7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E5A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120E39" w:rsidP="000208A4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</w:t>
            </w:r>
            <w:r w:rsidR="00446D99" w:rsidRPr="00784BE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p-value </w:t>
            </w:r>
          </w:p>
        </w:tc>
        <w:tc>
          <w:tcPr>
            <w:tcW w:w="2596" w:type="dxa"/>
            <w:gridSpan w:val="3"/>
            <w:vAlign w:val="bottom"/>
          </w:tcPr>
          <w:p w:rsidR="00446D99" w:rsidRPr="00784BE2" w:rsidRDefault="00BE5A9C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A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0.2898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446D99" w:rsidP="000208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 group</w:t>
            </w:r>
          </w:p>
        </w:tc>
        <w:tc>
          <w:tcPr>
            <w:tcW w:w="990" w:type="dxa"/>
            <w:vAlign w:val="center"/>
          </w:tcPr>
          <w:p w:rsidR="00446D99" w:rsidRPr="00784BE2" w:rsidRDefault="00446D99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vAlign w:val="center"/>
          </w:tcPr>
          <w:p w:rsidR="00446D99" w:rsidRPr="00784BE2" w:rsidRDefault="00446D99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6" w:type="dxa"/>
            <w:vAlign w:val="center"/>
          </w:tcPr>
          <w:p w:rsidR="00446D99" w:rsidRPr="00784BE2" w:rsidRDefault="00446D99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120E39" w:rsidP="000208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120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446D99"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&gt;</w:t>
            </w:r>
            <w:r w:rsidR="00446D99"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years</w:t>
            </w:r>
          </w:p>
        </w:tc>
        <w:tc>
          <w:tcPr>
            <w:tcW w:w="990" w:type="dxa"/>
            <w:vAlign w:val="center"/>
          </w:tcPr>
          <w:p w:rsidR="00446D99" w:rsidRPr="00784BE2" w:rsidRDefault="00FA223A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7360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40" w:type="dxa"/>
            <w:vAlign w:val="center"/>
          </w:tcPr>
          <w:p w:rsidR="00446D99" w:rsidRPr="00784BE2" w:rsidRDefault="00446D99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7360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6" w:type="dxa"/>
            <w:vAlign w:val="center"/>
          </w:tcPr>
          <w:p w:rsidR="00446D99" w:rsidRPr="00784BE2" w:rsidRDefault="00446D99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120E39" w:rsidP="000208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446D99"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&lt;13 years</w:t>
            </w:r>
          </w:p>
        </w:tc>
        <w:tc>
          <w:tcPr>
            <w:tcW w:w="990" w:type="dxa"/>
            <w:vAlign w:val="center"/>
          </w:tcPr>
          <w:p w:rsidR="00446D99" w:rsidRPr="00784BE2" w:rsidRDefault="00FA223A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0" w:type="dxa"/>
            <w:vAlign w:val="center"/>
          </w:tcPr>
          <w:p w:rsidR="00446D99" w:rsidRPr="00784BE2" w:rsidRDefault="00FA223A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66" w:type="dxa"/>
            <w:vAlign w:val="center"/>
          </w:tcPr>
          <w:p w:rsidR="00446D99" w:rsidRPr="00784BE2" w:rsidRDefault="00FA223A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7360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120E39" w:rsidP="000208A4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</w:t>
            </w:r>
            <w:r w:rsidR="00446D99" w:rsidRPr="00784BE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p-value </w:t>
            </w:r>
          </w:p>
        </w:tc>
        <w:tc>
          <w:tcPr>
            <w:tcW w:w="2596" w:type="dxa"/>
            <w:gridSpan w:val="3"/>
            <w:vAlign w:val="bottom"/>
          </w:tcPr>
          <w:p w:rsidR="00446D99" w:rsidRPr="00784BE2" w:rsidRDefault="00446D99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6079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</w:t>
            </w:r>
            <w:r w:rsidR="00AA0F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446D99" w:rsidP="000208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990" w:type="dxa"/>
            <w:vAlign w:val="bottom"/>
          </w:tcPr>
          <w:p w:rsidR="00446D99" w:rsidRPr="00784BE2" w:rsidRDefault="00446D99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vAlign w:val="bottom"/>
          </w:tcPr>
          <w:p w:rsidR="00446D99" w:rsidRPr="00784BE2" w:rsidRDefault="00446D99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6" w:type="dxa"/>
            <w:vAlign w:val="bottom"/>
          </w:tcPr>
          <w:p w:rsidR="00446D99" w:rsidRPr="00784BE2" w:rsidRDefault="00446D99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120E39" w:rsidP="000208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446D99"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90" w:type="dxa"/>
            <w:vAlign w:val="center"/>
          </w:tcPr>
          <w:p w:rsidR="00446D99" w:rsidRPr="00784BE2" w:rsidRDefault="00EB0354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0" w:type="dxa"/>
            <w:vAlign w:val="center"/>
          </w:tcPr>
          <w:p w:rsidR="00446D99" w:rsidRPr="00784BE2" w:rsidRDefault="007360CE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66" w:type="dxa"/>
            <w:vAlign w:val="center"/>
          </w:tcPr>
          <w:p w:rsidR="00446D99" w:rsidRPr="00784BE2" w:rsidRDefault="00EB0354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120E39" w:rsidP="000208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446D99"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90" w:type="dxa"/>
            <w:vAlign w:val="center"/>
          </w:tcPr>
          <w:p w:rsidR="00446D99" w:rsidRPr="00784BE2" w:rsidRDefault="00EB0354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0" w:type="dxa"/>
            <w:vAlign w:val="center"/>
          </w:tcPr>
          <w:p w:rsidR="00446D99" w:rsidRPr="00784BE2" w:rsidRDefault="00EB0354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66" w:type="dxa"/>
            <w:vAlign w:val="center"/>
          </w:tcPr>
          <w:p w:rsidR="00446D99" w:rsidRPr="00784BE2" w:rsidRDefault="007360CE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120E39" w:rsidP="000208A4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</w:t>
            </w:r>
            <w:r w:rsidR="00446D99" w:rsidRPr="00784BE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p-value </w:t>
            </w:r>
          </w:p>
        </w:tc>
        <w:tc>
          <w:tcPr>
            <w:tcW w:w="2596" w:type="dxa"/>
            <w:gridSpan w:val="3"/>
            <w:vAlign w:val="center"/>
          </w:tcPr>
          <w:p w:rsidR="00446D99" w:rsidRPr="00784BE2" w:rsidRDefault="00446D99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  <w:r w:rsidR="002413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7360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446D99" w:rsidP="000208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Race</w:t>
            </w:r>
          </w:p>
        </w:tc>
        <w:tc>
          <w:tcPr>
            <w:tcW w:w="990" w:type="dxa"/>
            <w:vAlign w:val="center"/>
          </w:tcPr>
          <w:p w:rsidR="00446D99" w:rsidRPr="00784BE2" w:rsidRDefault="00446D99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vAlign w:val="center"/>
          </w:tcPr>
          <w:p w:rsidR="00446D99" w:rsidRPr="00784BE2" w:rsidRDefault="00446D99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6" w:type="dxa"/>
            <w:vAlign w:val="center"/>
          </w:tcPr>
          <w:p w:rsidR="00446D99" w:rsidRPr="00784BE2" w:rsidRDefault="00446D99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120E39" w:rsidP="000208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446D99"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 non-Hispanic</w:t>
            </w:r>
          </w:p>
        </w:tc>
        <w:tc>
          <w:tcPr>
            <w:tcW w:w="990" w:type="dxa"/>
            <w:vAlign w:val="center"/>
          </w:tcPr>
          <w:p w:rsidR="00446D99" w:rsidRPr="00784BE2" w:rsidRDefault="00D71F9C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0" w:type="dxa"/>
            <w:vAlign w:val="center"/>
          </w:tcPr>
          <w:p w:rsidR="00446D99" w:rsidRPr="00784BE2" w:rsidRDefault="007360CE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66" w:type="dxa"/>
            <w:vAlign w:val="center"/>
          </w:tcPr>
          <w:p w:rsidR="00446D99" w:rsidRPr="00784BE2" w:rsidRDefault="00D71F9C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7360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120E39" w:rsidP="000208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446D99"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990" w:type="dxa"/>
            <w:vAlign w:val="center"/>
          </w:tcPr>
          <w:p w:rsidR="00446D99" w:rsidRPr="00784BE2" w:rsidRDefault="00D71F9C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0" w:type="dxa"/>
            <w:vAlign w:val="center"/>
          </w:tcPr>
          <w:p w:rsidR="00446D99" w:rsidRPr="00784BE2" w:rsidRDefault="00D71F9C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66" w:type="dxa"/>
            <w:vAlign w:val="center"/>
          </w:tcPr>
          <w:p w:rsidR="00446D99" w:rsidRPr="00784BE2" w:rsidRDefault="00D71F9C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7360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120E39" w:rsidP="000208A4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</w:t>
            </w:r>
            <w:r w:rsidR="00446D99" w:rsidRPr="00784BE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p-value </w:t>
            </w:r>
          </w:p>
        </w:tc>
        <w:tc>
          <w:tcPr>
            <w:tcW w:w="2596" w:type="dxa"/>
            <w:gridSpan w:val="3"/>
            <w:vAlign w:val="center"/>
          </w:tcPr>
          <w:p w:rsidR="00446D99" w:rsidRPr="00784BE2" w:rsidRDefault="00170050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0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0.2964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446D99" w:rsidP="000208A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Highest parental education </w:t>
            </w:r>
          </w:p>
        </w:tc>
        <w:tc>
          <w:tcPr>
            <w:tcW w:w="990" w:type="dxa"/>
            <w:vAlign w:val="center"/>
          </w:tcPr>
          <w:p w:rsidR="00446D99" w:rsidRPr="00784BE2" w:rsidRDefault="00446D99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vAlign w:val="center"/>
          </w:tcPr>
          <w:p w:rsidR="00446D99" w:rsidRPr="00784BE2" w:rsidRDefault="00446D99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6" w:type="dxa"/>
            <w:vAlign w:val="center"/>
          </w:tcPr>
          <w:p w:rsidR="00446D99" w:rsidRPr="00784BE2" w:rsidRDefault="00446D99" w:rsidP="00020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120E39" w:rsidP="000208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446D99"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≤ High school graduate</w:t>
            </w:r>
          </w:p>
        </w:tc>
        <w:tc>
          <w:tcPr>
            <w:tcW w:w="990" w:type="dxa"/>
            <w:vAlign w:val="center"/>
          </w:tcPr>
          <w:p w:rsidR="00446D99" w:rsidRPr="00784BE2" w:rsidRDefault="003F3E21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0" w:type="dxa"/>
            <w:vAlign w:val="center"/>
          </w:tcPr>
          <w:p w:rsidR="00446D99" w:rsidRPr="00784BE2" w:rsidRDefault="003F3E21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66" w:type="dxa"/>
            <w:vAlign w:val="center"/>
          </w:tcPr>
          <w:p w:rsidR="00446D99" w:rsidRPr="00784BE2" w:rsidRDefault="003F3E21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6C38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vAlign w:val="center"/>
          </w:tcPr>
          <w:p w:rsidR="00446D99" w:rsidRPr="00784BE2" w:rsidRDefault="00120E39" w:rsidP="000208A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446D99"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Any college</w:t>
            </w:r>
          </w:p>
        </w:tc>
        <w:tc>
          <w:tcPr>
            <w:tcW w:w="990" w:type="dxa"/>
            <w:vAlign w:val="center"/>
          </w:tcPr>
          <w:p w:rsidR="00446D99" w:rsidRPr="00784BE2" w:rsidRDefault="003F3E21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0" w:type="dxa"/>
            <w:vAlign w:val="center"/>
          </w:tcPr>
          <w:p w:rsidR="00446D99" w:rsidRPr="00784BE2" w:rsidRDefault="003F3E21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66" w:type="dxa"/>
            <w:vAlign w:val="center"/>
          </w:tcPr>
          <w:p w:rsidR="00446D99" w:rsidRPr="00784BE2" w:rsidRDefault="003F3E21" w:rsidP="00020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</w:tr>
      <w:tr w:rsidR="00446D99" w:rsidRPr="00784BE2" w:rsidTr="00446D99">
        <w:trPr>
          <w:trHeight w:val="290"/>
        </w:trPr>
        <w:tc>
          <w:tcPr>
            <w:tcW w:w="2538" w:type="dxa"/>
            <w:tcBorders>
              <w:bottom w:val="single" w:sz="4" w:space="0" w:color="auto"/>
            </w:tcBorders>
            <w:vAlign w:val="center"/>
          </w:tcPr>
          <w:p w:rsidR="00446D99" w:rsidRPr="00784BE2" w:rsidRDefault="00120E39" w:rsidP="000208A4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</w:t>
            </w:r>
            <w:r w:rsidR="00446D99" w:rsidRPr="00784BE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p-value </w:t>
            </w:r>
          </w:p>
        </w:tc>
        <w:tc>
          <w:tcPr>
            <w:tcW w:w="2596" w:type="dxa"/>
            <w:gridSpan w:val="3"/>
            <w:tcBorders>
              <w:bottom w:val="single" w:sz="4" w:space="0" w:color="auto"/>
            </w:tcBorders>
            <w:vAlign w:val="center"/>
          </w:tcPr>
          <w:p w:rsidR="00446D99" w:rsidRPr="00784BE2" w:rsidRDefault="00446D99" w:rsidP="000D6B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0D6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</w:t>
            </w:r>
            <w:r w:rsidR="006C38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</w:tbl>
    <w:p w:rsidR="00E40535" w:rsidRPr="00CC5F64" w:rsidRDefault="00E40535" w:rsidP="00E40535">
      <w:pPr>
        <w:pStyle w:val="Default"/>
        <w:contextualSpacing/>
        <w:rPr>
          <w:sz w:val="22"/>
          <w:szCs w:val="22"/>
        </w:rPr>
      </w:pPr>
      <w:r w:rsidRPr="00CC5F64">
        <w:rPr>
          <w:sz w:val="22"/>
          <w:szCs w:val="22"/>
        </w:rPr>
        <w:t xml:space="preserve">Data are presented as median, mean and standard deviation (SD) of PGA scores. </w:t>
      </w:r>
    </w:p>
    <w:p w:rsidR="00E40535" w:rsidRPr="00CC5F64" w:rsidRDefault="00E40535" w:rsidP="00E40535">
      <w:pPr>
        <w:pStyle w:val="Default"/>
        <w:contextualSpacing/>
        <w:rPr>
          <w:color w:val="211E1E"/>
          <w:sz w:val="22"/>
          <w:szCs w:val="22"/>
        </w:rPr>
      </w:pPr>
      <w:r w:rsidRPr="00CC5F64">
        <w:rPr>
          <w:sz w:val="22"/>
          <w:szCs w:val="22"/>
        </w:rPr>
        <w:t>Disease duration was dichotomized using the sample mean rounded to the nearest integer as the cut</w:t>
      </w:r>
      <w:r w:rsidR="00F92C80">
        <w:rPr>
          <w:sz w:val="22"/>
          <w:szCs w:val="22"/>
        </w:rPr>
        <w:t xml:space="preserve"> </w:t>
      </w:r>
      <w:r w:rsidRPr="00CC5F64">
        <w:rPr>
          <w:sz w:val="22"/>
          <w:szCs w:val="22"/>
        </w:rPr>
        <w:t xml:space="preserve">point. </w:t>
      </w:r>
      <w:r w:rsidRPr="00CC5F64">
        <w:rPr>
          <w:color w:val="211E1E"/>
          <w:sz w:val="22"/>
          <w:szCs w:val="22"/>
        </w:rPr>
        <w:t xml:space="preserve">Possible range of </w:t>
      </w:r>
      <w:r w:rsidR="00607982">
        <w:rPr>
          <w:color w:val="211E1E"/>
          <w:sz w:val="22"/>
          <w:szCs w:val="22"/>
        </w:rPr>
        <w:t>PGA score is from 0 to 10</w:t>
      </w:r>
      <w:r w:rsidRPr="00CC5F64">
        <w:rPr>
          <w:color w:val="211E1E"/>
          <w:sz w:val="22"/>
          <w:szCs w:val="22"/>
        </w:rPr>
        <w:t xml:space="preserve">. </w:t>
      </w:r>
    </w:p>
    <w:p w:rsidR="006E7CFD" w:rsidRDefault="00E40535" w:rsidP="00E40535">
      <w:pPr>
        <w:spacing w:after="0"/>
        <w:contextualSpacing/>
        <w:rPr>
          <w:rFonts w:ascii="Times New Roman" w:hAnsi="Times New Roman" w:cs="Times New Roman"/>
        </w:rPr>
      </w:pPr>
      <w:r w:rsidRPr="001975B2">
        <w:rPr>
          <w:rFonts w:ascii="Times New Roman" w:hAnsi="Times New Roman" w:cs="Times New Roman"/>
        </w:rPr>
        <w:t xml:space="preserve">P-values were obtained from </w:t>
      </w:r>
      <w:r w:rsidR="00607982">
        <w:rPr>
          <w:rFonts w:ascii="Times New Roman" w:hAnsi="Times New Roman" w:cs="Times New Roman"/>
        </w:rPr>
        <w:t xml:space="preserve">two-sided </w:t>
      </w:r>
      <w:r w:rsidRPr="001975B2">
        <w:rPr>
          <w:rFonts w:ascii="Times New Roman" w:hAnsi="Times New Roman" w:cs="Times New Roman"/>
        </w:rPr>
        <w:t xml:space="preserve">Wilcoxon rank-sum test for the difference in </w:t>
      </w:r>
      <w:r w:rsidR="00BC3DD2">
        <w:rPr>
          <w:rFonts w:ascii="Times New Roman" w:hAnsi="Times New Roman" w:cs="Times New Roman"/>
        </w:rPr>
        <w:t>PGA</w:t>
      </w:r>
      <w:r w:rsidRPr="001975B2">
        <w:rPr>
          <w:rFonts w:ascii="Times New Roman" w:hAnsi="Times New Roman" w:cs="Times New Roman"/>
        </w:rPr>
        <w:t xml:space="preserve"> scores between demographic groups.</w:t>
      </w:r>
    </w:p>
    <w:p w:rsidR="001975B2" w:rsidRDefault="001975B2" w:rsidP="00E40535">
      <w:pPr>
        <w:spacing w:after="0"/>
        <w:rPr>
          <w:rFonts w:ascii="Times New Roman" w:hAnsi="Times New Roman" w:cs="Times New Roman"/>
        </w:rPr>
      </w:pPr>
    </w:p>
    <w:p w:rsidR="001975B2" w:rsidRDefault="001975B2" w:rsidP="00E40535">
      <w:pPr>
        <w:spacing w:after="0"/>
        <w:rPr>
          <w:rFonts w:ascii="Times New Roman" w:hAnsi="Times New Roman" w:cs="Times New Roman"/>
        </w:rPr>
      </w:pPr>
    </w:p>
    <w:p w:rsidR="001975B2" w:rsidRDefault="001975B2" w:rsidP="00E40535">
      <w:pPr>
        <w:spacing w:after="0"/>
        <w:rPr>
          <w:rFonts w:ascii="Times New Roman" w:hAnsi="Times New Roman" w:cs="Times New Roman"/>
        </w:rPr>
      </w:pPr>
    </w:p>
    <w:p w:rsidR="001975B2" w:rsidRDefault="001975B2" w:rsidP="00E40535">
      <w:pPr>
        <w:spacing w:after="0"/>
        <w:rPr>
          <w:rFonts w:ascii="Times New Roman" w:hAnsi="Times New Roman" w:cs="Times New Roman"/>
        </w:rPr>
      </w:pPr>
    </w:p>
    <w:p w:rsidR="001975B2" w:rsidRDefault="001975B2" w:rsidP="00E40535">
      <w:pPr>
        <w:spacing w:after="0"/>
        <w:rPr>
          <w:rFonts w:ascii="Times New Roman" w:hAnsi="Times New Roman" w:cs="Times New Roman"/>
        </w:rPr>
      </w:pPr>
    </w:p>
    <w:p w:rsidR="001975B2" w:rsidRDefault="001975B2" w:rsidP="00E40535">
      <w:pPr>
        <w:spacing w:after="0"/>
        <w:rPr>
          <w:rFonts w:ascii="Times New Roman" w:hAnsi="Times New Roman" w:cs="Times New Roman"/>
        </w:rPr>
      </w:pPr>
    </w:p>
    <w:p w:rsidR="001975B2" w:rsidRPr="00CC5F64" w:rsidRDefault="001975B2" w:rsidP="00E4053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975B2" w:rsidRDefault="001975B2" w:rsidP="000A00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2B97" w:rsidRDefault="005B2B97">
      <w:pPr>
        <w:rPr>
          <w:rFonts w:ascii="Times New Roman" w:hAnsi="Times New Roman" w:cs="Times New Roman"/>
          <w:b/>
          <w:sz w:val="24"/>
          <w:szCs w:val="24"/>
        </w:rPr>
      </w:pPr>
    </w:p>
    <w:p w:rsidR="005B2B97" w:rsidRDefault="005B2B97">
      <w:pPr>
        <w:rPr>
          <w:rFonts w:ascii="Times New Roman" w:hAnsi="Times New Roman" w:cs="Times New Roman"/>
          <w:b/>
          <w:sz w:val="24"/>
          <w:szCs w:val="24"/>
        </w:rPr>
      </w:pPr>
    </w:p>
    <w:p w:rsidR="003E5B42" w:rsidRPr="000A00FF" w:rsidRDefault="003E5B42">
      <w:pPr>
        <w:rPr>
          <w:rFonts w:ascii="Times New Roman" w:hAnsi="Times New Roman" w:cs="Times New Roman"/>
          <w:sz w:val="24"/>
          <w:szCs w:val="24"/>
        </w:rPr>
      </w:pPr>
      <w:r w:rsidRPr="000A00F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72872">
        <w:rPr>
          <w:rFonts w:ascii="Times New Roman" w:hAnsi="Times New Roman" w:cs="Times New Roman"/>
          <w:b/>
          <w:sz w:val="24"/>
          <w:szCs w:val="24"/>
        </w:rPr>
        <w:t>S</w:t>
      </w:r>
      <w:r w:rsidR="005B2B97">
        <w:rPr>
          <w:rFonts w:ascii="Times New Roman" w:hAnsi="Times New Roman" w:cs="Times New Roman"/>
          <w:b/>
          <w:sz w:val="24"/>
          <w:szCs w:val="24"/>
        </w:rPr>
        <w:t>3</w:t>
      </w:r>
      <w:r w:rsidRPr="000A00FF">
        <w:rPr>
          <w:rFonts w:ascii="Times New Roman" w:hAnsi="Times New Roman" w:cs="Times New Roman"/>
          <w:sz w:val="24"/>
          <w:szCs w:val="24"/>
        </w:rPr>
        <w:t xml:space="preserve"> Multivariate regression analyses measuring associations among pediatric quality of life (PedsQL) and disease activity/symptoms and</w:t>
      </w:r>
      <w:r w:rsidRPr="002D483A">
        <w:rPr>
          <w:rFonts w:ascii="Times New Roman" w:hAnsi="Times New Roman" w:cs="Times New Roman"/>
          <w:sz w:val="24"/>
          <w:szCs w:val="24"/>
        </w:rPr>
        <w:t xml:space="preserve"> treatment burden</w:t>
      </w:r>
      <w:r w:rsidRPr="003E5B42">
        <w:t xml:space="preserve"> </w:t>
      </w:r>
      <w:r>
        <w:rPr>
          <w:rFonts w:ascii="Times New Roman" w:hAnsi="Times New Roman" w:cs="Times New Roman"/>
          <w:sz w:val="24"/>
          <w:szCs w:val="24"/>
        </w:rPr>
        <w:t>among a sample</w:t>
      </w:r>
      <w:r w:rsidRPr="003E5B42">
        <w:rPr>
          <w:rFonts w:ascii="Times New Roman" w:hAnsi="Times New Roman" w:cs="Times New Roman"/>
          <w:sz w:val="24"/>
          <w:szCs w:val="24"/>
        </w:rPr>
        <w:t xml:space="preserve"> restricted to participants with a value for </w:t>
      </w:r>
      <w:r w:rsidR="002D3FF7">
        <w:rPr>
          <w:rFonts w:ascii="Times New Roman" w:hAnsi="Times New Roman" w:cs="Times New Roman"/>
          <w:sz w:val="24"/>
          <w:szCs w:val="24"/>
        </w:rPr>
        <w:t>Physician Global Assessment (PGA)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83A">
        <w:rPr>
          <w:rFonts w:ascii="Times New Roman" w:hAnsi="Times New Roman" w:cs="Times New Roman"/>
          <w:sz w:val="24"/>
          <w:szCs w:val="24"/>
        </w:rPr>
        <w:t>(N=1</w:t>
      </w:r>
      <w:r>
        <w:rPr>
          <w:rFonts w:ascii="Times New Roman" w:hAnsi="Times New Roman" w:cs="Times New Roman"/>
          <w:sz w:val="24"/>
          <w:szCs w:val="24"/>
        </w:rPr>
        <w:t>53</w:t>
      </w:r>
      <w:r w:rsidRPr="000A00FF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1273" w:type="dxa"/>
        <w:jc w:val="center"/>
        <w:tblInd w:w="-1065" w:type="dxa"/>
        <w:tblLayout w:type="fixed"/>
        <w:tblLook w:val="04A0"/>
      </w:tblPr>
      <w:tblGrid>
        <w:gridCol w:w="3243"/>
        <w:gridCol w:w="1338"/>
        <w:gridCol w:w="1338"/>
        <w:gridCol w:w="1339"/>
        <w:gridCol w:w="1338"/>
        <w:gridCol w:w="1338"/>
        <w:gridCol w:w="1339"/>
      </w:tblGrid>
      <w:tr w:rsidR="00253A18" w:rsidRPr="00784BE2" w:rsidTr="000208A4">
        <w:trPr>
          <w:trHeight w:val="274"/>
          <w:jc w:val="center"/>
        </w:trPr>
        <w:tc>
          <w:tcPr>
            <w:tcW w:w="32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PedsQL Total Score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PedsQL Psychosocial Score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PedsQL Physical Score</w:t>
            </w:r>
          </w:p>
        </w:tc>
      </w:tr>
      <w:tr w:rsidR="00253A18" w:rsidRPr="00784BE2" w:rsidTr="000208A4">
        <w:trPr>
          <w:trHeight w:val="270"/>
          <w:jc w:val="center"/>
        </w:trPr>
        <w:tc>
          <w:tcPr>
            <w:tcW w:w="32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β (S.E.)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p-value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β (S.E.)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p-value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β (S.E.)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p-value</w:t>
            </w:r>
          </w:p>
        </w:tc>
      </w:tr>
      <w:tr w:rsidR="00253A18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Model 1a-1d Individual PROs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253A18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1a) Pain interference 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</w:t>
            </w:r>
            <w:r w:rsidR="00C32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(0.0</w:t>
            </w:r>
            <w:r w:rsidR="00C32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F5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</w:t>
            </w:r>
            <w:r w:rsidR="00F574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232B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F574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F13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-1.5</w:t>
            </w:r>
            <w:r w:rsidR="003A2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(0.</w:t>
            </w:r>
            <w:r w:rsidR="00F1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</w:t>
            </w: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</w:tr>
      <w:tr w:rsidR="00253A18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A18" w:rsidRPr="00784BE2" w:rsidRDefault="00253A18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1b) Morning stiffness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F574CD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4CD" w:rsidRPr="00784BE2" w:rsidRDefault="00F574CD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&gt;15 minutes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4CD" w:rsidRPr="00784BE2" w:rsidRDefault="00F574CD" w:rsidP="002D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A15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8A15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8A15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4CD" w:rsidRPr="00784BE2" w:rsidRDefault="00F574CD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4CD" w:rsidRPr="00784BE2" w:rsidRDefault="00F574CD" w:rsidP="00F5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  <w:r w:rsidR="001554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1554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4CD" w:rsidRPr="00784BE2" w:rsidRDefault="00F574CD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4CD" w:rsidRPr="00784BE2" w:rsidRDefault="00F5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-2</w:t>
            </w:r>
            <w:r w:rsidR="00A067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</w:t>
            </w: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  <w:r w:rsidR="003A2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73</w:t>
            </w:r>
            <w:r w:rsidR="003A2363"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(2.</w:t>
            </w:r>
            <w:r w:rsidR="003A2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68</w:t>
            </w: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4CD" w:rsidRPr="00784BE2" w:rsidRDefault="00F574CD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</w:tr>
      <w:tr w:rsidR="00253A18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A18" w:rsidRPr="00784BE2" w:rsidRDefault="00253A18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≤ 15 minutes</w:t>
            </w:r>
          </w:p>
        </w:tc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</w:tr>
      <w:tr w:rsidR="00253A18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1c) Serious medication side effect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253A18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Any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2D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 w:rsidR="00C32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53D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C32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8A15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C32CD1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32C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0.01</w:t>
            </w:r>
            <w:r w:rsidR="008A15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</w:t>
            </w:r>
            <w:r w:rsidR="001554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(3.</w:t>
            </w:r>
            <w:r w:rsidR="001554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0.00</w:t>
            </w:r>
            <w:r w:rsidR="001554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A0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 w:rsidR="00A06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3A23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A06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="003A23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</w:t>
            </w:r>
            <w:r w:rsidR="00A0672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3A23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399</w:t>
            </w:r>
          </w:p>
        </w:tc>
      </w:tr>
      <w:tr w:rsidR="00253A18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</w:tr>
      <w:tr w:rsidR="00253A18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F54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1d) Methotrexate </w:t>
            </w:r>
            <w:r w:rsidR="00F54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status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253A18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With methotrexate intolerance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C32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8A15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(1.3</w:t>
            </w:r>
            <w:r w:rsidR="008A15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C32CD1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32C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0.000</w:t>
            </w:r>
            <w:r w:rsidR="008A15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</w:t>
            </w:r>
            <w:r w:rsidR="008A5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1554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</w:t>
            </w:r>
            <w:r w:rsidR="001554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2E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2E13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3A23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(3.</w:t>
            </w:r>
            <w:r w:rsidR="003A23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2E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2E13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A23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</w:t>
            </w:r>
          </w:p>
        </w:tc>
      </w:tr>
      <w:tr w:rsidR="00253A18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On methotrexate without intolerance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8A150C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</w:t>
            </w:r>
            <w:r w:rsidR="00253A18"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253A18"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C32CD1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32C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</w:t>
            </w:r>
            <w:r w:rsidR="008A15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155486" w:rsidP="008A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</w:t>
            </w:r>
            <w:r w:rsidR="00253A18"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8A5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253A18"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8A574A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8A574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0.00</w:t>
            </w:r>
            <w:r w:rsidR="001554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3A2363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4.79</w:t>
            </w:r>
            <w:r w:rsidR="00253A18"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(2.</w:t>
            </w:r>
            <w:r w:rsidR="00724C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  <w:r w:rsidR="00253A18"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0A00FF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A00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D73DF7" w:rsidRPr="000A00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B33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</w:tr>
      <w:tr w:rsidR="00253A18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Not on methotrexate</w:t>
            </w:r>
          </w:p>
        </w:tc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A18" w:rsidRPr="00784BE2" w:rsidRDefault="00253A18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</w:tr>
      <w:tr w:rsidR="008532A9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32A9" w:rsidRPr="00784BE2" w:rsidRDefault="008532A9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32A9" w:rsidRPr="00784BE2" w:rsidRDefault="008532A9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32A9" w:rsidRPr="00784BE2" w:rsidRDefault="008532A9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32A9" w:rsidRPr="00784BE2" w:rsidRDefault="008532A9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32A9" w:rsidRPr="00784BE2" w:rsidRDefault="008532A9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32A9" w:rsidRPr="00784BE2" w:rsidRDefault="008532A9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32A9" w:rsidRPr="00784BE2" w:rsidRDefault="008532A9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3278C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278C" w:rsidRPr="00784BE2" w:rsidRDefault="0013278C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 xml:space="preserve">Model 2 Disease Burden PROs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278C" w:rsidRPr="00784BE2" w:rsidRDefault="0013278C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278C" w:rsidRPr="00784BE2" w:rsidRDefault="0013278C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278C" w:rsidRPr="00784BE2" w:rsidRDefault="0013278C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278C" w:rsidRPr="00784BE2" w:rsidRDefault="0013278C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278C" w:rsidRPr="00784BE2" w:rsidRDefault="0013278C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278C" w:rsidRPr="00784BE2" w:rsidRDefault="0013278C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Pain interference 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-1.1</w:t>
            </w:r>
            <w:r w:rsidR="008A1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(0.09)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580359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580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&lt;0.0001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-1.0</w:t>
            </w:r>
            <w:r w:rsidR="00D34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(0.08)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5A7A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&lt;0.0001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-1.</w:t>
            </w:r>
            <w:r w:rsidR="007B3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(0.1</w:t>
            </w:r>
            <w:r w:rsidR="007B3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</w:tr>
      <w:tr w:rsidR="00A641A4" w:rsidRPr="00784BE2" w:rsidTr="00580359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Morning stiffness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580359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&gt;15 minutes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-3.</w:t>
            </w:r>
            <w:r w:rsidR="008A1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(1.</w:t>
            </w:r>
            <w:r w:rsidR="008A1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580359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580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0.00</w:t>
            </w:r>
            <w:r w:rsidR="008A150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08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-1.</w:t>
            </w:r>
            <w:r w:rsidR="00D34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(1.</w:t>
            </w:r>
            <w:r w:rsidR="00D34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</w:t>
            </w:r>
            <w:r w:rsidR="00D34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1048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D16A82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-6.</w:t>
            </w:r>
            <w:r w:rsidR="007B3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(1.8</w:t>
            </w:r>
            <w:r w:rsidR="007B3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580359" w:rsidRDefault="00D16A82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5803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0.000</w:t>
            </w:r>
            <w:r w:rsidR="007B33C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4</w:t>
            </w:r>
          </w:p>
        </w:tc>
      </w:tr>
      <w:tr w:rsidR="00A641A4" w:rsidRPr="00784BE2" w:rsidTr="00D655A6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≤ 15 minutes</w:t>
            </w:r>
          </w:p>
        </w:tc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580359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</w:pPr>
            <w:r w:rsidRPr="0058035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580359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</w:pPr>
            <w:r w:rsidRPr="0058035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580359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</w:pPr>
            <w:r w:rsidRPr="0058035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  <w:t>reference</w:t>
            </w:r>
          </w:p>
        </w:tc>
      </w:tr>
      <w:tr w:rsidR="00A641A4" w:rsidRPr="00784BE2" w:rsidTr="000C45DE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Model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a</w:t>
            </w: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 xml:space="preserve"> Disease Burden PROs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Pain interference 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</w:t>
            </w:r>
            <w:r w:rsidR="008A15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34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</w:t>
            </w:r>
            <w:r w:rsidR="007B33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B33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Morning stiffness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&gt;15 minutes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8A15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8A15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</w:t>
            </w:r>
            <w:r w:rsidR="008A15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049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1E7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D34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</w:t>
            </w:r>
            <w:r w:rsidR="00D34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D34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0686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38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="007B33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  <w:r w:rsidR="007B33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0.00</w:t>
            </w:r>
            <w:r w:rsidR="007B33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≤ 15 minutes</w:t>
            </w:r>
          </w:p>
        </w:tc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Model 3 Treatment Burden PROs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Serious medication side effect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Any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20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  <w:r w:rsidR="004831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4831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4831BB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4831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0.0191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  <w:r w:rsidR="00D34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D34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3.87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D34F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0A00FF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A00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</w:t>
            </w: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F54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Methotrexate </w:t>
            </w:r>
            <w:r w:rsidR="00F54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status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With methotrexate intolerance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20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4831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</w:t>
            </w:r>
            <w:r w:rsidR="004831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4831BB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4831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0.0622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D34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D34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D34FE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D34F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Pr="00D34F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.0001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5441</w:t>
            </w: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On methotrexate without intolerance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20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4831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4831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EC76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</w:t>
            </w:r>
            <w:r w:rsidR="004831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D34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</w:t>
            </w:r>
            <w:r w:rsidR="00D34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0A00FF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A00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D34F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EB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3.88</w:t>
            </w:r>
            <w:r w:rsidR="00A641A4"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  <w:r w:rsidR="00A641A4"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="00EB58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Not on methotrexate</w:t>
            </w:r>
          </w:p>
        </w:tc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Model 4 All PROs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E766BB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Pain interference 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B43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(0.10)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 w:rsidR="003D52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 w:rsidR="003D52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E7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</w:t>
            </w:r>
            <w:r w:rsidR="001B0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 w:rsidR="001B0D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E7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</w:tr>
      <w:tr w:rsidR="00A641A4" w:rsidRPr="00784BE2" w:rsidTr="00E766BB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Morning stiffness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E7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E7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E766BB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&gt;15 minutes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-3.</w:t>
            </w:r>
            <w:r w:rsidR="002B4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(0.</w:t>
            </w:r>
            <w:r w:rsidR="002B4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3D52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3D52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56C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</w:t>
            </w:r>
            <w:r w:rsidR="003D52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E7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B0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</w:t>
            </w:r>
            <w:r w:rsidR="000B0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E7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</w:t>
            </w: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</w:p>
        </w:tc>
      </w:tr>
      <w:tr w:rsidR="00A641A4" w:rsidRPr="00784BE2" w:rsidTr="00E766BB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≤ 15 minutes</w:t>
            </w:r>
          </w:p>
        </w:tc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E7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</w:tr>
      <w:tr w:rsidR="00A641A4" w:rsidRPr="00784BE2" w:rsidTr="00E766BB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Serious medication side effect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E7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E7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E766BB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Any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2B43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(2.</w:t>
            </w:r>
            <w:r w:rsidR="002B43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E41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0.2</w:t>
            </w:r>
            <w:r w:rsidR="002B4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299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</w:t>
            </w:r>
            <w:r w:rsidR="003D52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3D52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3D52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E7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385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385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A00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3670</w:t>
            </w:r>
          </w:p>
        </w:tc>
      </w:tr>
      <w:tr w:rsidR="00D42D97" w:rsidRPr="00784BE2" w:rsidTr="007F4C62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2D97" w:rsidRPr="00784BE2" w:rsidRDefault="00D42D97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2D97" w:rsidRPr="00784BE2" w:rsidRDefault="00D42D97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2D97" w:rsidRPr="00784BE2" w:rsidRDefault="00D42D97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D97" w:rsidRPr="00784BE2" w:rsidRDefault="00D42D97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</w:tr>
      <w:tr w:rsidR="00A641A4" w:rsidRPr="00784BE2" w:rsidTr="00580359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F54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Methotrexate </w:t>
            </w:r>
            <w:r w:rsidR="00F54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status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580359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With methotrexate intolerance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F21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2B43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</w:t>
            </w:r>
            <w:r w:rsidR="002B43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F57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0.00</w:t>
            </w:r>
            <w:r w:rsidR="002B432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3D52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</w:t>
            </w:r>
            <w:r w:rsidR="003D52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</w:t>
            </w:r>
            <w:r w:rsidR="003D522C"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00</w:t>
            </w:r>
            <w:r w:rsidR="003D52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E46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E46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1415</w:t>
            </w:r>
          </w:p>
        </w:tc>
      </w:tr>
      <w:tr w:rsidR="00A641A4" w:rsidRPr="00784BE2" w:rsidTr="00580359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On methotrexate without intolerance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2B43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 w:rsidR="002B43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F21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A00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2B43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3D52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 w:rsidR="003D52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A00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3D52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(2.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EB58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</w:t>
            </w:r>
          </w:p>
        </w:tc>
      </w:tr>
      <w:tr w:rsidR="00A641A4" w:rsidRPr="00784BE2" w:rsidTr="005F54BB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Not on methotrexate</w:t>
            </w:r>
          </w:p>
        </w:tc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1A4" w:rsidRPr="00784BE2" w:rsidRDefault="00A641A4" w:rsidP="0058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Model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a</w:t>
            </w: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 xml:space="preserve"> All PROs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Pain interference 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CA6B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A9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 w:rsidR="00086A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86A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864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</w:t>
            </w:r>
            <w:r w:rsidR="00753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53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Morning stiffness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&gt;15 minutes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74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CA6B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CA6B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CA6B72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A6B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086A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086A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0A00FF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0A00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</w:t>
            </w:r>
            <w:r w:rsidR="00086A0B" w:rsidRPr="000A00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086A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087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864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="00753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753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&lt;</w:t>
            </w: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≤ 15 minutes</w:t>
            </w:r>
          </w:p>
        </w:tc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Serious medication side effect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Any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74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</w:t>
            </w:r>
            <w:r w:rsidR="00CA6B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CA6B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D25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CA6B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A9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086A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086A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086A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864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753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753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0A00FF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A00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753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3653</w:t>
            </w: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None</w:t>
            </w:r>
          </w:p>
        </w:tc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F54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Methotrexate </w:t>
            </w:r>
            <w:r w:rsidR="00F54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status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With methotrexate intolerance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74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F21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F21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0.00</w:t>
            </w:r>
            <w:r w:rsidR="00F217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A9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086A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(1.</w:t>
            </w:r>
            <w:r w:rsidR="00086A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0.00</w:t>
            </w:r>
            <w:r w:rsidR="00086A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157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="00753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753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753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1518</w:t>
            </w: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On methotrexate without intolerance</w:t>
            </w:r>
          </w:p>
        </w:tc>
        <w:tc>
          <w:tcPr>
            <w:tcW w:w="13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F21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 w:rsidR="00F21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0A00FF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A00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F217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5238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 w:rsidR="00086A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086A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0A00FF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A00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086A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7367</w:t>
            </w:r>
          </w:p>
        </w:tc>
        <w:tc>
          <w:tcPr>
            <w:tcW w:w="13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53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(2.</w:t>
            </w:r>
            <w:r w:rsidR="00753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753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4723</w:t>
            </w:r>
          </w:p>
        </w:tc>
      </w:tr>
      <w:tr w:rsidR="00A641A4" w:rsidRPr="00784BE2" w:rsidTr="000208A4">
        <w:trPr>
          <w:trHeight w:val="270"/>
          <w:jc w:val="center"/>
        </w:trPr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Not on methotrexate</w:t>
            </w:r>
          </w:p>
        </w:tc>
        <w:tc>
          <w:tcPr>
            <w:tcW w:w="26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reference</w:t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1A4" w:rsidRPr="00784BE2" w:rsidRDefault="00A641A4" w:rsidP="0002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84BE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</w:tr>
    </w:tbl>
    <w:p w:rsidR="00253A18" w:rsidRPr="00784BE2" w:rsidRDefault="00253A18" w:rsidP="00253A18">
      <w:pPr>
        <w:spacing w:after="0"/>
        <w:rPr>
          <w:rFonts w:ascii="Times New Roman" w:eastAsiaTheme="minorEastAsia" w:hAnsi="Times New Roman" w:cs="Times New Roman"/>
          <w:lang w:eastAsia="zh-CN"/>
        </w:rPr>
      </w:pPr>
      <w:r w:rsidRPr="00784BE2">
        <w:rPr>
          <w:rFonts w:ascii="Times New Roman" w:eastAsiaTheme="minorEastAsia" w:hAnsi="Times New Roman" w:cs="Times New Roman"/>
          <w:lang w:eastAsia="zh-CN"/>
        </w:rPr>
        <w:t>All estimates were obtained using generalized estimating equations (GEE)</w:t>
      </w:r>
      <w:r w:rsidR="007C6AD3">
        <w:rPr>
          <w:rFonts w:ascii="Times New Roman" w:eastAsiaTheme="minorEastAsia" w:hAnsi="Times New Roman" w:cs="Times New Roman"/>
          <w:lang w:eastAsia="zh-CN"/>
        </w:rPr>
        <w:t xml:space="preserve"> to</w:t>
      </w:r>
      <w:r w:rsidRPr="00784BE2">
        <w:rPr>
          <w:rFonts w:ascii="Times New Roman" w:eastAsiaTheme="minorEastAsia" w:hAnsi="Times New Roman" w:cs="Times New Roman"/>
          <w:lang w:eastAsia="zh-CN"/>
        </w:rPr>
        <w:t xml:space="preserve"> account for clustering within clinics and </w:t>
      </w:r>
      <w:r w:rsidR="00CF4916">
        <w:rPr>
          <w:rFonts w:ascii="Times New Roman" w:eastAsiaTheme="minorEastAsia" w:hAnsi="Times New Roman" w:cs="Times New Roman"/>
          <w:lang w:eastAsia="zh-CN"/>
        </w:rPr>
        <w:t xml:space="preserve">were </w:t>
      </w:r>
      <w:r w:rsidR="007C6AD3">
        <w:rPr>
          <w:rFonts w:ascii="Times New Roman" w:eastAsiaTheme="minorEastAsia" w:hAnsi="Times New Roman" w:cs="Times New Roman"/>
          <w:lang w:eastAsia="zh-CN"/>
        </w:rPr>
        <w:t xml:space="preserve">adjusted for </w:t>
      </w:r>
      <w:r w:rsidRPr="00784BE2">
        <w:rPr>
          <w:rFonts w:ascii="Times New Roman" w:eastAsiaTheme="minorEastAsia" w:hAnsi="Times New Roman" w:cs="Times New Roman"/>
          <w:lang w:eastAsia="zh-CN"/>
        </w:rPr>
        <w:t>demographics including age (continuous), sex, race, parent education,  and disease duration (continuous);</w:t>
      </w:r>
      <w:r w:rsidR="002D3FF7">
        <w:rPr>
          <w:rFonts w:ascii="Times New Roman" w:eastAsiaTheme="minorEastAsia" w:hAnsi="Times New Roman" w:cs="Times New Roman"/>
          <w:lang w:eastAsia="zh-CN"/>
        </w:rPr>
        <w:t xml:space="preserve"> models 2</w:t>
      </w:r>
      <w:r w:rsidR="0013278C">
        <w:rPr>
          <w:rFonts w:ascii="Times New Roman" w:eastAsiaTheme="minorEastAsia" w:hAnsi="Times New Roman" w:cs="Times New Roman"/>
          <w:lang w:eastAsia="zh-CN"/>
        </w:rPr>
        <w:t>a</w:t>
      </w:r>
      <w:r w:rsidR="002D3FF7">
        <w:rPr>
          <w:rFonts w:ascii="Times New Roman" w:eastAsiaTheme="minorEastAsia" w:hAnsi="Times New Roman" w:cs="Times New Roman"/>
          <w:lang w:eastAsia="zh-CN"/>
        </w:rPr>
        <w:t xml:space="preserve"> and 4</w:t>
      </w:r>
      <w:r w:rsidR="0013278C">
        <w:rPr>
          <w:rFonts w:ascii="Times New Roman" w:eastAsiaTheme="minorEastAsia" w:hAnsi="Times New Roman" w:cs="Times New Roman"/>
          <w:lang w:eastAsia="zh-CN"/>
        </w:rPr>
        <w:t>a</w:t>
      </w:r>
      <w:r w:rsidR="002D3FF7">
        <w:rPr>
          <w:rFonts w:ascii="Times New Roman" w:eastAsiaTheme="minorEastAsia" w:hAnsi="Times New Roman" w:cs="Times New Roman"/>
          <w:lang w:eastAsia="zh-CN"/>
        </w:rPr>
        <w:t xml:space="preserve"> additionally adjust for physician global assessment (PGA); </w:t>
      </w:r>
      <w:r w:rsidRPr="00784BE2">
        <w:rPr>
          <w:rFonts w:ascii="Times New Roman" w:eastAsiaTheme="minorEastAsia" w:hAnsi="Times New Roman" w:cs="Times New Roman"/>
          <w:lang w:eastAsia="zh-CN"/>
        </w:rPr>
        <w:t xml:space="preserve"> regression coefficients (β) and their standard errors (SE) are presented. </w:t>
      </w:r>
    </w:p>
    <w:p w:rsidR="00253A18" w:rsidRPr="00784BE2" w:rsidRDefault="00253A18" w:rsidP="00253A18">
      <w:pPr>
        <w:spacing w:after="0"/>
        <w:rPr>
          <w:rFonts w:ascii="Times New Roman" w:eastAsiaTheme="minorEastAsia" w:hAnsi="Times New Roman" w:cs="Times New Roman"/>
          <w:lang w:eastAsia="zh-CN"/>
        </w:rPr>
      </w:pPr>
      <w:r w:rsidRPr="00784BE2">
        <w:rPr>
          <w:rFonts w:ascii="Times New Roman" w:eastAsiaTheme="minorEastAsia" w:hAnsi="Times New Roman" w:cs="Times New Roman"/>
          <w:lang w:eastAsia="zh-CN"/>
        </w:rPr>
        <w:t xml:space="preserve">Model 1a-1d assessed association between PedsQL score and </w:t>
      </w:r>
      <w:r w:rsidRPr="00784BE2">
        <w:rPr>
          <w:rFonts w:ascii="Times New Roman" w:eastAsiaTheme="minorEastAsia" w:hAnsi="Times New Roman" w:cs="Times New Roman"/>
          <w:i/>
          <w:lang w:eastAsia="zh-CN"/>
        </w:rPr>
        <w:t>each individual</w:t>
      </w:r>
      <w:r w:rsidRPr="00784BE2">
        <w:rPr>
          <w:rFonts w:ascii="Times New Roman" w:eastAsiaTheme="minorEastAsia" w:hAnsi="Times New Roman" w:cs="Times New Roman"/>
          <w:lang w:eastAsia="zh-CN"/>
        </w:rPr>
        <w:t xml:space="preserve"> PRO. </w:t>
      </w:r>
    </w:p>
    <w:p w:rsidR="00253A18" w:rsidRPr="00784BE2" w:rsidRDefault="00253A18" w:rsidP="00253A18">
      <w:pPr>
        <w:spacing w:after="0"/>
        <w:rPr>
          <w:rFonts w:ascii="Times New Roman" w:eastAsiaTheme="minorEastAsia" w:hAnsi="Times New Roman" w:cs="Times New Roman"/>
          <w:lang w:eastAsia="zh-CN"/>
        </w:rPr>
      </w:pPr>
      <w:r w:rsidRPr="00784BE2">
        <w:rPr>
          <w:rFonts w:ascii="Times New Roman" w:eastAsiaTheme="minorEastAsia" w:hAnsi="Times New Roman" w:cs="Times New Roman"/>
          <w:lang w:eastAsia="zh-CN"/>
        </w:rPr>
        <w:t>Model 2 assessed association between PedsQL score and</w:t>
      </w:r>
      <w:r w:rsidRPr="00784BE2">
        <w:rPr>
          <w:rFonts w:ascii="Times New Roman" w:eastAsiaTheme="minorEastAsia" w:hAnsi="Times New Roman" w:cs="Times New Roman"/>
          <w:i/>
          <w:lang w:eastAsia="zh-CN"/>
        </w:rPr>
        <w:t xml:space="preserve"> both of the disease burden </w:t>
      </w:r>
      <w:proofErr w:type="spellStart"/>
      <w:r w:rsidRPr="00784BE2">
        <w:rPr>
          <w:rFonts w:ascii="Times New Roman" w:eastAsiaTheme="minorEastAsia" w:hAnsi="Times New Roman" w:cs="Times New Roman"/>
          <w:i/>
          <w:lang w:eastAsia="zh-CN"/>
        </w:rPr>
        <w:t>PROs</w:t>
      </w:r>
      <w:r w:rsidRPr="00784BE2">
        <w:rPr>
          <w:rFonts w:ascii="Times New Roman" w:eastAsiaTheme="minorEastAsia" w:hAnsi="Times New Roman" w:cs="Times New Roman"/>
          <w:lang w:eastAsia="zh-CN"/>
        </w:rPr>
        <w:t>.</w:t>
      </w:r>
      <w:proofErr w:type="spellEnd"/>
    </w:p>
    <w:p w:rsidR="00253A18" w:rsidRPr="00784BE2" w:rsidRDefault="00253A18" w:rsidP="00253A18">
      <w:pPr>
        <w:spacing w:after="0"/>
        <w:rPr>
          <w:rFonts w:ascii="Times New Roman" w:eastAsiaTheme="minorEastAsia" w:hAnsi="Times New Roman" w:cs="Times New Roman"/>
          <w:lang w:eastAsia="zh-CN"/>
        </w:rPr>
      </w:pPr>
      <w:r w:rsidRPr="00784BE2">
        <w:rPr>
          <w:rFonts w:ascii="Times New Roman" w:eastAsiaTheme="minorEastAsia" w:hAnsi="Times New Roman" w:cs="Times New Roman"/>
          <w:lang w:eastAsia="zh-CN"/>
        </w:rPr>
        <w:t>Model 3 assessed association between PedsQL score and</w:t>
      </w:r>
      <w:r w:rsidRPr="00784BE2">
        <w:rPr>
          <w:rFonts w:ascii="Times New Roman" w:eastAsiaTheme="minorEastAsia" w:hAnsi="Times New Roman" w:cs="Times New Roman"/>
          <w:i/>
          <w:lang w:eastAsia="zh-CN"/>
        </w:rPr>
        <w:t xml:space="preserve"> both of the treatment burden </w:t>
      </w:r>
      <w:proofErr w:type="spellStart"/>
      <w:r w:rsidRPr="00784BE2">
        <w:rPr>
          <w:rFonts w:ascii="Times New Roman" w:eastAsiaTheme="minorEastAsia" w:hAnsi="Times New Roman" w:cs="Times New Roman"/>
          <w:i/>
          <w:lang w:eastAsia="zh-CN"/>
        </w:rPr>
        <w:t>PROs</w:t>
      </w:r>
      <w:r w:rsidRPr="00784BE2">
        <w:rPr>
          <w:rFonts w:ascii="Times New Roman" w:eastAsiaTheme="minorEastAsia" w:hAnsi="Times New Roman" w:cs="Times New Roman"/>
          <w:lang w:eastAsia="zh-CN"/>
        </w:rPr>
        <w:t>.</w:t>
      </w:r>
      <w:proofErr w:type="spellEnd"/>
    </w:p>
    <w:p w:rsidR="00253A18" w:rsidRPr="00784BE2" w:rsidRDefault="00253A18" w:rsidP="00253A18">
      <w:pPr>
        <w:spacing w:after="0"/>
        <w:rPr>
          <w:rFonts w:ascii="Times New Roman" w:eastAsiaTheme="minorEastAsia" w:hAnsi="Times New Roman" w:cs="Times New Roman"/>
          <w:lang w:eastAsia="zh-CN"/>
        </w:rPr>
      </w:pPr>
      <w:r w:rsidRPr="00784BE2">
        <w:rPr>
          <w:rFonts w:ascii="Times New Roman" w:eastAsiaTheme="minorEastAsia" w:hAnsi="Times New Roman" w:cs="Times New Roman"/>
          <w:lang w:eastAsia="zh-CN"/>
        </w:rPr>
        <w:t xml:space="preserve">Model 4 included </w:t>
      </w:r>
      <w:r w:rsidRPr="00784BE2">
        <w:rPr>
          <w:rFonts w:ascii="Times New Roman" w:eastAsiaTheme="minorEastAsia" w:hAnsi="Times New Roman" w:cs="Times New Roman"/>
          <w:i/>
          <w:lang w:eastAsia="zh-CN"/>
        </w:rPr>
        <w:t xml:space="preserve">all </w:t>
      </w:r>
      <w:r w:rsidRPr="00784BE2">
        <w:rPr>
          <w:rFonts w:ascii="Times New Roman" w:eastAsiaTheme="minorEastAsia" w:hAnsi="Times New Roman" w:cs="Times New Roman"/>
          <w:lang w:eastAsia="zh-CN"/>
        </w:rPr>
        <w:t xml:space="preserve">PROs simultaneously. </w:t>
      </w:r>
    </w:p>
    <w:p w:rsidR="00253A18" w:rsidRPr="00784BE2" w:rsidRDefault="00253A18" w:rsidP="00253A18">
      <w:pPr>
        <w:spacing w:after="0"/>
        <w:rPr>
          <w:rFonts w:ascii="Times New Roman" w:eastAsiaTheme="minorEastAsia" w:hAnsi="Times New Roman" w:cs="Times New Roman"/>
          <w:lang w:eastAsia="zh-CN"/>
        </w:rPr>
      </w:pPr>
      <w:r w:rsidRPr="00784BE2">
        <w:rPr>
          <w:rFonts w:ascii="Times New Roman" w:eastAsiaTheme="minorEastAsia" w:hAnsi="Times New Roman" w:cs="Times New Roman"/>
          <w:color w:val="231F20"/>
          <w:lang w:eastAsia="zh-CN"/>
        </w:rPr>
        <w:t>†Coefficients represent the change in PedsQL score for a one unit change in the transformed pain interference score (T-score).</w:t>
      </w:r>
    </w:p>
    <w:p w:rsidR="005C73B9" w:rsidRDefault="005C73B9" w:rsidP="003C2B69"/>
    <w:sectPr w:rsidR="005C73B9" w:rsidSect="00337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D02" w:rsidRDefault="00994D02" w:rsidP="00C32CD1">
      <w:pPr>
        <w:spacing w:after="0" w:line="240" w:lineRule="auto"/>
      </w:pPr>
      <w:r>
        <w:separator/>
      </w:r>
    </w:p>
  </w:endnote>
  <w:endnote w:type="continuationSeparator" w:id="0">
    <w:p w:rsidR="00994D02" w:rsidRDefault="00994D02" w:rsidP="00C32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D02" w:rsidRDefault="00994D02" w:rsidP="00C32CD1">
      <w:pPr>
        <w:spacing w:after="0" w:line="240" w:lineRule="auto"/>
      </w:pPr>
      <w:r>
        <w:separator/>
      </w:r>
    </w:p>
  </w:footnote>
  <w:footnote w:type="continuationSeparator" w:id="0">
    <w:p w:rsidR="00994D02" w:rsidRDefault="00994D02" w:rsidP="00C32C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docVars>
    <w:docVar w:name="Total_Editing_Time" w:val="0"/>
  </w:docVars>
  <w:rsids>
    <w:rsidRoot w:val="00253A18"/>
    <w:rsid w:val="00056C4B"/>
    <w:rsid w:val="000573BA"/>
    <w:rsid w:val="00086A0B"/>
    <w:rsid w:val="000A00FF"/>
    <w:rsid w:val="000B0462"/>
    <w:rsid w:val="000B6D00"/>
    <w:rsid w:val="000D6B16"/>
    <w:rsid w:val="00120E39"/>
    <w:rsid w:val="0012516B"/>
    <w:rsid w:val="0013278C"/>
    <w:rsid w:val="00155486"/>
    <w:rsid w:val="00157E49"/>
    <w:rsid w:val="00170050"/>
    <w:rsid w:val="00172872"/>
    <w:rsid w:val="0018409E"/>
    <w:rsid w:val="00184FB2"/>
    <w:rsid w:val="0019314B"/>
    <w:rsid w:val="001975B2"/>
    <w:rsid w:val="001B0D93"/>
    <w:rsid w:val="001B3A85"/>
    <w:rsid w:val="001B7C91"/>
    <w:rsid w:val="001E700B"/>
    <w:rsid w:val="001F57BA"/>
    <w:rsid w:val="002014FB"/>
    <w:rsid w:val="00223A20"/>
    <w:rsid w:val="00223A6D"/>
    <w:rsid w:val="00232B54"/>
    <w:rsid w:val="00241301"/>
    <w:rsid w:val="00253A18"/>
    <w:rsid w:val="002B4329"/>
    <w:rsid w:val="002C7B4E"/>
    <w:rsid w:val="002D3FF7"/>
    <w:rsid w:val="002D483A"/>
    <w:rsid w:val="002E1378"/>
    <w:rsid w:val="002E4102"/>
    <w:rsid w:val="0030628A"/>
    <w:rsid w:val="00337364"/>
    <w:rsid w:val="00381AD8"/>
    <w:rsid w:val="003854C1"/>
    <w:rsid w:val="003A1CBC"/>
    <w:rsid w:val="003A2363"/>
    <w:rsid w:val="003C2B69"/>
    <w:rsid w:val="003D522C"/>
    <w:rsid w:val="003E5B42"/>
    <w:rsid w:val="003F3E21"/>
    <w:rsid w:val="00446D99"/>
    <w:rsid w:val="00450402"/>
    <w:rsid w:val="00481EDF"/>
    <w:rsid w:val="004831BB"/>
    <w:rsid w:val="004C285E"/>
    <w:rsid w:val="0053280D"/>
    <w:rsid w:val="005400D7"/>
    <w:rsid w:val="005559ED"/>
    <w:rsid w:val="00580359"/>
    <w:rsid w:val="005B2B97"/>
    <w:rsid w:val="005C73B9"/>
    <w:rsid w:val="00607982"/>
    <w:rsid w:val="006755FE"/>
    <w:rsid w:val="006B10A1"/>
    <w:rsid w:val="006C38F8"/>
    <w:rsid w:val="006D52DE"/>
    <w:rsid w:val="006E7CFD"/>
    <w:rsid w:val="006F5055"/>
    <w:rsid w:val="00724C66"/>
    <w:rsid w:val="007260F2"/>
    <w:rsid w:val="00733C62"/>
    <w:rsid w:val="007360CE"/>
    <w:rsid w:val="00741103"/>
    <w:rsid w:val="007440EF"/>
    <w:rsid w:val="0075363F"/>
    <w:rsid w:val="00784976"/>
    <w:rsid w:val="007B1BD9"/>
    <w:rsid w:val="007B33CC"/>
    <w:rsid w:val="007C6096"/>
    <w:rsid w:val="007C6AD3"/>
    <w:rsid w:val="007E5233"/>
    <w:rsid w:val="00817EB7"/>
    <w:rsid w:val="00835764"/>
    <w:rsid w:val="008532A9"/>
    <w:rsid w:val="00864B5B"/>
    <w:rsid w:val="008A150C"/>
    <w:rsid w:val="008A574A"/>
    <w:rsid w:val="008D3454"/>
    <w:rsid w:val="008E665B"/>
    <w:rsid w:val="0092108D"/>
    <w:rsid w:val="00994D02"/>
    <w:rsid w:val="009A6D35"/>
    <w:rsid w:val="009D06E8"/>
    <w:rsid w:val="00A06722"/>
    <w:rsid w:val="00A2552F"/>
    <w:rsid w:val="00A258D0"/>
    <w:rsid w:val="00A641A4"/>
    <w:rsid w:val="00A838AF"/>
    <w:rsid w:val="00A97F68"/>
    <w:rsid w:val="00AA0F03"/>
    <w:rsid w:val="00AA2B30"/>
    <w:rsid w:val="00B267CC"/>
    <w:rsid w:val="00B85CA1"/>
    <w:rsid w:val="00BC3DD2"/>
    <w:rsid w:val="00BE5A9C"/>
    <w:rsid w:val="00C32CD1"/>
    <w:rsid w:val="00C53D54"/>
    <w:rsid w:val="00CA6B72"/>
    <w:rsid w:val="00CC5F64"/>
    <w:rsid w:val="00CE1217"/>
    <w:rsid w:val="00CF4916"/>
    <w:rsid w:val="00D01438"/>
    <w:rsid w:val="00D16A82"/>
    <w:rsid w:val="00D25E59"/>
    <w:rsid w:val="00D34FE4"/>
    <w:rsid w:val="00D42D97"/>
    <w:rsid w:val="00D45594"/>
    <w:rsid w:val="00D71F9C"/>
    <w:rsid w:val="00D73DF7"/>
    <w:rsid w:val="00DB7519"/>
    <w:rsid w:val="00DB7826"/>
    <w:rsid w:val="00DD17F3"/>
    <w:rsid w:val="00DD6A3A"/>
    <w:rsid w:val="00DE7081"/>
    <w:rsid w:val="00E1416D"/>
    <w:rsid w:val="00E309B5"/>
    <w:rsid w:val="00E40535"/>
    <w:rsid w:val="00E46B87"/>
    <w:rsid w:val="00E766BB"/>
    <w:rsid w:val="00EB0354"/>
    <w:rsid w:val="00EB583D"/>
    <w:rsid w:val="00EC76BD"/>
    <w:rsid w:val="00EE057F"/>
    <w:rsid w:val="00F13F79"/>
    <w:rsid w:val="00F217FC"/>
    <w:rsid w:val="00F45435"/>
    <w:rsid w:val="00F5412D"/>
    <w:rsid w:val="00F574CD"/>
    <w:rsid w:val="00F92C80"/>
    <w:rsid w:val="00F93848"/>
    <w:rsid w:val="00FA223A"/>
    <w:rsid w:val="00FD4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A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2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CD1"/>
  </w:style>
  <w:style w:type="paragraph" w:styleId="Footer">
    <w:name w:val="footer"/>
    <w:basedOn w:val="Normal"/>
    <w:link w:val="FooterChar"/>
    <w:uiPriority w:val="99"/>
    <w:unhideWhenUsed/>
    <w:rsid w:val="00C32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CD1"/>
  </w:style>
  <w:style w:type="paragraph" w:styleId="BalloonText">
    <w:name w:val="Balloon Text"/>
    <w:basedOn w:val="Normal"/>
    <w:link w:val="BalloonTextChar"/>
    <w:uiPriority w:val="99"/>
    <w:semiHidden/>
    <w:unhideWhenUsed/>
    <w:rsid w:val="00C32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CD1"/>
    <w:rPr>
      <w:rFonts w:ascii="Tahoma" w:hAnsi="Tahoma" w:cs="Tahoma"/>
      <w:sz w:val="16"/>
      <w:szCs w:val="16"/>
    </w:rPr>
  </w:style>
  <w:style w:type="paragraph" w:customStyle="1" w:styleId="MediumShading1-Accent11">
    <w:name w:val="Medium Shading 1 - Accent 11"/>
    <w:uiPriority w:val="99"/>
    <w:rsid w:val="003A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25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E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E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E5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E59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446D99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46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40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3">
    <w:name w:val="Table Grid3"/>
    <w:basedOn w:val="TableNormal"/>
    <w:next w:val="TableGrid"/>
    <w:uiPriority w:val="59"/>
    <w:rsid w:val="005C7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A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2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CD1"/>
  </w:style>
  <w:style w:type="paragraph" w:styleId="Footer">
    <w:name w:val="footer"/>
    <w:basedOn w:val="Normal"/>
    <w:link w:val="FooterChar"/>
    <w:uiPriority w:val="99"/>
    <w:unhideWhenUsed/>
    <w:rsid w:val="00C32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CD1"/>
  </w:style>
  <w:style w:type="paragraph" w:styleId="BalloonText">
    <w:name w:val="Balloon Text"/>
    <w:basedOn w:val="Normal"/>
    <w:link w:val="BalloonTextChar"/>
    <w:uiPriority w:val="99"/>
    <w:semiHidden/>
    <w:unhideWhenUsed/>
    <w:rsid w:val="00C32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CD1"/>
    <w:rPr>
      <w:rFonts w:ascii="Tahoma" w:hAnsi="Tahoma" w:cs="Tahoma"/>
      <w:sz w:val="16"/>
      <w:szCs w:val="16"/>
    </w:rPr>
  </w:style>
  <w:style w:type="paragraph" w:customStyle="1" w:styleId="MediumShading1-Accent11">
    <w:name w:val="Medium Shading 1 - Accent 11"/>
    <w:uiPriority w:val="99"/>
    <w:rsid w:val="003A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25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E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E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E5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E59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446D99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46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0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3">
    <w:name w:val="Table Grid3"/>
    <w:basedOn w:val="TableNormal"/>
    <w:next w:val="TableGrid"/>
    <w:uiPriority w:val="59"/>
    <w:rsid w:val="005C7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1663</Words>
  <Characters>9781</Characters>
  <Application>Microsoft Office Word</Application>
  <DocSecurity>0</DocSecurity>
  <Lines>1086</Lines>
  <Paragraphs>602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Magane, Kara</dc:creator>
  <cp:lastModifiedBy>TBANIGA</cp:lastModifiedBy>
  <cp:revision>3</cp:revision>
  <dcterms:created xsi:type="dcterms:W3CDTF">2017-12-13T00:33:00Z</dcterms:created>
  <dcterms:modified xsi:type="dcterms:W3CDTF">2017-12-18T06:37:00Z</dcterms:modified>
</cp:coreProperties>
</file>