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61"/>
        <w:gridCol w:w="986"/>
        <w:gridCol w:w="2193"/>
        <w:gridCol w:w="373"/>
        <w:gridCol w:w="2513"/>
      </w:tblGrid>
      <w:tr w:rsidR="00F00197" w14:paraId="1BFB0423" w14:textId="77777777" w:rsidTr="001322CD">
        <w:trPr>
          <w:trHeight w:val="280"/>
          <w:tblHeader/>
        </w:trPr>
        <w:tc>
          <w:tcPr>
            <w:tcW w:w="5000" w:type="pct"/>
            <w:gridSpan w:val="5"/>
            <w:shd w:val="clear" w:color="auto" w:fill="FFFFFF" w:themeFill="background1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4B5BCE02" w14:textId="77777777" w:rsidR="00F00197" w:rsidRDefault="00F00197" w:rsidP="001322CD">
            <w:pPr>
              <w:pStyle w:val="Caption"/>
              <w:spacing w:line="276" w:lineRule="auto"/>
              <w:rPr>
                <w:lang w:val="en-US"/>
              </w:rPr>
            </w:pPr>
            <w:bookmarkStart w:id="0" w:name="_Ref137135913"/>
            <w:bookmarkStart w:id="1" w:name="_Toc137573243"/>
            <w:r>
              <w:rPr>
                <w:lang w:val="en-US"/>
              </w:rPr>
              <w:t xml:space="preserve">Table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SEQ Table \* ARABIC </w:instrText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7</w:t>
            </w:r>
            <w:r>
              <w:rPr>
                <w:lang w:val="en-US"/>
              </w:rPr>
              <w:fldChar w:fldCharType="end"/>
            </w:r>
            <w:bookmarkEnd w:id="0"/>
            <w:r>
              <w:rPr>
                <w:lang w:val="en-US"/>
              </w:rPr>
              <w:t>. NAVQ-P total score scale-level test-retest reliability</w:t>
            </w:r>
            <w:bookmarkEnd w:id="1"/>
          </w:p>
        </w:tc>
      </w:tr>
      <w:tr w:rsidR="00F00197" w14:paraId="03EFD059" w14:textId="77777777" w:rsidTr="001322CD">
        <w:trPr>
          <w:trHeight w:val="280"/>
          <w:tblHeader/>
        </w:trPr>
        <w:tc>
          <w:tcPr>
            <w:tcW w:w="1641" w:type="pct"/>
            <w:tcBorders>
              <w:top w:val="single" w:sz="8" w:space="0" w:color="003569"/>
              <w:left w:val="single" w:sz="8" w:space="0" w:color="003569"/>
              <w:bottom w:val="nil"/>
              <w:right w:val="nil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07DA6B4A" w14:textId="77777777" w:rsidR="00F00197" w:rsidRDefault="00F00197" w:rsidP="001322CD">
            <w:pPr>
              <w:rPr>
                <w:lang w:val="en-US"/>
              </w:rPr>
            </w:pPr>
          </w:p>
        </w:tc>
        <w:tc>
          <w:tcPr>
            <w:tcW w:w="1761" w:type="pct"/>
            <w:gridSpan w:val="2"/>
            <w:tcBorders>
              <w:top w:val="single" w:sz="8" w:space="0" w:color="003569"/>
              <w:left w:val="nil"/>
              <w:bottom w:val="nil"/>
              <w:right w:val="nil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6152AEAD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bCs w:val="0"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Primary TRTAP</w:t>
            </w:r>
            <w:r>
              <w:rPr>
                <w:b/>
                <w:bCs w:val="0"/>
                <w:color w:val="FFFFFF" w:themeColor="background1"/>
                <w:lang w:val="en-US"/>
              </w:rPr>
              <w:br/>
              <w:t>(Month 2 - Month 3)</w:t>
            </w:r>
          </w:p>
        </w:tc>
        <w:tc>
          <w:tcPr>
            <w:tcW w:w="1598" w:type="pct"/>
            <w:gridSpan w:val="2"/>
            <w:tcBorders>
              <w:top w:val="single" w:sz="8" w:space="0" w:color="003569"/>
              <w:left w:val="nil"/>
              <w:bottom w:val="nil"/>
              <w:right w:val="single" w:sz="8" w:space="0" w:color="003569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3C0416EA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bCs w:val="0"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Secondary TRTAP</w:t>
            </w:r>
            <w:r>
              <w:rPr>
                <w:b/>
                <w:bCs w:val="0"/>
                <w:color w:val="FFFFFF" w:themeColor="background1"/>
                <w:lang w:val="en-US"/>
              </w:rPr>
              <w:br/>
              <w:t>(Week 2 - Month 1)</w:t>
            </w:r>
          </w:p>
        </w:tc>
      </w:tr>
      <w:tr w:rsidR="00F00197" w14:paraId="28ACA2EE" w14:textId="77777777" w:rsidTr="001322CD">
        <w:trPr>
          <w:trHeight w:val="642"/>
          <w:tblHeader/>
        </w:trPr>
        <w:tc>
          <w:tcPr>
            <w:tcW w:w="1641" w:type="pct"/>
            <w:tcBorders>
              <w:top w:val="nil"/>
              <w:left w:val="single" w:sz="8" w:space="0" w:color="003569"/>
              <w:bottom w:val="single" w:sz="4" w:space="0" w:color="auto"/>
              <w:right w:val="nil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2218A8CC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bCs w:val="0"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Score / Anchor Stability Definition</w:t>
            </w:r>
          </w:p>
        </w:tc>
        <w:tc>
          <w:tcPr>
            <w:tcW w:w="546" w:type="pct"/>
            <w:tcBorders>
              <w:bottom w:val="single" w:sz="4" w:space="0" w:color="auto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27105202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n</w:t>
            </w:r>
          </w:p>
        </w:tc>
        <w:tc>
          <w:tcPr>
            <w:tcW w:w="1215" w:type="pct"/>
            <w:tcBorders>
              <w:bottom w:val="single" w:sz="4" w:space="0" w:color="auto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3826DD89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ICC/Kappa Estimate</w:t>
            </w:r>
            <w:r>
              <w:rPr>
                <w:b/>
                <w:bCs w:val="0"/>
                <w:color w:val="FFFFFF" w:themeColor="background1"/>
                <w:lang w:val="en-US"/>
              </w:rPr>
              <w:br/>
              <w:t>(95% CI)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460D9D32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n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8" w:space="0" w:color="003569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13546B7F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 w:val="0"/>
                <w:color w:val="FFFFFF" w:themeColor="background1"/>
                <w:lang w:val="en-US"/>
              </w:rPr>
              <w:t>ICC/Kappa Estimate</w:t>
            </w:r>
            <w:r>
              <w:rPr>
                <w:b/>
                <w:bCs w:val="0"/>
                <w:color w:val="FFFFFF" w:themeColor="background1"/>
                <w:lang w:val="en-US"/>
              </w:rPr>
              <w:br/>
              <w:t>(95% CI)</w:t>
            </w:r>
          </w:p>
        </w:tc>
      </w:tr>
      <w:tr w:rsidR="00F00197" w14:paraId="702AC501" w14:textId="77777777" w:rsidTr="001322CD">
        <w:trPr>
          <w:trHeight w:val="2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01F35C5B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NAVQ-P Total Score</w:t>
            </w:r>
          </w:p>
        </w:tc>
      </w:tr>
      <w:tr w:rsidR="00F00197" w14:paraId="6D849F30" w14:textId="77777777" w:rsidTr="001322CD">
        <w:trPr>
          <w:trHeight w:val="280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33D4AF2D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PGI-S (No change)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01512CD7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136</w:t>
            </w:r>
          </w:p>
        </w:tc>
        <w:tc>
          <w:tcPr>
            <w:tcW w:w="121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2231DF44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0.906 (0.866, 0.934)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6E4EFF28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133</w:t>
            </w: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679F837F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0.926 (0.897, 0.947)</w:t>
            </w:r>
          </w:p>
        </w:tc>
      </w:tr>
      <w:tr w:rsidR="00F00197" w14:paraId="21D67B16" w14:textId="77777777" w:rsidTr="001322CD">
        <w:trPr>
          <w:trHeight w:val="280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13DBDE8A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DCNVA (&lt;0.14 </w:t>
            </w:r>
            <w:proofErr w:type="spellStart"/>
            <w:r>
              <w:rPr>
                <w:lang w:val="en-US"/>
              </w:rPr>
              <w:t>logMAR</w:t>
            </w:r>
            <w:proofErr w:type="spellEnd"/>
            <w:r>
              <w:rPr>
                <w:lang w:val="en-US"/>
              </w:rPr>
              <w:t xml:space="preserve"> change)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74F50F66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181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785CAFE4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0.923 (0.895, 0.943)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16D4B724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183</w:t>
            </w: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single" w:sz="8" w:space="0" w:color="003569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7982968C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0.898 (0.865, 0.923)</w:t>
            </w:r>
          </w:p>
        </w:tc>
      </w:tr>
      <w:tr w:rsidR="00F00197" w14:paraId="02FD553B" w14:textId="77777777" w:rsidTr="001322CD">
        <w:trPr>
          <w:trHeight w:val="28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8" w:space="0" w:color="003569"/>
              <w:right w:val="single" w:sz="4" w:space="0" w:color="auto"/>
            </w:tcBorders>
            <w:shd w:val="clear" w:color="auto" w:fill="EDEDED" w:themeFill="accent3" w:themeFillTint="33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C3CC925" w14:textId="77777777" w:rsidR="00F00197" w:rsidRDefault="00F00197" w:rsidP="001322CD">
            <w:pPr>
              <w:pStyle w:val="Table-Normal"/>
              <w:spacing w:line="276" w:lineRule="auto"/>
              <w:rPr>
                <w:lang w:val="en-US"/>
              </w:rPr>
            </w:pPr>
            <w:r w:rsidRPr="00103BBB">
              <w:t>NVCI</w:t>
            </w:r>
          </w:p>
        </w:tc>
      </w:tr>
      <w:tr w:rsidR="00F00197" w14:paraId="2B9F000E" w14:textId="77777777" w:rsidTr="001322CD">
        <w:trPr>
          <w:trHeight w:val="28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4BBB622B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 w:rsidRPr="00103BBB">
              <w:t xml:space="preserve">  PGI-S (No change)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6EB1EC21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139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ABC9D08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0.753 (0.682, 0.824)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70E11D3C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138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003569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072B8521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0.685 (0.600, 0.771)</w:t>
            </w:r>
          </w:p>
        </w:tc>
      </w:tr>
      <w:tr w:rsidR="00F00197" w14:paraId="00CCDDA4" w14:textId="77777777" w:rsidTr="001322CD">
        <w:trPr>
          <w:trHeight w:val="28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0DD1F45A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 w:rsidRPr="00103BBB">
              <w:t xml:space="preserve">  DCNVA (&lt;0.14 </w:t>
            </w:r>
            <w:proofErr w:type="spellStart"/>
            <w:r w:rsidRPr="00103BBB">
              <w:t>logMAR</w:t>
            </w:r>
            <w:proofErr w:type="spellEnd"/>
            <w:r w:rsidRPr="00103BBB">
              <w:t xml:space="preserve"> change)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4A97DD50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189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F121DE1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0.751 (0.687, 0.815)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5111615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192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003569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6B88F932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0.642 (0.565, 0.718)</w:t>
            </w:r>
          </w:p>
        </w:tc>
      </w:tr>
      <w:tr w:rsidR="00F00197" w14:paraId="43CCF342" w14:textId="77777777" w:rsidTr="001322CD">
        <w:trPr>
          <w:trHeight w:val="28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8" w:space="0" w:color="003569"/>
              <w:right w:val="single" w:sz="4" w:space="0" w:color="auto"/>
            </w:tcBorders>
            <w:shd w:val="clear" w:color="auto" w:fill="EDEDED" w:themeFill="accent3" w:themeFillTint="33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4E5F9466" w14:textId="77777777" w:rsidR="00F00197" w:rsidRDefault="00F00197" w:rsidP="001322CD">
            <w:pPr>
              <w:pStyle w:val="Table-Normal"/>
              <w:spacing w:line="276" w:lineRule="auto"/>
              <w:rPr>
                <w:lang w:val="en-US"/>
              </w:rPr>
            </w:pPr>
            <w:r w:rsidRPr="00103BBB">
              <w:t>NVS</w:t>
            </w:r>
          </w:p>
        </w:tc>
      </w:tr>
      <w:tr w:rsidR="00F00197" w14:paraId="50E67AC7" w14:textId="77777777" w:rsidTr="001322CD">
        <w:trPr>
          <w:trHeight w:val="28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289D06FE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 w:rsidRPr="00103BBB">
              <w:t xml:space="preserve">  PGI-S (No change)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2B21F3D9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139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5094A0CD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0.653 (0.568, 0.738)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003569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70E9B18F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138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003569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504DBA07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0.492 (0.377, 0.607)</w:t>
            </w:r>
          </w:p>
        </w:tc>
      </w:tr>
      <w:tr w:rsidR="00F00197" w14:paraId="59A66EC2" w14:textId="77777777" w:rsidTr="001322CD">
        <w:trPr>
          <w:trHeight w:val="28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5011523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lang w:val="en-US"/>
              </w:rPr>
            </w:pPr>
            <w:r w:rsidRPr="00103BBB">
              <w:t xml:space="preserve">  DCNVA (&lt;0.14 </w:t>
            </w:r>
            <w:proofErr w:type="spellStart"/>
            <w:r w:rsidRPr="00103BBB">
              <w:t>logMAR</w:t>
            </w:r>
            <w:proofErr w:type="spellEnd"/>
            <w:r w:rsidRPr="00103BBB">
              <w:t xml:space="preserve"> change)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0594A853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189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30A2C01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0.655 (0.582, 0.729)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2846F084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192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9" w:type="dxa"/>
              <w:bottom w:w="0" w:type="dxa"/>
              <w:right w:w="19" w:type="dxa"/>
            </w:tcMar>
          </w:tcPr>
          <w:p w14:paraId="4485BCBD" w14:textId="77777777" w:rsidR="00F00197" w:rsidRDefault="00F00197" w:rsidP="001322CD">
            <w:pPr>
              <w:pStyle w:val="Table-Normal"/>
              <w:spacing w:line="276" w:lineRule="auto"/>
              <w:jc w:val="center"/>
              <w:rPr>
                <w:lang w:val="en-US"/>
              </w:rPr>
            </w:pPr>
            <w:r w:rsidRPr="00103BBB">
              <w:t>0.487 (0.396, 0.578)</w:t>
            </w:r>
          </w:p>
        </w:tc>
      </w:tr>
      <w:tr w:rsidR="00F00197" w14:paraId="083DE397" w14:textId="77777777" w:rsidTr="001322CD">
        <w:trPr>
          <w:trHeight w:val="779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" w:type="dxa"/>
              <w:bottom w:w="0" w:type="dxa"/>
              <w:right w:w="10" w:type="dxa"/>
            </w:tcMar>
            <w:hideMark/>
          </w:tcPr>
          <w:p w14:paraId="60F3E8FC" w14:textId="77777777" w:rsidR="00F00197" w:rsidRDefault="00F00197" w:rsidP="001322CD">
            <w:pPr>
              <w:pStyle w:val="Table-Normal"/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CI: Confidence Interval; ICC: Intraclass correlation coefficient; calculated using an</w:t>
            </w:r>
            <w:r w:rsidRPr="00D17E79">
              <w:rPr>
                <w:sz w:val="18"/>
                <w:szCs w:val="18"/>
                <w:lang w:val="en-US"/>
              </w:rPr>
              <w:t xml:space="preserve"> ICC [2,1]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D17E79">
              <w:rPr>
                <w:sz w:val="18"/>
                <w:szCs w:val="18"/>
                <w:lang w:val="en-US"/>
              </w:rPr>
              <w:t>single measurement, absolute agreement, two-way mixed effects model</w:t>
            </w:r>
            <w:r>
              <w:rPr>
                <w:sz w:val="18"/>
                <w:szCs w:val="18"/>
                <w:lang w:val="en-US"/>
              </w:rPr>
              <w:t xml:space="preserve"> (NAVQ-P total score only); Kappa coefficients represent Weighted Kappa coefficients (NVCI and NVS only). TRTAP: Test-Retest Analysis Population. Primary TRTAP is the primary test-retest analysis population and consists of participants who are determined as stable between Month 2 and Month 3 (4 weeks apart) according to specified anchor definitions. Secondary TRTAP is the secondary test-retest analysis population and consists of participants who are determined as stable between Week 2 and Month 1 (2 weeks apart) according to specified anchor definitions; n: number of participants.</w:t>
            </w:r>
          </w:p>
        </w:tc>
      </w:tr>
    </w:tbl>
    <w:p w14:paraId="03280EFE" w14:textId="77777777" w:rsidR="003F7389" w:rsidRDefault="003F7389"/>
    <w:sectPr w:rsidR="003F7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197"/>
    <w:rsid w:val="003F7389"/>
    <w:rsid w:val="00E6588D"/>
    <w:rsid w:val="00F0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E0C0A"/>
  <w15:chartTrackingRefBased/>
  <w15:docId w15:val="{E7F42684-FFEE-46C9-B7FC-3953B184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197"/>
    <w:pPr>
      <w:spacing w:before="120" w:after="120" w:line="276" w:lineRule="auto"/>
      <w:jc w:val="both"/>
    </w:pPr>
    <w:rPr>
      <w:rFonts w:eastAsiaTheme="minorEastAsia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F00197"/>
    <w:pPr>
      <w:keepNext/>
      <w:spacing w:before="0" w:after="0" w:line="240" w:lineRule="auto"/>
    </w:pPr>
    <w:rPr>
      <w:b/>
      <w:bCs/>
    </w:rPr>
  </w:style>
  <w:style w:type="paragraph" w:customStyle="1" w:styleId="Table-Normal">
    <w:name w:val="Table - Normal"/>
    <w:basedOn w:val="Normal"/>
    <w:qFormat/>
    <w:rsid w:val="00F00197"/>
    <w:pPr>
      <w:spacing w:before="0" w:after="0" w:line="240" w:lineRule="auto"/>
      <w:jc w:val="left"/>
    </w:pPr>
    <w:rPr>
      <w:bCs/>
    </w:rPr>
  </w:style>
  <w:style w:type="character" w:styleId="CommentReference">
    <w:name w:val="annotation reference"/>
    <w:basedOn w:val="DefaultParagraphFont"/>
    <w:uiPriority w:val="99"/>
    <w:unhideWhenUsed/>
    <w:rsid w:val="00F001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01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0197"/>
    <w:rPr>
      <w:rFonts w:eastAsiaTheme="minorEastAsia"/>
      <w:color w:val="000000" w:themeColor="text1"/>
      <w:sz w:val="20"/>
      <w:szCs w:val="20"/>
    </w:rPr>
  </w:style>
  <w:style w:type="character" w:customStyle="1" w:styleId="CaptionChar">
    <w:name w:val="Caption Char"/>
    <w:link w:val="Caption"/>
    <w:uiPriority w:val="35"/>
    <w:locked/>
    <w:rsid w:val="00F00197"/>
    <w:rPr>
      <w:rFonts w:eastAsiaTheme="minorEastAsia"/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Pascoe (Adelphi Values)</dc:creator>
  <cp:keywords/>
  <dc:description/>
  <cp:lastModifiedBy>Ben Pascoe (Adelphi Values)</cp:lastModifiedBy>
  <cp:revision>1</cp:revision>
  <dcterms:created xsi:type="dcterms:W3CDTF">2023-09-28T16:23:00Z</dcterms:created>
  <dcterms:modified xsi:type="dcterms:W3CDTF">2023-09-28T16:26:00Z</dcterms:modified>
</cp:coreProperties>
</file>