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35"/>
        <w:gridCol w:w="2321"/>
        <w:gridCol w:w="2435"/>
        <w:gridCol w:w="2435"/>
      </w:tblGrid>
      <w:tr w:rsidR="00F16DEA" w14:paraId="60DB897F" w14:textId="77777777" w:rsidTr="001322CD">
        <w:trPr>
          <w:trHeight w:val="65"/>
          <w:tblHeader/>
        </w:trPr>
        <w:tc>
          <w:tcPr>
            <w:tcW w:w="5000" w:type="pct"/>
            <w:gridSpan w:val="4"/>
            <w:tcBorders>
              <w:top w:val="nil"/>
              <w:bottom w:val="single" w:sz="4" w:space="0" w:color="FFFFFF" w:themeColor="background1"/>
            </w:tcBorders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bottom"/>
          </w:tcPr>
          <w:p w14:paraId="6AFC01BC" w14:textId="77777777" w:rsidR="00F16DEA" w:rsidRPr="00881EEA" w:rsidRDefault="00F16DEA" w:rsidP="001322CD">
            <w:pPr>
              <w:pStyle w:val="Caption"/>
            </w:pPr>
            <w:bookmarkStart w:id="0" w:name="_Ref136548377"/>
            <w:bookmarkStart w:id="1" w:name="_Toc136606814"/>
            <w:bookmarkStart w:id="2" w:name="_Toc137573251"/>
            <w:r w:rsidRPr="00450A94">
              <w:t xml:space="preserve">Table </w:t>
            </w:r>
            <w:r w:rsidRPr="00450A94">
              <w:fldChar w:fldCharType="begin"/>
            </w:r>
            <w:r w:rsidRPr="00450A94">
              <w:instrText xml:space="preserve"> SEQ Table \* ARABIC </w:instrText>
            </w:r>
            <w:r w:rsidRPr="00450A94">
              <w:fldChar w:fldCharType="separate"/>
            </w:r>
            <w:r>
              <w:rPr>
                <w:noProof/>
              </w:rPr>
              <w:t>12</w:t>
            </w:r>
            <w:r w:rsidRPr="00450A94">
              <w:fldChar w:fldCharType="end"/>
            </w:r>
            <w:bookmarkEnd w:id="0"/>
            <w:r w:rsidRPr="00450A94">
              <w:t>. Distribution-based responder definitions for NAVQ-P total score</w:t>
            </w:r>
            <w:r>
              <w:t>, NVCI and NVS</w:t>
            </w:r>
            <w:r w:rsidRPr="00450A94">
              <w:t xml:space="preserve"> using </w:t>
            </w:r>
            <w:r>
              <w:t>Baseline</w:t>
            </w:r>
            <w:r w:rsidRPr="00450A94">
              <w:t xml:space="preserve"> scores</w:t>
            </w:r>
            <w:bookmarkEnd w:id="1"/>
            <w:bookmarkEnd w:id="2"/>
          </w:p>
        </w:tc>
      </w:tr>
      <w:tr w:rsidR="00F16DEA" w:rsidRPr="000543AA" w14:paraId="00A954FF" w14:textId="77777777" w:rsidTr="001322CD">
        <w:trPr>
          <w:trHeight w:val="65"/>
          <w:tblHeader/>
        </w:trPr>
        <w:tc>
          <w:tcPr>
            <w:tcW w:w="1016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3569"/>
            <w:tcMar>
              <w:top w:w="15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14:paraId="6136C53F" w14:textId="77777777" w:rsidR="00F16DEA" w:rsidRPr="000543AA" w:rsidRDefault="00F16DEA" w:rsidP="001322CD">
            <w:pPr>
              <w:spacing w:before="19" w:after="19" w:line="256" w:lineRule="auto"/>
              <w:jc w:val="left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4"/>
                <w:lang w:eastAsia="en-GB"/>
              </w:rPr>
            </w:pPr>
            <w:r w:rsidRPr="000543AA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4"/>
                <w:lang w:eastAsia="en-GB"/>
              </w:rPr>
              <w:t>Target Score</w:t>
            </w:r>
          </w:p>
        </w:tc>
        <w:tc>
          <w:tcPr>
            <w:tcW w:w="3984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3569"/>
            <w:tcMar>
              <w:top w:w="15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14:paraId="0D39E23F" w14:textId="77777777" w:rsidR="00F16DEA" w:rsidRPr="000543AA" w:rsidRDefault="00F16DEA" w:rsidP="001322CD">
            <w:pPr>
              <w:spacing w:before="19" w:after="19" w:line="256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4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4"/>
                <w:lang w:eastAsia="en-GB"/>
              </w:rPr>
              <w:t>Randomized population (N=235)</w:t>
            </w:r>
          </w:p>
        </w:tc>
      </w:tr>
      <w:tr w:rsidR="00F16DEA" w:rsidRPr="000543AA" w14:paraId="715207E6" w14:textId="77777777" w:rsidTr="001322CD">
        <w:trPr>
          <w:trHeight w:val="65"/>
          <w:tblHeader/>
        </w:trPr>
        <w:tc>
          <w:tcPr>
            <w:tcW w:w="1016" w:type="pct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3569"/>
            <w:vAlign w:val="bottom"/>
            <w:hideMark/>
          </w:tcPr>
          <w:p w14:paraId="7B2E6066" w14:textId="77777777" w:rsidR="00F16DEA" w:rsidRPr="000543AA" w:rsidRDefault="00F16DEA" w:rsidP="001322CD">
            <w:pPr>
              <w:spacing w:before="19" w:after="19" w:line="256" w:lineRule="auto"/>
              <w:jc w:val="left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4"/>
                <w:lang w:eastAsia="en-GB"/>
              </w:rPr>
            </w:pPr>
          </w:p>
        </w:tc>
        <w:tc>
          <w:tcPr>
            <w:tcW w:w="128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3569"/>
            <w:tcMar>
              <w:top w:w="15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14:paraId="3D3517E0" w14:textId="77777777" w:rsidR="00F16DEA" w:rsidRPr="000543AA" w:rsidRDefault="00F16DEA" w:rsidP="001322CD">
            <w:pPr>
              <w:spacing w:before="19" w:after="19" w:line="256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4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4"/>
                <w:lang w:eastAsia="en-GB"/>
              </w:rPr>
              <w:t>n</w:t>
            </w:r>
          </w:p>
        </w:tc>
        <w:tc>
          <w:tcPr>
            <w:tcW w:w="1349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3569"/>
            <w:tcMar>
              <w:top w:w="15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14:paraId="38E1C444" w14:textId="77777777" w:rsidR="00F16DEA" w:rsidRPr="000543AA" w:rsidRDefault="00F16DEA" w:rsidP="001322CD">
            <w:pPr>
              <w:spacing w:before="19" w:after="19" w:line="256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4"/>
                <w:lang w:eastAsia="en-GB"/>
              </w:rPr>
            </w:pPr>
            <w:r w:rsidRPr="00E52603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4"/>
                <w:lang w:eastAsia="en-GB"/>
              </w:rPr>
              <w:t>0.5 SD</w:t>
            </w:r>
          </w:p>
        </w:tc>
        <w:tc>
          <w:tcPr>
            <w:tcW w:w="1349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3569"/>
            <w:tcMar>
              <w:top w:w="15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14:paraId="48334104" w14:textId="77777777" w:rsidR="00F16DEA" w:rsidRPr="000543AA" w:rsidRDefault="00F16DEA" w:rsidP="001322CD">
            <w:pPr>
              <w:spacing w:before="19" w:after="19" w:line="256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4"/>
                <w:lang w:eastAsia="en-GB"/>
              </w:rPr>
            </w:pPr>
            <w:r w:rsidRPr="00E52603">
              <w:rPr>
                <w:rFonts w:ascii="Calibri" w:eastAsia="Times New Roman" w:hAnsi="Calibri" w:cs="Calibri"/>
                <w:b/>
                <w:bCs/>
                <w:color w:val="FFFFFF" w:themeColor="background1"/>
                <w:kern w:val="24"/>
                <w:lang w:eastAsia="en-GB"/>
              </w:rPr>
              <w:t>SEM</w:t>
            </w:r>
          </w:p>
        </w:tc>
      </w:tr>
      <w:tr w:rsidR="00F16DEA" w:rsidRPr="000543AA" w14:paraId="7067E336" w14:textId="77777777" w:rsidTr="001322CD">
        <w:trPr>
          <w:trHeight w:val="250"/>
        </w:trPr>
        <w:tc>
          <w:tcPr>
            <w:tcW w:w="1016" w:type="pct"/>
            <w:tcBorders>
              <w:top w:val="single" w:sz="4" w:space="0" w:color="FFFFFF" w:themeColor="background1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bottom"/>
            <w:hideMark/>
          </w:tcPr>
          <w:p w14:paraId="7305ED66" w14:textId="77777777" w:rsidR="00F16DEA" w:rsidRPr="000543AA" w:rsidRDefault="00F16DEA" w:rsidP="001322CD">
            <w:pPr>
              <w:spacing w:before="19" w:after="19" w:line="256" w:lineRule="auto"/>
              <w:jc w:val="left"/>
              <w:rPr>
                <w:rFonts w:ascii="Calibri" w:eastAsia="Times New Roman" w:hAnsi="Calibri" w:cs="Calibri"/>
                <w:kern w:val="24"/>
                <w:lang w:eastAsia="en-GB"/>
              </w:rPr>
            </w:pPr>
            <w:r w:rsidRPr="000543AA">
              <w:rPr>
                <w:rFonts w:ascii="Calibri" w:eastAsia="Times New Roman" w:hAnsi="Calibri" w:cs="Calibri"/>
                <w:kern w:val="24"/>
                <w:lang w:eastAsia="en-GB"/>
              </w:rPr>
              <w:t xml:space="preserve">NAVQ-P </w:t>
            </w:r>
            <w:r>
              <w:rPr>
                <w:rFonts w:ascii="Calibri" w:eastAsia="Times New Roman" w:hAnsi="Calibri" w:cs="Calibri"/>
                <w:kern w:val="24"/>
                <w:lang w:eastAsia="en-GB"/>
              </w:rPr>
              <w:t>t</w:t>
            </w:r>
            <w:r w:rsidRPr="000543AA">
              <w:rPr>
                <w:rFonts w:ascii="Calibri" w:eastAsia="Times New Roman" w:hAnsi="Calibri" w:cs="Calibri"/>
                <w:kern w:val="24"/>
                <w:lang w:eastAsia="en-GB"/>
              </w:rPr>
              <w:t>otal</w:t>
            </w:r>
            <w:r>
              <w:rPr>
                <w:rFonts w:ascii="Calibri" w:eastAsia="Times New Roman" w:hAnsi="Calibri" w:cs="Calibri"/>
                <w:kern w:val="24"/>
                <w:lang w:eastAsia="en-GB"/>
              </w:rPr>
              <w:t xml:space="preserve"> score</w:t>
            </w:r>
          </w:p>
        </w:tc>
        <w:tc>
          <w:tcPr>
            <w:tcW w:w="1286" w:type="pct"/>
            <w:tcBorders>
              <w:top w:val="single" w:sz="4" w:space="0" w:color="FFFFFF" w:themeColor="background1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hideMark/>
          </w:tcPr>
          <w:p w14:paraId="45716328" w14:textId="77777777" w:rsidR="00F16DEA" w:rsidRPr="000543AA" w:rsidRDefault="00F16DEA" w:rsidP="001322CD">
            <w:pPr>
              <w:spacing w:before="19" w:after="19" w:line="256" w:lineRule="auto"/>
              <w:jc w:val="center"/>
              <w:rPr>
                <w:rFonts w:ascii="Calibri" w:eastAsia="Times New Roman" w:hAnsi="Calibri" w:cs="Calibri"/>
                <w:kern w:val="24"/>
                <w:lang w:eastAsia="en-GB"/>
              </w:rPr>
            </w:pPr>
            <w:r>
              <w:rPr>
                <w:rFonts w:ascii="Calibri" w:eastAsia="Times New Roman" w:hAnsi="Calibri" w:cs="Calibri"/>
                <w:kern w:val="24"/>
                <w:lang w:eastAsia="en-GB"/>
              </w:rPr>
              <w:t>229</w:t>
            </w:r>
          </w:p>
        </w:tc>
        <w:tc>
          <w:tcPr>
            <w:tcW w:w="1349" w:type="pct"/>
            <w:tcBorders>
              <w:top w:val="single" w:sz="4" w:space="0" w:color="FFFFFF" w:themeColor="background1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hideMark/>
          </w:tcPr>
          <w:p w14:paraId="29F5CE2C" w14:textId="77777777" w:rsidR="00F16DEA" w:rsidRPr="000543AA" w:rsidRDefault="00F16DEA" w:rsidP="001322CD">
            <w:pPr>
              <w:spacing w:before="19" w:after="19" w:line="256" w:lineRule="auto"/>
              <w:jc w:val="center"/>
              <w:rPr>
                <w:rFonts w:ascii="Calibri" w:eastAsia="Times New Roman" w:hAnsi="Calibri" w:cs="Calibri"/>
                <w:kern w:val="24"/>
                <w:lang w:eastAsia="en-GB"/>
              </w:rPr>
            </w:pPr>
            <w:r w:rsidRPr="00E52603">
              <w:rPr>
                <w:rFonts w:ascii="Calibri" w:eastAsia="Times New Roman" w:hAnsi="Calibri" w:cs="Calibri"/>
                <w:kern w:val="24"/>
                <w:lang w:eastAsia="en-GB"/>
              </w:rPr>
              <w:t>4.842</w:t>
            </w:r>
          </w:p>
        </w:tc>
        <w:tc>
          <w:tcPr>
            <w:tcW w:w="1349" w:type="pct"/>
            <w:tcBorders>
              <w:top w:val="single" w:sz="4" w:space="0" w:color="FFFFFF" w:themeColor="background1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hideMark/>
          </w:tcPr>
          <w:p w14:paraId="55F34340" w14:textId="77777777" w:rsidR="00F16DEA" w:rsidRPr="000543AA" w:rsidRDefault="00F16DEA" w:rsidP="001322CD">
            <w:pPr>
              <w:spacing w:before="19" w:after="19" w:line="256" w:lineRule="auto"/>
              <w:jc w:val="center"/>
              <w:rPr>
                <w:rFonts w:ascii="Calibri" w:eastAsia="Times New Roman" w:hAnsi="Calibri" w:cs="Calibri"/>
                <w:kern w:val="24"/>
                <w:lang w:eastAsia="en-GB"/>
              </w:rPr>
            </w:pPr>
            <w:r w:rsidRPr="00E52603">
              <w:rPr>
                <w:rFonts w:ascii="Calibri" w:eastAsia="Times New Roman" w:hAnsi="Calibri" w:cs="Calibri"/>
                <w:kern w:val="24"/>
                <w:lang w:eastAsia="en-GB"/>
              </w:rPr>
              <w:t>1.936</w:t>
            </w:r>
          </w:p>
        </w:tc>
      </w:tr>
      <w:tr w:rsidR="00F16DEA" w:rsidRPr="000543AA" w14:paraId="5B9DB26E" w14:textId="77777777" w:rsidTr="001322CD">
        <w:trPr>
          <w:trHeight w:val="250"/>
        </w:trPr>
        <w:tc>
          <w:tcPr>
            <w:tcW w:w="1016" w:type="pct"/>
            <w:tcBorders>
              <w:top w:val="single" w:sz="4" w:space="0" w:color="FFFFFF" w:themeColor="background1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bottom"/>
          </w:tcPr>
          <w:p w14:paraId="5C847D36" w14:textId="77777777" w:rsidR="00F16DEA" w:rsidRDefault="00F16DEA" w:rsidP="001322CD">
            <w:pPr>
              <w:spacing w:before="19" w:after="19" w:line="256" w:lineRule="auto"/>
              <w:jc w:val="left"/>
              <w:rPr>
                <w:rFonts w:ascii="Calibri" w:eastAsia="Times New Roman" w:hAnsi="Calibri" w:cs="Calibri"/>
                <w:kern w:val="24"/>
                <w:lang w:eastAsia="en-GB"/>
              </w:rPr>
            </w:pPr>
            <w:r>
              <w:rPr>
                <w:rFonts w:ascii="Calibri" w:eastAsia="Times New Roman" w:hAnsi="Calibri" w:cs="Calibri"/>
                <w:kern w:val="24"/>
                <w:lang w:eastAsia="en-GB"/>
              </w:rPr>
              <w:t>NVCI</w:t>
            </w:r>
          </w:p>
        </w:tc>
        <w:tc>
          <w:tcPr>
            <w:tcW w:w="1286" w:type="pct"/>
            <w:tcBorders>
              <w:top w:val="single" w:sz="4" w:space="0" w:color="FFFFFF" w:themeColor="background1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</w:tcPr>
          <w:p w14:paraId="61C45E5A" w14:textId="77777777" w:rsidR="00F16DEA" w:rsidRDefault="00F16DEA" w:rsidP="001322CD">
            <w:pPr>
              <w:spacing w:before="19" w:after="19" w:line="256" w:lineRule="auto"/>
              <w:jc w:val="center"/>
              <w:rPr>
                <w:rFonts w:ascii="Calibri" w:eastAsia="Times New Roman" w:hAnsi="Calibri" w:cs="Calibri"/>
                <w:kern w:val="24"/>
                <w:lang w:eastAsia="en-GB"/>
              </w:rPr>
            </w:pPr>
            <w:r>
              <w:rPr>
                <w:rFonts w:ascii="Calibri" w:eastAsia="Times New Roman" w:hAnsi="Calibri" w:cs="Calibri"/>
                <w:kern w:val="24"/>
                <w:lang w:eastAsia="en-GB"/>
              </w:rPr>
              <w:t>234</w:t>
            </w:r>
          </w:p>
        </w:tc>
        <w:tc>
          <w:tcPr>
            <w:tcW w:w="1349" w:type="pct"/>
            <w:tcBorders>
              <w:top w:val="single" w:sz="4" w:space="0" w:color="FFFFFF" w:themeColor="background1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</w:tcPr>
          <w:p w14:paraId="45648573" w14:textId="77777777" w:rsidR="00F16DEA" w:rsidRPr="00E52603" w:rsidRDefault="00F16DEA" w:rsidP="001322CD">
            <w:pPr>
              <w:spacing w:before="19" w:after="19" w:line="256" w:lineRule="auto"/>
              <w:jc w:val="center"/>
              <w:rPr>
                <w:rFonts w:ascii="Calibri" w:eastAsia="Times New Roman" w:hAnsi="Calibri" w:cs="Calibri"/>
                <w:kern w:val="24"/>
                <w:lang w:eastAsia="en-GB"/>
              </w:rPr>
            </w:pPr>
            <w:r w:rsidRPr="00F04199">
              <w:rPr>
                <w:rFonts w:ascii="Calibri" w:eastAsia="Times New Roman" w:hAnsi="Calibri" w:cs="Calibri"/>
                <w:kern w:val="24"/>
                <w:lang w:eastAsia="en-GB"/>
              </w:rPr>
              <w:t>0.500</w:t>
            </w:r>
          </w:p>
        </w:tc>
        <w:tc>
          <w:tcPr>
            <w:tcW w:w="1349" w:type="pct"/>
            <w:tcBorders>
              <w:top w:val="single" w:sz="4" w:space="0" w:color="FFFFFF" w:themeColor="background1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</w:tcPr>
          <w:p w14:paraId="3C60760D" w14:textId="77777777" w:rsidR="00F16DEA" w:rsidRPr="00E52603" w:rsidRDefault="00F16DEA" w:rsidP="001322CD">
            <w:pPr>
              <w:spacing w:before="19" w:after="19" w:line="256" w:lineRule="auto"/>
              <w:jc w:val="center"/>
              <w:rPr>
                <w:rFonts w:ascii="Calibri" w:eastAsia="Times New Roman" w:hAnsi="Calibri" w:cs="Calibri"/>
                <w:kern w:val="24"/>
                <w:lang w:eastAsia="en-GB"/>
              </w:rPr>
            </w:pPr>
            <w:r>
              <w:rPr>
                <w:rFonts w:ascii="Calibri" w:eastAsia="Times New Roman" w:hAnsi="Calibri" w:cs="Calibri"/>
                <w:kern w:val="24"/>
                <w:lang w:eastAsia="en-GB"/>
              </w:rPr>
              <w:t>-</w:t>
            </w:r>
          </w:p>
        </w:tc>
      </w:tr>
      <w:tr w:rsidR="00F16DEA" w:rsidRPr="000543AA" w14:paraId="2768ED71" w14:textId="77777777" w:rsidTr="001322CD">
        <w:trPr>
          <w:trHeight w:val="250"/>
        </w:trPr>
        <w:tc>
          <w:tcPr>
            <w:tcW w:w="1016" w:type="pct"/>
            <w:tcBorders>
              <w:top w:val="single" w:sz="4" w:space="0" w:color="FFFFFF" w:themeColor="background1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bottom"/>
          </w:tcPr>
          <w:p w14:paraId="4BD2FA68" w14:textId="77777777" w:rsidR="00F16DEA" w:rsidRPr="000543AA" w:rsidRDefault="00F16DEA" w:rsidP="001322CD">
            <w:pPr>
              <w:spacing w:before="19" w:after="19" w:line="256" w:lineRule="auto"/>
              <w:jc w:val="left"/>
              <w:rPr>
                <w:rFonts w:ascii="Calibri" w:eastAsia="Times New Roman" w:hAnsi="Calibri" w:cs="Calibri"/>
                <w:kern w:val="24"/>
                <w:lang w:eastAsia="en-GB"/>
              </w:rPr>
            </w:pPr>
            <w:r>
              <w:rPr>
                <w:rFonts w:ascii="Calibri" w:eastAsia="Times New Roman" w:hAnsi="Calibri" w:cs="Calibri"/>
                <w:kern w:val="24"/>
                <w:lang w:eastAsia="en-GB"/>
              </w:rPr>
              <w:t>NVS</w:t>
            </w:r>
          </w:p>
        </w:tc>
        <w:tc>
          <w:tcPr>
            <w:tcW w:w="1286" w:type="pct"/>
            <w:tcBorders>
              <w:top w:val="single" w:sz="4" w:space="0" w:color="FFFFFF" w:themeColor="background1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</w:tcPr>
          <w:p w14:paraId="77DD3674" w14:textId="77777777" w:rsidR="00F16DEA" w:rsidRDefault="00F16DEA" w:rsidP="001322CD">
            <w:pPr>
              <w:spacing w:before="19" w:after="19" w:line="256" w:lineRule="auto"/>
              <w:jc w:val="center"/>
              <w:rPr>
                <w:rFonts w:ascii="Calibri" w:eastAsia="Times New Roman" w:hAnsi="Calibri" w:cs="Calibri"/>
                <w:kern w:val="24"/>
                <w:lang w:eastAsia="en-GB"/>
              </w:rPr>
            </w:pPr>
            <w:r>
              <w:rPr>
                <w:rFonts w:ascii="Calibri" w:eastAsia="Times New Roman" w:hAnsi="Calibri" w:cs="Calibri"/>
                <w:kern w:val="24"/>
                <w:lang w:eastAsia="en-GB"/>
              </w:rPr>
              <w:t>234</w:t>
            </w:r>
          </w:p>
        </w:tc>
        <w:tc>
          <w:tcPr>
            <w:tcW w:w="1349" w:type="pct"/>
            <w:tcBorders>
              <w:top w:val="single" w:sz="4" w:space="0" w:color="FFFFFF" w:themeColor="background1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</w:tcPr>
          <w:p w14:paraId="7C7EF5B3" w14:textId="77777777" w:rsidR="00F16DEA" w:rsidRPr="00E52603" w:rsidRDefault="00F16DEA" w:rsidP="001322CD">
            <w:pPr>
              <w:spacing w:before="19" w:after="19" w:line="256" w:lineRule="auto"/>
              <w:jc w:val="center"/>
              <w:rPr>
                <w:rFonts w:ascii="Calibri" w:eastAsia="Times New Roman" w:hAnsi="Calibri" w:cs="Calibri"/>
                <w:kern w:val="24"/>
                <w:lang w:eastAsia="en-GB"/>
              </w:rPr>
            </w:pPr>
            <w:r w:rsidRPr="00F04199">
              <w:rPr>
                <w:rFonts w:ascii="Calibri" w:eastAsia="Times New Roman" w:hAnsi="Calibri" w:cs="Calibri"/>
                <w:kern w:val="24"/>
                <w:lang w:eastAsia="en-GB"/>
              </w:rPr>
              <w:t>0.388</w:t>
            </w:r>
          </w:p>
        </w:tc>
        <w:tc>
          <w:tcPr>
            <w:tcW w:w="1349" w:type="pct"/>
            <w:tcBorders>
              <w:top w:val="single" w:sz="4" w:space="0" w:color="FFFFFF" w:themeColor="background1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</w:tcPr>
          <w:p w14:paraId="2DA4D415" w14:textId="77777777" w:rsidR="00F16DEA" w:rsidRPr="00E52603" w:rsidRDefault="00F16DEA" w:rsidP="001322CD">
            <w:pPr>
              <w:spacing w:before="19" w:after="19" w:line="256" w:lineRule="auto"/>
              <w:jc w:val="center"/>
              <w:rPr>
                <w:rFonts w:ascii="Calibri" w:eastAsia="Times New Roman" w:hAnsi="Calibri" w:cs="Calibri"/>
                <w:kern w:val="24"/>
                <w:lang w:eastAsia="en-GB"/>
              </w:rPr>
            </w:pPr>
            <w:r>
              <w:rPr>
                <w:rFonts w:ascii="Calibri" w:eastAsia="Times New Roman" w:hAnsi="Calibri" w:cs="Calibri"/>
                <w:kern w:val="24"/>
                <w:lang w:eastAsia="en-GB"/>
              </w:rPr>
              <w:t>-</w:t>
            </w:r>
          </w:p>
        </w:tc>
      </w:tr>
      <w:tr w:rsidR="00F16DEA" w:rsidRPr="000543AA" w14:paraId="1882423E" w14:textId="77777777" w:rsidTr="001322CD">
        <w:trPr>
          <w:trHeight w:val="111"/>
        </w:trPr>
        <w:tc>
          <w:tcPr>
            <w:tcW w:w="5000" w:type="pct"/>
            <w:gridSpan w:val="4"/>
            <w:tcBorders>
              <w:top w:val="single" w:sz="4" w:space="0" w:color="A5A5A5" w:themeColor="accent3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" w:type="dxa"/>
              <w:bottom w:w="0" w:type="dxa"/>
              <w:right w:w="10" w:type="dxa"/>
            </w:tcMar>
            <w:hideMark/>
          </w:tcPr>
          <w:p w14:paraId="7F69CA49" w14:textId="77777777" w:rsidR="00F16DEA" w:rsidRPr="00837C4F" w:rsidRDefault="00F16DEA" w:rsidP="001322CD">
            <w:pPr>
              <w:spacing w:before="10" w:after="10" w:line="256" w:lineRule="auto"/>
              <w:jc w:val="left"/>
              <w:rPr>
                <w:rFonts w:ascii="Calibri" w:eastAsia="Times New Roman" w:hAnsi="Calibri" w:cs="Calibri"/>
                <w:kern w:val="24"/>
                <w:sz w:val="18"/>
                <w:szCs w:val="18"/>
                <w:lang w:eastAsia="en-GB"/>
              </w:rPr>
            </w:pPr>
            <w:r w:rsidRPr="00A647C0">
              <w:rPr>
                <w:rFonts w:ascii="Calibri" w:eastAsia="Times New Roman" w:hAnsi="Calibri" w:cs="Calibri"/>
                <w:kern w:val="24"/>
                <w:sz w:val="18"/>
                <w:szCs w:val="18"/>
                <w:lang w:eastAsia="en-GB"/>
              </w:rPr>
              <w:t>SD: Standard Deviation; SEM: Standard Error of Measurement.</w:t>
            </w:r>
            <w:r>
              <w:rPr>
                <w:rFonts w:ascii="Calibri" w:eastAsia="Times New Roman" w:hAnsi="Calibri" w:cs="Calibri"/>
                <w:kern w:val="24"/>
                <w:sz w:val="18"/>
                <w:szCs w:val="18"/>
                <w:lang w:eastAsia="en-GB"/>
              </w:rPr>
              <w:t xml:space="preserve"> </w:t>
            </w:r>
            <w:r w:rsidRPr="00A647C0">
              <w:rPr>
                <w:rFonts w:ascii="Calibri" w:eastAsia="Times New Roman" w:hAnsi="Calibri" w:cs="Calibri"/>
                <w:kern w:val="24"/>
                <w:sz w:val="18"/>
                <w:szCs w:val="18"/>
                <w:lang w:eastAsia="en-GB"/>
              </w:rPr>
              <w:t xml:space="preserve">0.5 SD corresponds to 0.5 of the standard deviation at </w:t>
            </w:r>
            <w:r>
              <w:rPr>
                <w:rFonts w:ascii="Calibri" w:eastAsia="Times New Roman" w:hAnsi="Calibri" w:cs="Calibri"/>
                <w:kern w:val="24"/>
                <w:sz w:val="18"/>
                <w:szCs w:val="18"/>
                <w:lang w:eastAsia="en-GB"/>
              </w:rPr>
              <w:t>Baseline</w:t>
            </w:r>
            <w:r w:rsidRPr="00A647C0">
              <w:rPr>
                <w:rFonts w:ascii="Calibri" w:eastAsia="Times New Roman" w:hAnsi="Calibri" w:cs="Calibri"/>
                <w:kern w:val="24"/>
                <w:sz w:val="18"/>
                <w:szCs w:val="18"/>
                <w:lang w:eastAsia="en-GB"/>
              </w:rPr>
              <w:t>.</w:t>
            </w:r>
            <w:r>
              <w:rPr>
                <w:rFonts w:ascii="Calibri" w:eastAsia="Times New Roman" w:hAnsi="Calibri" w:cs="Calibri"/>
                <w:kern w:val="24"/>
                <w:sz w:val="18"/>
                <w:szCs w:val="18"/>
                <w:lang w:eastAsia="en-GB"/>
              </w:rPr>
              <w:t xml:space="preserve"> </w:t>
            </w:r>
            <w:r w:rsidRPr="00A647C0">
              <w:rPr>
                <w:rFonts w:ascii="Calibri" w:eastAsia="Times New Roman" w:hAnsi="Calibri" w:cs="Calibri"/>
                <w:kern w:val="24"/>
                <w:sz w:val="18"/>
                <w:szCs w:val="18"/>
                <w:lang w:eastAsia="en-GB"/>
              </w:rPr>
              <w:t xml:space="preserve">The SEM is calculated as the standard deviation at </w:t>
            </w:r>
            <w:r>
              <w:rPr>
                <w:rFonts w:ascii="Calibri" w:eastAsia="Times New Roman" w:hAnsi="Calibri" w:cs="Calibri"/>
                <w:kern w:val="24"/>
                <w:sz w:val="18"/>
                <w:szCs w:val="18"/>
                <w:lang w:eastAsia="en-GB"/>
              </w:rPr>
              <w:t>Baseline</w:t>
            </w:r>
            <w:r w:rsidRPr="00A647C0">
              <w:rPr>
                <w:rFonts w:ascii="Calibri" w:eastAsia="Times New Roman" w:hAnsi="Calibri" w:cs="Calibri"/>
                <w:kern w:val="24"/>
                <w:sz w:val="18"/>
                <w:szCs w:val="18"/>
                <w:lang w:eastAsia="en-GB"/>
              </w:rPr>
              <w:t xml:space="preserve"> multiplied by the square root of one minus the reliability (Cronbach's alpha) of the total score at </w:t>
            </w:r>
            <w:r>
              <w:rPr>
                <w:rFonts w:ascii="Calibri" w:eastAsia="Times New Roman" w:hAnsi="Calibri" w:cs="Calibri"/>
                <w:kern w:val="24"/>
                <w:sz w:val="18"/>
                <w:szCs w:val="18"/>
                <w:lang w:eastAsia="en-GB"/>
              </w:rPr>
              <w:t>Baseline</w:t>
            </w:r>
            <w:r w:rsidRPr="00A647C0">
              <w:rPr>
                <w:rFonts w:ascii="Calibri" w:eastAsia="Times New Roman" w:hAnsi="Calibri" w:cs="Calibri"/>
                <w:kern w:val="24"/>
                <w:sz w:val="18"/>
                <w:szCs w:val="18"/>
                <w:lang w:eastAsia="en-GB"/>
              </w:rPr>
              <w:t>.</w:t>
            </w:r>
            <w:r>
              <w:rPr>
                <w:rFonts w:ascii="Calibri" w:eastAsia="Times New Roman" w:hAnsi="Calibri" w:cs="Calibri"/>
                <w:kern w:val="24"/>
                <w:sz w:val="18"/>
                <w:szCs w:val="18"/>
                <w:lang w:eastAsia="en-GB"/>
              </w:rPr>
              <w:t xml:space="preserve"> SEM was not calculated for the NVCI and NVS.</w:t>
            </w:r>
          </w:p>
        </w:tc>
      </w:tr>
    </w:tbl>
    <w:p w14:paraId="431E0F22" w14:textId="77777777" w:rsidR="003F7389" w:rsidRDefault="003F7389"/>
    <w:sectPr w:rsidR="003F73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DEA"/>
    <w:rsid w:val="003F7389"/>
    <w:rsid w:val="00E6588D"/>
    <w:rsid w:val="00F1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8060A"/>
  <w15:chartTrackingRefBased/>
  <w15:docId w15:val="{720FB2F3-0CE9-47C3-9B87-7F4AA605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DEA"/>
    <w:pPr>
      <w:spacing w:before="120" w:after="120" w:line="276" w:lineRule="auto"/>
      <w:jc w:val="both"/>
    </w:pPr>
    <w:rPr>
      <w:rFonts w:eastAsiaTheme="minorEastAsia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F16DEA"/>
    <w:pPr>
      <w:keepNext/>
      <w:spacing w:before="0" w:after="0" w:line="240" w:lineRule="auto"/>
    </w:pPr>
    <w:rPr>
      <w:b/>
      <w:bCs/>
    </w:rPr>
  </w:style>
  <w:style w:type="character" w:styleId="CommentReference">
    <w:name w:val="annotation reference"/>
    <w:basedOn w:val="DefaultParagraphFont"/>
    <w:uiPriority w:val="99"/>
    <w:unhideWhenUsed/>
    <w:rsid w:val="00F16D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6D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6DEA"/>
    <w:rPr>
      <w:rFonts w:eastAsiaTheme="minorEastAsia"/>
      <w:color w:val="000000" w:themeColor="text1"/>
      <w:sz w:val="20"/>
      <w:szCs w:val="20"/>
    </w:rPr>
  </w:style>
  <w:style w:type="character" w:customStyle="1" w:styleId="CaptionChar">
    <w:name w:val="Caption Char"/>
    <w:link w:val="Caption"/>
    <w:uiPriority w:val="35"/>
    <w:locked/>
    <w:rsid w:val="00F16DEA"/>
    <w:rPr>
      <w:rFonts w:eastAsiaTheme="minorEastAsia"/>
      <w:b/>
      <w:b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Pascoe (Adelphi Values)</dc:creator>
  <cp:keywords/>
  <dc:description/>
  <cp:lastModifiedBy>Ben Pascoe (Adelphi Values)</cp:lastModifiedBy>
  <cp:revision>1</cp:revision>
  <dcterms:created xsi:type="dcterms:W3CDTF">2023-09-28T16:30:00Z</dcterms:created>
  <dcterms:modified xsi:type="dcterms:W3CDTF">2023-09-28T16:31:00Z</dcterms:modified>
</cp:coreProperties>
</file>