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49227" w14:textId="7EBC71E7" w:rsidR="003D6169" w:rsidRPr="00175BAB" w:rsidRDefault="00665C9C" w:rsidP="00175BAB">
      <w:pPr>
        <w:pStyle w:val="Heading1"/>
      </w:pPr>
      <w:r w:rsidRPr="00175BAB">
        <w:t xml:space="preserve">Supplementary information for </w:t>
      </w:r>
      <w:r w:rsidR="003D6169" w:rsidRPr="00175BAB">
        <w:t>“</w:t>
      </w:r>
      <w:r w:rsidR="00FF1978" w:rsidRPr="00FF1978">
        <w:t>Comparison of patient-reported outcomes between alternative care provider-led and physician-led care for severe sleep disordered breathing: secondary analysis of a randomized clinical trial</w:t>
      </w:r>
      <w:r w:rsidR="003D6169" w:rsidRPr="00175BAB">
        <w:t>”</w:t>
      </w:r>
    </w:p>
    <w:p w14:paraId="2F10CE58" w14:textId="335EEE64" w:rsidR="00665C9C" w:rsidRDefault="003D6169" w:rsidP="00665C9C">
      <w:pPr>
        <w:spacing w:line="480" w:lineRule="auto"/>
        <w:rPr>
          <w:rFonts w:ascii="Times New Roman" w:hAnsi="Times New Roman" w:cs="Times New Roman"/>
          <w:sz w:val="24"/>
          <w:szCs w:val="24"/>
        </w:rPr>
      </w:pPr>
      <w:r w:rsidRPr="00191B6E">
        <w:rPr>
          <w:rFonts w:ascii="Times New Roman" w:hAnsi="Times New Roman" w:cs="Times New Roman"/>
          <w:b/>
          <w:bCs/>
          <w:sz w:val="24"/>
          <w:szCs w:val="24"/>
        </w:rPr>
        <w:t>Supplementary methods information</w:t>
      </w:r>
      <w:r>
        <w:rPr>
          <w:rFonts w:ascii="Times New Roman" w:hAnsi="Times New Roman" w:cs="Times New Roman"/>
          <w:sz w:val="24"/>
          <w:szCs w:val="24"/>
        </w:rPr>
        <w:t xml:space="preserve">. This section contains relevant information on measure selection and </w:t>
      </w:r>
      <w:r w:rsidR="00191B6E">
        <w:rPr>
          <w:rFonts w:ascii="Times New Roman" w:hAnsi="Times New Roman" w:cs="Times New Roman"/>
          <w:sz w:val="24"/>
          <w:szCs w:val="24"/>
        </w:rPr>
        <w:t>clinically significant improvements.</w:t>
      </w:r>
    </w:p>
    <w:p w14:paraId="1FFE8C64" w14:textId="321A5297" w:rsidR="00665C9C" w:rsidRDefault="00665C9C" w:rsidP="00665C9C">
      <w:pPr>
        <w:spacing w:line="480" w:lineRule="auto"/>
        <w:rPr>
          <w:rFonts w:ascii="Times New Roman" w:hAnsi="Times New Roman" w:cs="Times New Roman"/>
          <w:sz w:val="24"/>
          <w:szCs w:val="24"/>
        </w:rPr>
      </w:pPr>
      <w:r>
        <w:rPr>
          <w:rFonts w:ascii="Times New Roman" w:hAnsi="Times New Roman" w:cs="Times New Roman"/>
          <w:sz w:val="24"/>
          <w:szCs w:val="24"/>
        </w:rPr>
        <w:t>HUI-2 and HUI-3. The Health Utility Indexes measure health status by assessing similar and overlapping domains, but Mark 2 and Mark 3 assess distinct elements of health, as outlined in a review by Horsman and colleagues.</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{"citationItems":[{"id":"ITEM-1","itemData":{"DOI":"10.1186/1477-7525-1-54","ISSN":"14777525","PMID":"14613568","abstract":"This is a review of the Health Utilities Index (HUI®) multi-attribute health-status classification systems, and single- and multi-attribute utility scoring systems. HUI refers to both HUI Mark 2 (HUI2) and HUI Mark 3 (HUI3) instruments. The classification systems provide compact but comprehensive frameworks within which to describe health status. The multi-attribute utility functions provide all the information required to calculate single-summary scores of health-related quality of life (HRQL) for each health state defined by the classification systems. The use of HUI in clinical studies for a wide variety of conditions in a large number of countries is illustrated. HUI provides comprehensive, reliable, responsive and valid measures of health status and HRQL for subjects in clinical studies. Utility scores of overall HRQL for patients are also used in cost-utility and cost-effectiveness analyses. Population norm data are available from numerous large general population surveys. The widespread use of HUI facilitates the interpretation of results and permits comparisons of disease and treatment outcomes, and comparisons of long-term sequelae at the local, national and international levels. © 2003 Horsman et al; licensee BioMed Central Ltd.","author":[{"dropping-particle":"","family":"Horsman","given":"John","non-dropping-particle":"","parse-names":false,"suffix":""},{"dropping-particle":"","family":"Furlong","given":"William","non-dropping-particle":"","parse-names":false,"suffix":""},{"dropping-particle":"","family":"Feeny","given":"David","non-dropping-particle":"","parse-names":false,"suffix":""},{"dropping-particle":"","family":"Torrance","given":"George","non-dropping-particle":"","parse-names":false,"suffix":""}],"container-title":"Health and Quality of Life Outcomes","id":"ITEM-1","issued":{"date-parts":[["2003"]]},"title":"The Health Utilities Index (HUI®): Concepts, measurement properties and applications","type":"article-journal","volume":"1"},"uris":["http://www.mendeley.com/documents/?uuid=3639e41c-0abf-4874-86e2-545438037619"]}],"mendeley":{"formattedCitation":"&lt;sup&gt;22&lt;/sup&gt;","plainTextFormattedCitation":"22","previouslyFormattedCitation":"&lt;sup&gt;22&lt;/sup&gt;"},"properties":{"noteIndex":0},"schema":"https://github.com/citation-style-language/schema/raw/master/csl-citation.json"}</w:instrText>
      </w:r>
      <w:r>
        <w:rPr>
          <w:rFonts w:ascii="Times New Roman" w:hAnsi="Times New Roman" w:cs="Times New Roman"/>
          <w:sz w:val="24"/>
          <w:szCs w:val="24"/>
        </w:rPr>
        <w:fldChar w:fldCharType="separate"/>
      </w:r>
      <w:r w:rsidRPr="00CC0F18">
        <w:rPr>
          <w:rFonts w:ascii="Times New Roman" w:hAnsi="Times New Roman" w:cs="Times New Roman"/>
          <w:noProof/>
          <w:sz w:val="24"/>
          <w:szCs w:val="24"/>
          <w:vertAlign w:val="superscript"/>
        </w:rPr>
        <w:t>22</w:t>
      </w:r>
      <w:r>
        <w:rPr>
          <w:rFonts w:ascii="Times New Roman" w:hAnsi="Times New Roman" w:cs="Times New Roman"/>
          <w:sz w:val="24"/>
          <w:szCs w:val="24"/>
        </w:rPr>
        <w:fldChar w:fldCharType="end"/>
      </w:r>
      <w:r>
        <w:rPr>
          <w:rFonts w:ascii="Times New Roman" w:hAnsi="Times New Roman" w:cs="Times New Roman"/>
          <w:sz w:val="24"/>
          <w:szCs w:val="24"/>
        </w:rPr>
        <w:t xml:space="preserve"> For instance, while the HUI-2 emotion domain assesses “distress and anxiety”, the HUI-3 emotion domain assess “happiness versus depression”. While the HUI-2 cognitive domain assesses “learning, the HUI-3 cognitive domain assesses the “solving of day-to-day problems). While the HUI-2 pain domain assesses “frequency [and] control”, the HUI-3 pain domain assesses “severity”. When establishing the RCT, we included both Mark 2 and Mark 3 to capture additional data on patient-reported health status.</w:t>
      </w:r>
    </w:p>
    <w:p w14:paraId="6A193443" w14:textId="36DF35C9" w:rsidR="00665C9C" w:rsidRDefault="00665C9C" w:rsidP="00665C9C">
      <w:pPr>
        <w:spacing w:line="480" w:lineRule="auto"/>
        <w:rPr>
          <w:rFonts w:ascii="Times New Roman" w:hAnsi="Times New Roman" w:cs="Times New Roman"/>
          <w:sz w:val="24"/>
          <w:szCs w:val="24"/>
        </w:rPr>
      </w:pPr>
      <w:r>
        <w:rPr>
          <w:rFonts w:ascii="Times New Roman" w:hAnsi="Times New Roman" w:cs="Times New Roman"/>
          <w:sz w:val="24"/>
          <w:szCs w:val="24"/>
        </w:rPr>
        <w:t>SAQLI. Flemons and Reimer note clinically meaningful change on both domain and total scores can indicate no change (difference of -1 to 1) or minimal important difference (difference of 1.1 to 3 or -1.1 to -3), moderate difference (difference of 3.1 to 5 or -3.1 to -5) and large differences (difference of 5.1 to 7 or -5.1 to -7).</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{"citationItems":[{"id":"ITEM-1","itemData":{"DOI":"10.1164/ajrccm.165.2.2010008","ISSN":"1073449X","PMID":"11790647","abstract":"Sleep apnea patients were studied three times prior to and 4 wk after a trial of nasal continuous positive airway pressure to determine the measurement properties of the Calgary Sleep Apnea Quality of Life Index (SAQLI), a disease-specific quality of life questionnaire. All patients completed the Medical Outcome Survey Short Form (SF-36), the Ferrans and Powers Quality of Life Index, and a global assessment of quality of life before and after treatment. The SAQLI was found to have a very high responsiveness index of 1.9 and an effect size of 1.1, which was much greater than the domains of the SF-36 and the FPQLI. There were statistically significant longitudinal correlations (range: 0.24 to 0.54) between the SAQLI and seven of the SF-36 domains in a pattern that was predicted beforehand and which demonstrated the validity of the SAQLI as an evaluative instrument. The SAQLI also had a range of correlations at baseline with the SF-36 (range: 0.36 to 0.71), the Epworth Sleepiness Scale (-0.26), and the FPQLI (0.29 to 0.66), and with a global rating of quality of life (0.61). The SAQLI had a high reliability coefficient of 0.92 on testing and retesting at 2 wk. We conclude that the SAQLI has excellent measurement properties for an evaluative instrument, and beginning evidence of validity as a discriminative index. It measures components of quality of life that are important to sleep apnea patients, and will be an important outcome measure in clinical trials.","author":[{"dropping-particle":"","family":"Flemons","given":"W. Ward","non-dropping-particle":"","parse-names":false,"suffix":""},{"dropping-particle":"","family":"Reimer","given":"Marlene A.","non-dropping-particle":"","parse-names":false,"suffix":""}],"container-title":"American Journal of Respiratory and Critical Care Medicine","id":"ITEM-1","issue":"2","issued":{"date-parts":[["2002"]]},"page":"159-164","title":"Measurement properties of the Calgary sleep apnea quality of life index","type":"article-journal","volume":"165"},"uris":["http://www.mendeley.com/documents/?uuid=0b5d05cd-32f4-411a-8032-e3998968ee5a"]}],"mendeley":{"formattedCitation":"&lt;sup&gt;28&lt;/sup&gt;","plainTextFormattedCitation":"28","previouslyFormattedCitation":"&lt;sup&gt;29&lt;/sup&gt;"},"properties":{"noteIndex":0},"schema":"https://github.com/citation-style-language/schema/raw/master/csl-citation.json"}</w:instrText>
      </w:r>
      <w:r>
        <w:rPr>
          <w:rFonts w:ascii="Times New Roman" w:hAnsi="Times New Roman" w:cs="Times New Roman"/>
          <w:sz w:val="24"/>
          <w:szCs w:val="24"/>
        </w:rPr>
        <w:fldChar w:fldCharType="separate"/>
      </w:r>
      <w:r w:rsidRPr="00CC0F18">
        <w:rPr>
          <w:rFonts w:ascii="Times New Roman" w:hAnsi="Times New Roman" w:cs="Times New Roman"/>
          <w:noProof/>
          <w:sz w:val="24"/>
          <w:szCs w:val="24"/>
          <w:vertAlign w:val="superscript"/>
        </w:rPr>
        <w:t>28</w:t>
      </w:r>
      <w:r>
        <w:rPr>
          <w:rFonts w:ascii="Times New Roman" w:hAnsi="Times New Roman" w:cs="Times New Roman"/>
          <w:sz w:val="24"/>
          <w:szCs w:val="24"/>
        </w:rPr>
        <w:fldChar w:fldCharType="end"/>
      </w:r>
    </w:p>
    <w:p w14:paraId="20DE0592" w14:textId="1E47FE03" w:rsidR="00665C9C" w:rsidRDefault="00665C9C" w:rsidP="00191B6E">
      <w:pPr>
        <w:spacing w:line="480" w:lineRule="auto"/>
        <w:rPr>
          <w:rFonts w:ascii="Times New Roman" w:hAnsi="Times New Roman" w:cs="Times New Roman"/>
          <w:sz w:val="24"/>
          <w:szCs w:val="24"/>
        </w:rPr>
      </w:pPr>
      <w:r>
        <w:rPr>
          <w:rFonts w:ascii="Times New Roman" w:hAnsi="Times New Roman" w:cs="Times New Roman"/>
          <w:sz w:val="24"/>
          <w:szCs w:val="24"/>
        </w:rPr>
        <w:t xml:space="preserve">ESS. For the </w:t>
      </w:r>
      <w:proofErr w:type="spellStart"/>
      <w:r>
        <w:rPr>
          <w:rFonts w:ascii="Times New Roman" w:hAnsi="Times New Roman" w:cs="Times New Roman"/>
          <w:sz w:val="24"/>
          <w:szCs w:val="24"/>
        </w:rPr>
        <w:t>Eppworth</w:t>
      </w:r>
      <w:proofErr w:type="spellEnd"/>
      <w:r>
        <w:rPr>
          <w:rFonts w:ascii="Times New Roman" w:hAnsi="Times New Roman" w:cs="Times New Roman"/>
          <w:sz w:val="24"/>
          <w:szCs w:val="24"/>
        </w:rPr>
        <w:t xml:space="preserve"> Sleepiness Scale, respondents answer “How likely are you to doze off or fall asleep in the following situations, in contrast to feeling just tired?” for a series of activities in daily life on a scale from 0 (“would never to doze”) to 3 (“high chance of dozing”). The ESS score is the sum of the eight responses with a maximum score of 24 (more than 10 reflects </w:t>
      </w:r>
      <w:r>
        <w:rPr>
          <w:rFonts w:ascii="Times New Roman" w:hAnsi="Times New Roman" w:cs="Times New Roman"/>
          <w:sz w:val="24"/>
          <w:szCs w:val="24"/>
        </w:rPr>
        <w:lastRenderedPageBreak/>
        <w:t>subjective sleepiness). For patients with SDB, recent evidence suggests that the minimum clinically meaningful improvement is a fall in ESS score between 2 and 3.</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{"citationItems":[{"id":"ITEM-1","itemData":{"DOI":"10.1183/1393003.congress-2017.pa330","ISSN":"0903-1936","abstract":"Background: The Epworth Sleepiness Scale (ESS) is a self-administered questionnaire used to quantify daytime sleepiness (ESS 0–24) with higher scores indicating increased daytime hypersomnolence. The minimum clinically important difference (MCID) of the ESS is unknown.\n\nAims: To determine the MCID of the ESS in patients with obstructive sleep apnoea, started on continuous positive airway pressure (CPAP) therapy.\n\nMethods: ESS was measured at baseline and follow-up (3 months post CPAP initiation). At follow-up, participants were asked to complete a seven-point Likert global rating of change (GROC) in sleepiness questionnaire, ranging from “1: Much less sleepy” to “7: Much more sleepy”. The MCID of the ESS was estimated using anchor-based methods (mean change in ESS and Receiver Operating Characteristic curves for those scoring “3: Slightly less sleepy” in GROC).\n\nResults: 99 CPAP users returned for follow-up. Baseline characteristics: 66 men (67%); mean±SD: age 55±12years; BMI 33.8±7.5kg/m2; ESS 12.7±5.3. Self-reported CPAP compliance was 4.5±2.8hours. With CPAP, mean(95% CI) change in ESS was -4.5(-5.6 to -3.5). Mean±SD change in ESS for those slightly less sleepy was -2.5±2.1 (Fig 1); an ESS change of -2 had an area under curve of 0.93, sensitivity 91% and specificity 88% in identifying those who scored at least feeling “slightly less sleepy”.\n\nConclusion: Using anchor-based methods, the MCID (for improvement) of the ESS lies between -2 and -3.\n\n![Figure][1]&lt;/img&gt;\n\n [1]: pending:yes","author":[{"dropping-particle":"","family":"Patel","given":"Suhani","non-dropping-particle":"","parse-names":false,"suffix":""},{"dropping-particle":"","family":"Kon","given":"Samantha SC","non-dropping-particle":"","parse-names":false,"suffix":""},{"dropping-particle":"","family":"Nolan","given":"Claire M","non-dropping-particle":"","parse-names":false,"suffix":""},{"dropping-particle":"","family":"Simonds","given":"Anita K","non-dropping-particle":"","parse-names":false,"suffix":""},{"dropping-particle":"","family":"Morrell","given":"Mary J","non-dropping-particle":"","parse-names":false,"suffix":""},{"dropping-particle":"","family":"Man","given":"William D-C","non-dropping-particle":"","parse-names":false,"suffix":""},{"dropping-particle":"","family":"Barker","given":"Ruth E","non-dropping-particle":"","parse-names":false,"suffix":""}],"id":"ITEM-1","issued":{"date-parts":[["2017"]]},"page":"PA330","title":"Minimum clinically important difference of the Epworth Sleepiness Scale","type":"article-journal"},"uris":["http://www.mendeley.com/documents/?uuid=308ffeb7-eb32-4caf-be4c-1690459e1bd4","http://www.mendeley.com/documents/?uuid=82eef8d2-8df1-44e1-aa06-69afefed3c13"]}],"mendeley":{"formattedCitation":"&lt;sup&gt;31&lt;/sup&gt;","plainTextFormattedCitation":"31","previouslyFormattedCitation":"&lt;sup&gt;32&lt;/sup&gt;"},"properties":{"noteIndex":0},"schema":"https://github.com/citation-style-language/schema/raw/master/csl-citation.json"}</w:instrText>
      </w:r>
      <w:r>
        <w:rPr>
          <w:rFonts w:ascii="Times New Roman" w:hAnsi="Times New Roman" w:cs="Times New Roman"/>
          <w:sz w:val="24"/>
          <w:szCs w:val="24"/>
        </w:rPr>
        <w:fldChar w:fldCharType="separate"/>
      </w:r>
      <w:r w:rsidRPr="00CC0F18">
        <w:rPr>
          <w:rFonts w:ascii="Times New Roman" w:hAnsi="Times New Roman" w:cs="Times New Roman"/>
          <w:noProof/>
          <w:sz w:val="24"/>
          <w:szCs w:val="24"/>
          <w:vertAlign w:val="superscript"/>
        </w:rPr>
        <w:t>31</w:t>
      </w:r>
      <w:r>
        <w:rPr>
          <w:rFonts w:ascii="Times New Roman" w:hAnsi="Times New Roman" w:cs="Times New Roman"/>
          <w:sz w:val="24"/>
          <w:szCs w:val="24"/>
        </w:rPr>
        <w:fldChar w:fldCharType="end"/>
      </w:r>
      <w:r w:rsidR="006A5766">
        <w:rPr>
          <w:rFonts w:ascii="Times New Roman" w:hAnsi="Times New Roman" w:cs="Times New Roman"/>
          <w:sz w:val="24"/>
          <w:szCs w:val="24"/>
        </w:rPr>
        <w:t xml:space="preserve"> </w:t>
      </w:r>
    </w:p>
    <w:p w14:paraId="76710D6B" w14:textId="6A1CCA17" w:rsidR="009B6BC8" w:rsidRDefault="009B6BC8">
      <w:pPr>
        <w:rPr>
          <w:rFonts w:ascii="Times New Roman" w:hAnsi="Times New Roman" w:cs="Times New Roman"/>
          <w:sz w:val="24"/>
          <w:szCs w:val="24"/>
        </w:rPr>
      </w:pPr>
    </w:p>
    <w:p w14:paraId="6D81B6E2" w14:textId="2451F6D6" w:rsidR="009B6BC8" w:rsidRDefault="009B6BC8">
      <w:pPr>
        <w:rPr>
          <w:rFonts w:ascii="Times New Roman" w:hAnsi="Times New Roman" w:cs="Times New Roman"/>
          <w:sz w:val="24"/>
          <w:szCs w:val="24"/>
        </w:rPr>
      </w:pPr>
    </w:p>
    <w:p w14:paraId="77773798" w14:textId="339CC9D7" w:rsidR="009B6BC8" w:rsidRDefault="009B6BC8">
      <w:pPr>
        <w:rPr>
          <w:rFonts w:ascii="Times New Roman" w:hAnsi="Times New Roman" w:cs="Times New Roman"/>
          <w:sz w:val="24"/>
          <w:szCs w:val="24"/>
        </w:rPr>
      </w:pPr>
    </w:p>
    <w:p w14:paraId="7504D3F5" w14:textId="77777777" w:rsidR="009B6BC8" w:rsidRPr="00665C9C" w:rsidRDefault="009B6BC8"/>
    <w:sectPr w:rsidR="009B6BC8" w:rsidRPr="00665C9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C9C"/>
    <w:rsid w:val="00175BAB"/>
    <w:rsid w:val="00191B6E"/>
    <w:rsid w:val="00237961"/>
    <w:rsid w:val="00271007"/>
    <w:rsid w:val="00295CA0"/>
    <w:rsid w:val="003D6169"/>
    <w:rsid w:val="00665C9C"/>
    <w:rsid w:val="006A5766"/>
    <w:rsid w:val="0077729A"/>
    <w:rsid w:val="009B6BC8"/>
    <w:rsid w:val="00B4054F"/>
    <w:rsid w:val="00C3181F"/>
    <w:rsid w:val="00C94BDD"/>
    <w:rsid w:val="00CE72F4"/>
    <w:rsid w:val="00FF197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E6A7D"/>
  <w15:chartTrackingRefBased/>
  <w15:docId w15:val="{A806A752-0ACC-4D2E-B143-F1B7CD686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C9C"/>
  </w:style>
  <w:style w:type="paragraph" w:styleId="Heading1">
    <w:name w:val="heading 1"/>
    <w:basedOn w:val="Normal"/>
    <w:next w:val="Normal"/>
    <w:link w:val="Heading1Char"/>
    <w:uiPriority w:val="9"/>
    <w:qFormat/>
    <w:rsid w:val="00175BA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65C9C"/>
    <w:rPr>
      <w:sz w:val="16"/>
      <w:szCs w:val="16"/>
    </w:rPr>
  </w:style>
  <w:style w:type="paragraph" w:styleId="CommentText">
    <w:name w:val="annotation text"/>
    <w:basedOn w:val="Normal"/>
    <w:link w:val="CommentTextChar"/>
    <w:uiPriority w:val="99"/>
    <w:unhideWhenUsed/>
    <w:rsid w:val="00665C9C"/>
    <w:pPr>
      <w:spacing w:line="240" w:lineRule="auto"/>
    </w:pPr>
    <w:rPr>
      <w:sz w:val="20"/>
      <w:szCs w:val="20"/>
    </w:rPr>
  </w:style>
  <w:style w:type="character" w:customStyle="1" w:styleId="CommentTextChar">
    <w:name w:val="Comment Text Char"/>
    <w:basedOn w:val="DefaultParagraphFont"/>
    <w:link w:val="CommentText"/>
    <w:uiPriority w:val="99"/>
    <w:rsid w:val="00665C9C"/>
    <w:rPr>
      <w:sz w:val="20"/>
      <w:szCs w:val="20"/>
    </w:rPr>
  </w:style>
  <w:style w:type="table" w:styleId="TableGrid">
    <w:name w:val="Table Grid"/>
    <w:basedOn w:val="TableNormal"/>
    <w:uiPriority w:val="39"/>
    <w:rsid w:val="009B6BC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75BA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F23CEC-435E-479A-9210-60ADBC4C4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1500</Words>
  <Characters>8552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Steele</dc:creator>
  <cp:keywords/>
  <dc:description/>
  <cp:lastModifiedBy>Brian Steele</cp:lastModifiedBy>
  <cp:revision>10</cp:revision>
  <dcterms:created xsi:type="dcterms:W3CDTF">2022-07-25T15:05:00Z</dcterms:created>
  <dcterms:modified xsi:type="dcterms:W3CDTF">2023-12-22T01:59:00Z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http://www.zotero.org/styles/bmj-quality-and-safety</vt:lpwstr>
  </property>
  <property fmtid="{D5CDD505-2E9C-101B-9397-08002B2CF9AE}" pid="7" name="Mendeley Recent Style Name 2_1">
    <vt:lpwstr>BMJ Quality &amp; Safety</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http://www.zotero.org/styles/journal-of-epidemiology-and-community-health</vt:lpwstr>
  </property>
  <property fmtid="{D5CDD505-2E9C-101B-9397-08002B2CF9AE}" pid="15" name="Mendeley Recent Style Name 6_1">
    <vt:lpwstr>Journal of Epidemiology and Community Health</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http://www.zotero.org/styles/sleep</vt:lpwstr>
  </property>
  <property fmtid="{D5CDD505-2E9C-101B-9397-08002B2CF9AE}" pid="19" name="Mendeley Recent Style Name 8_1">
    <vt:lpwstr>SLEEP</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