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aption1"/>
        <w:rPr/>
      </w:pPr>
      <w:r>
        <w:rPr/>
        <w:t xml:space="preserve">Supplementary Table </w:t>
      </w:r>
      <w:r>
        <w:rPr/>
        <w:fldChar w:fldCharType="begin"/>
      </w:r>
      <w:r>
        <w:rPr/>
        <w:instrText xml:space="preserve"> SEQ Table \* ARABIC </w:instrText>
      </w:r>
      <w:r>
        <w:rPr/>
        <w:fldChar w:fldCharType="separate"/>
      </w:r>
      <w:r>
        <w:rPr/>
        <w:t>1</w:t>
      </w:r>
      <w:r>
        <w:rPr/>
        <w:fldChar w:fldCharType="end"/>
      </w:r>
      <w:r>
        <w:rPr/>
        <w:t>: Descriptions of the anchor measures and improvement/worsening thresholds used for meaningful change analyses</w:t>
      </w:r>
    </w:p>
    <w:tbl>
      <w:tblPr>
        <w:tblStyle w:val="ListTable3-Accent31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5"/>
        <w:gridCol w:w="1465"/>
        <w:gridCol w:w="4884"/>
        <w:gridCol w:w="1641"/>
      </w:tblGrid>
      <w:tr>
        <w:trPr>
          <w:tblHeader w:val="true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35" w:type="dxa"/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Borders>
              <w:bottom w:val="nil"/>
              <w:right w:val="nil"/>
            </w:tcBorders>
            <w:shd w:color="auto" w:fill="auto" w:val="clear"/>
          </w:tcPr>
          <w:p>
            <w:pPr>
              <w:pStyle w:val="Table-Normal"/>
              <w:widowControl/>
              <w:spacing w:before="0" w:after="0"/>
              <w:jc w:val="both"/>
              <w:rPr>
                <w:bCs/>
              </w:rPr>
            </w:pPr>
            <w:r>
              <w:rPr>
                <w:rFonts w:cs=""/>
                <w:b/>
                <w:bCs/>
                <w:sz w:val="22"/>
                <w:szCs w:val="22"/>
                <w:lang w:val="en-US" w:eastAsia="en-US" w:bidi="ar-SA"/>
              </w:rPr>
              <w:t>Anchor #</w:t>
            </w:r>
          </w:p>
        </w:tc>
        <w:tc>
          <w:tcPr>
            <w:tcW w:w="1465" w:type="dxa"/>
            <w:tcBorders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Table-Normal"/>
              <w:widowControl/>
              <w:spacing w:before="0" w:after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rFonts w:cs=""/>
                <w:b/>
                <w:bCs/>
                <w:sz w:val="22"/>
                <w:szCs w:val="22"/>
                <w:lang w:val="en-US" w:eastAsia="en-US" w:bidi="ar-SA"/>
              </w:rPr>
              <w:t>Anchor Measure</w:t>
            </w:r>
          </w:p>
        </w:tc>
        <w:tc>
          <w:tcPr>
            <w:tcW w:w="4884" w:type="dxa"/>
            <w:tcBorders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Table-Normal"/>
              <w:widowControl/>
              <w:spacing w:before="0" w:after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rFonts w:cs=""/>
                <w:b/>
                <w:bCs/>
                <w:sz w:val="22"/>
                <w:szCs w:val="22"/>
                <w:lang w:val="en-US" w:eastAsia="en-US" w:bidi="ar-SA"/>
              </w:rPr>
              <w:t>Definition</w:t>
            </w:r>
          </w:p>
        </w:tc>
        <w:tc>
          <w:tcPr>
            <w:tcW w:w="1641" w:type="dxa"/>
            <w:tcBorders>
              <w:left w:val="nil"/>
              <w:bottom w:val="nil"/>
            </w:tcBorders>
            <w:shd w:color="auto" w:fill="auto" w:val="clear"/>
          </w:tcPr>
          <w:p>
            <w:pPr>
              <w:pStyle w:val="Table-Normal"/>
              <w:widowControl/>
              <w:spacing w:before="0" w:after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rFonts w:cs=""/>
                <w:b/>
                <w:bCs/>
                <w:sz w:val="22"/>
                <w:szCs w:val="22"/>
                <w:lang w:val="en-US" w:eastAsia="en-US" w:bidi="ar-SA"/>
              </w:rPr>
              <w:t>Relevant scores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FFFFFF" w:themeFill="background1" w:val="clear"/>
          </w:tcPr>
          <w:p>
            <w:pPr>
              <w:pStyle w:val="Table-Normal"/>
              <w:widowControl/>
              <w:spacing w:before="0" w:after="0"/>
              <w:jc w:val="both"/>
              <w:rPr>
                <w:rFonts w:ascii="Calibri" w:hAnsi="Calibri" w:cs=""/>
                <w:b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b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1465" w:type="dxa"/>
            <w:tcBorders>
              <w:left w:val="nil"/>
              <w:right w:val="nil"/>
            </w:tcBorders>
          </w:tcPr>
          <w:p>
            <w:pPr>
              <w:pStyle w:val="Table-Normal"/>
              <w:widowControl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  <w:t>EQ-5D-5L Pain</w:t>
            </w:r>
          </w:p>
        </w:tc>
        <w:tc>
          <w:tcPr>
            <w:tcW w:w="4884" w:type="dxa"/>
            <w:tcBorders>
              <w:left w:val="nil"/>
              <w:right w:val="nil"/>
            </w:tcBorders>
          </w:tcPr>
          <w:p>
            <w:pPr>
              <w:pStyle w:val="Table-Bullet1"/>
              <w:widowControl/>
              <w:numPr>
                <w:ilvl w:val="0"/>
                <w:numId w:val="1"/>
              </w:numPr>
              <w:spacing w:before="0" w:after="0"/>
              <w:ind w:hanging="360"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  <w:t xml:space="preserve">Major improvement: </w:t>
            </w:r>
            <w:r>
              <w:rPr>
                <w:rFonts w:cs="Calibri" w:cstheme="minorHAnsi"/>
                <w:sz w:val="22"/>
                <w:szCs w:val="22"/>
                <w:lang w:val="en-US" w:eastAsia="en-US" w:bidi="ar-SA"/>
              </w:rPr>
              <w:t>≤</w:t>
            </w:r>
            <w:r>
              <w:rPr>
                <w:rFonts w:cs=""/>
                <w:sz w:val="22"/>
                <w:szCs w:val="22"/>
                <w:lang w:val="en-US" w:eastAsia="en-US" w:bidi="ar-SA"/>
              </w:rPr>
              <w:t>-3 point change</w:t>
            </w:r>
          </w:p>
          <w:p>
            <w:pPr>
              <w:pStyle w:val="Table-Bullet1"/>
              <w:widowControl/>
              <w:numPr>
                <w:ilvl w:val="0"/>
                <w:numId w:val="1"/>
              </w:numPr>
              <w:spacing w:before="0" w:after="0"/>
              <w:ind w:hanging="360"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  <w:t>Moderate improvement: -2 point change</w:t>
            </w:r>
          </w:p>
          <w:p>
            <w:pPr>
              <w:pStyle w:val="Table-Bullet1"/>
              <w:widowControl/>
              <w:numPr>
                <w:ilvl w:val="0"/>
                <w:numId w:val="1"/>
              </w:numPr>
              <w:spacing w:before="0" w:after="0"/>
              <w:ind w:hanging="360"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  <w:t>Minimal improvement: -1 point change</w:t>
            </w:r>
          </w:p>
          <w:p>
            <w:pPr>
              <w:pStyle w:val="Table-Bullet1"/>
              <w:widowControl/>
              <w:numPr>
                <w:ilvl w:val="0"/>
                <w:numId w:val="1"/>
              </w:numPr>
              <w:spacing w:before="0" w:after="0"/>
              <w:ind w:hanging="360"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  <w:t>Stable: no change</w:t>
            </w:r>
          </w:p>
          <w:p>
            <w:pPr>
              <w:pStyle w:val="Table-Bullet1"/>
              <w:widowControl/>
              <w:numPr>
                <w:ilvl w:val="0"/>
                <w:numId w:val="1"/>
              </w:numPr>
              <w:spacing w:before="0" w:after="0"/>
              <w:ind w:hanging="360"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  <w:t>Minimal worsening: 1 point change</w:t>
            </w:r>
          </w:p>
          <w:p>
            <w:pPr>
              <w:pStyle w:val="Table-Bullet1"/>
              <w:widowControl/>
              <w:numPr>
                <w:ilvl w:val="0"/>
                <w:numId w:val="1"/>
              </w:numPr>
              <w:spacing w:before="0" w:after="0"/>
              <w:ind w:hanging="360"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  <w:t>Moderate worsening: 2 point change</w:t>
            </w:r>
          </w:p>
          <w:p>
            <w:pPr>
              <w:pStyle w:val="Table-Bullet1"/>
              <w:widowControl/>
              <w:numPr>
                <w:ilvl w:val="0"/>
                <w:numId w:val="1"/>
              </w:numPr>
              <w:spacing w:before="0" w:after="0"/>
              <w:ind w:hanging="360"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  <w:t xml:space="preserve">Major worsening: </w:t>
            </w:r>
            <w:r>
              <w:rPr>
                <w:rFonts w:cs="Calibri" w:cstheme="minorHAnsi"/>
                <w:sz w:val="22"/>
                <w:szCs w:val="22"/>
                <w:lang w:val="en-US" w:eastAsia="en-US" w:bidi="ar-SA"/>
              </w:rPr>
              <w:t>≥</w:t>
            </w:r>
            <w:r>
              <w:rPr>
                <w:rFonts w:cs=""/>
                <w:sz w:val="22"/>
                <w:szCs w:val="22"/>
                <w:lang w:val="en-US" w:eastAsia="en-US" w:bidi="ar-SA"/>
              </w:rPr>
              <w:t>3 point change</w:t>
            </w:r>
          </w:p>
        </w:tc>
        <w:tc>
          <w:tcPr>
            <w:tcW w:w="1641" w:type="dxa"/>
            <w:tcBorders>
              <w:left w:val="nil"/>
            </w:tcBorders>
          </w:tcPr>
          <w:p>
            <w:pPr>
              <w:pStyle w:val="Table-Bullet1"/>
              <w:widowControl/>
              <w:numPr>
                <w:ilvl w:val="0"/>
                <w:numId w:val="1"/>
              </w:numPr>
              <w:spacing w:before="0" w:after="0"/>
              <w:ind w:hanging="360"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  <w:t>DRS-P</w:t>
            </w:r>
          </w:p>
        </w:tc>
      </w:tr>
      <w:tr>
        <w:trPr/>
        <w:tc>
          <w:tcPr>
            <w:tcW w:w="10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nil"/>
            </w:tcBorders>
            <w:shd w:color="auto" w:fill="FFFFFF" w:themeFill="background1" w:val="clear"/>
          </w:tcPr>
          <w:p>
            <w:pPr>
              <w:pStyle w:val="Table-Normal"/>
              <w:widowControl/>
              <w:spacing w:before="0" w:after="0"/>
              <w:jc w:val="both"/>
              <w:rPr>
                <w:rFonts w:ascii="Calibri" w:hAnsi="Calibri" w:cs=""/>
                <w:b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b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-Normal"/>
              <w:widowControl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  <w:t>EQ-5D-5L Anxiety/ Depression</w:t>
            </w:r>
          </w:p>
        </w:tc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-Bullet1"/>
              <w:widowControl/>
              <w:numPr>
                <w:ilvl w:val="0"/>
                <w:numId w:val="1"/>
              </w:numPr>
              <w:spacing w:before="0" w:after="0"/>
              <w:ind w:hanging="360"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  <w:t xml:space="preserve">Major improvement: </w:t>
            </w:r>
            <w:r>
              <w:rPr>
                <w:rFonts w:cs="Calibri" w:cstheme="minorHAnsi"/>
                <w:sz w:val="22"/>
                <w:szCs w:val="22"/>
                <w:lang w:val="en-US" w:eastAsia="en-US" w:bidi="ar-SA"/>
              </w:rPr>
              <w:t>≤</w:t>
            </w:r>
            <w:r>
              <w:rPr>
                <w:rFonts w:cs=""/>
                <w:sz w:val="22"/>
                <w:szCs w:val="22"/>
                <w:lang w:val="en-US" w:eastAsia="en-US" w:bidi="ar-SA"/>
              </w:rPr>
              <w:t>-3 point change</w:t>
            </w:r>
          </w:p>
          <w:p>
            <w:pPr>
              <w:pStyle w:val="Table-Bullet1"/>
              <w:widowControl/>
              <w:numPr>
                <w:ilvl w:val="0"/>
                <w:numId w:val="1"/>
              </w:numPr>
              <w:spacing w:before="0" w:after="0"/>
              <w:ind w:hanging="360"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  <w:t>Moderate improvement: -2 point change</w:t>
            </w:r>
          </w:p>
          <w:p>
            <w:pPr>
              <w:pStyle w:val="Table-Bullet1"/>
              <w:widowControl/>
              <w:numPr>
                <w:ilvl w:val="0"/>
                <w:numId w:val="1"/>
              </w:numPr>
              <w:spacing w:before="0" w:after="0"/>
              <w:ind w:hanging="360"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  <w:t>Minimal improvement: -1 point change</w:t>
            </w:r>
          </w:p>
          <w:p>
            <w:pPr>
              <w:pStyle w:val="Table-Bullet1"/>
              <w:widowControl/>
              <w:numPr>
                <w:ilvl w:val="0"/>
                <w:numId w:val="1"/>
              </w:numPr>
              <w:spacing w:before="0" w:after="0"/>
              <w:ind w:hanging="360"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  <w:t>Stable: no change</w:t>
            </w:r>
          </w:p>
          <w:p>
            <w:pPr>
              <w:pStyle w:val="Table-Bullet1"/>
              <w:widowControl/>
              <w:numPr>
                <w:ilvl w:val="0"/>
                <w:numId w:val="1"/>
              </w:numPr>
              <w:spacing w:before="0" w:after="0"/>
              <w:ind w:hanging="360"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  <w:t>Minimal worsening: 1 point change</w:t>
            </w:r>
          </w:p>
          <w:p>
            <w:pPr>
              <w:pStyle w:val="Table-Bullet1"/>
              <w:widowControl/>
              <w:numPr>
                <w:ilvl w:val="0"/>
                <w:numId w:val="1"/>
              </w:numPr>
              <w:spacing w:before="0" w:after="0"/>
              <w:ind w:hanging="360"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  <w:t>Moderate worsening: 2 point change</w:t>
            </w:r>
          </w:p>
          <w:p>
            <w:pPr>
              <w:pStyle w:val="Table-Bullet1"/>
              <w:widowControl/>
              <w:numPr>
                <w:ilvl w:val="0"/>
                <w:numId w:val="1"/>
              </w:numPr>
              <w:spacing w:before="0" w:after="0"/>
              <w:ind w:hanging="360"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  <w:t xml:space="preserve">Major worsening: </w:t>
            </w:r>
            <w:r>
              <w:rPr>
                <w:rFonts w:cs="Calibri" w:cstheme="minorHAnsi"/>
                <w:sz w:val="22"/>
                <w:szCs w:val="22"/>
                <w:lang w:val="en-US" w:eastAsia="en-US" w:bidi="ar-SA"/>
              </w:rPr>
              <w:t>≥</w:t>
            </w:r>
            <w:r>
              <w:rPr>
                <w:rFonts w:cs=""/>
                <w:sz w:val="22"/>
                <w:szCs w:val="22"/>
                <w:lang w:val="en-US" w:eastAsia="en-US" w:bidi="ar-SA"/>
              </w:rPr>
              <w:t>3 point change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</w:tcBorders>
          </w:tcPr>
          <w:p>
            <w:pPr>
              <w:pStyle w:val="Table-Bullet1"/>
              <w:widowControl/>
              <w:numPr>
                <w:ilvl w:val="0"/>
                <w:numId w:val="1"/>
              </w:numPr>
              <w:spacing w:before="0" w:after="0"/>
              <w:ind w:hanging="360"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  <w:t>DRS-E</w:t>
            </w:r>
          </w:p>
          <w:p>
            <w:pPr>
              <w:pStyle w:val="Table-Bullet1"/>
              <w:widowControl/>
              <w:numPr>
                <w:ilvl w:val="0"/>
                <w:numId w:val="0"/>
              </w:numPr>
              <w:spacing w:before="0" w:after="0"/>
              <w:ind w:hanging="0"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FFFFFF" w:themeFill="background1" w:val="clear"/>
          </w:tcPr>
          <w:p>
            <w:pPr>
              <w:pStyle w:val="Table-Normal"/>
              <w:widowControl/>
              <w:spacing w:before="0" w:after="0"/>
              <w:jc w:val="both"/>
              <w:rPr>
                <w:rFonts w:ascii="Calibri" w:hAnsi="Calibri" w:cs=""/>
                <w:b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b/>
                <w:sz w:val="22"/>
                <w:szCs w:val="22"/>
                <w:lang w:val="en-US" w:eastAsia="en-US" w:bidi="ar-SA"/>
              </w:rPr>
              <w:t>3</w:t>
            </w:r>
          </w:p>
        </w:tc>
        <w:tc>
          <w:tcPr>
            <w:tcW w:w="1465" w:type="dxa"/>
            <w:tcBorders>
              <w:left w:val="nil"/>
              <w:right w:val="nil"/>
            </w:tcBorders>
          </w:tcPr>
          <w:p>
            <w:pPr>
              <w:pStyle w:val="Table-Normal"/>
              <w:widowControl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  <w:t>EQ-5D-5L Usual Activities</w:t>
            </w:r>
          </w:p>
        </w:tc>
        <w:tc>
          <w:tcPr>
            <w:tcW w:w="4884" w:type="dxa"/>
            <w:tcBorders>
              <w:left w:val="nil"/>
              <w:right w:val="nil"/>
            </w:tcBorders>
          </w:tcPr>
          <w:p>
            <w:pPr>
              <w:pStyle w:val="Table-Bullet1"/>
              <w:widowControl/>
              <w:numPr>
                <w:ilvl w:val="0"/>
                <w:numId w:val="1"/>
              </w:numPr>
              <w:spacing w:before="0" w:after="0"/>
              <w:ind w:hanging="360"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  <w:t xml:space="preserve">Major improvement: </w:t>
            </w:r>
            <w:r>
              <w:rPr>
                <w:rFonts w:cs="Calibri" w:cstheme="minorHAnsi"/>
                <w:sz w:val="22"/>
                <w:szCs w:val="22"/>
                <w:lang w:val="en-US" w:eastAsia="en-US" w:bidi="ar-SA"/>
              </w:rPr>
              <w:t>≤</w:t>
            </w:r>
            <w:r>
              <w:rPr>
                <w:rFonts w:cs=""/>
                <w:sz w:val="22"/>
                <w:szCs w:val="22"/>
                <w:lang w:val="en-US" w:eastAsia="en-US" w:bidi="ar-SA"/>
              </w:rPr>
              <w:t>-3 point change</w:t>
            </w:r>
          </w:p>
          <w:p>
            <w:pPr>
              <w:pStyle w:val="Table-Bullet1"/>
              <w:widowControl/>
              <w:numPr>
                <w:ilvl w:val="0"/>
                <w:numId w:val="1"/>
              </w:numPr>
              <w:spacing w:before="0" w:after="0"/>
              <w:ind w:hanging="360"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  <w:t>Moderate improvement: -2 point change</w:t>
            </w:r>
          </w:p>
          <w:p>
            <w:pPr>
              <w:pStyle w:val="Table-Bullet1"/>
              <w:widowControl/>
              <w:numPr>
                <w:ilvl w:val="0"/>
                <w:numId w:val="1"/>
              </w:numPr>
              <w:spacing w:before="0" w:after="0"/>
              <w:ind w:hanging="360"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  <w:t>Minimal improvement: -1 point change</w:t>
            </w:r>
          </w:p>
          <w:p>
            <w:pPr>
              <w:pStyle w:val="Table-Bullet1"/>
              <w:widowControl/>
              <w:numPr>
                <w:ilvl w:val="0"/>
                <w:numId w:val="1"/>
              </w:numPr>
              <w:spacing w:before="0" w:after="0"/>
              <w:ind w:hanging="360"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  <w:t>Stable: no change</w:t>
            </w:r>
          </w:p>
          <w:p>
            <w:pPr>
              <w:pStyle w:val="Table-Bullet1"/>
              <w:widowControl/>
              <w:numPr>
                <w:ilvl w:val="0"/>
                <w:numId w:val="1"/>
              </w:numPr>
              <w:spacing w:before="0" w:after="0"/>
              <w:ind w:hanging="360"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  <w:t>Minimal worsening: 1 point change</w:t>
            </w:r>
          </w:p>
          <w:p>
            <w:pPr>
              <w:pStyle w:val="Table-Bullet1"/>
              <w:widowControl/>
              <w:numPr>
                <w:ilvl w:val="0"/>
                <w:numId w:val="1"/>
              </w:numPr>
              <w:spacing w:before="0" w:after="0"/>
              <w:ind w:hanging="360"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  <w:t>Moderate worsening: 2 point change</w:t>
            </w:r>
          </w:p>
          <w:p>
            <w:pPr>
              <w:pStyle w:val="Table-Bullet1"/>
              <w:widowControl/>
              <w:numPr>
                <w:ilvl w:val="0"/>
                <w:numId w:val="1"/>
              </w:numPr>
              <w:spacing w:before="0" w:after="0"/>
              <w:ind w:hanging="360"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  <w:t xml:space="preserve">Major worsening: </w:t>
            </w:r>
            <w:r>
              <w:rPr>
                <w:rFonts w:cs="Calibri" w:cstheme="minorHAnsi"/>
                <w:sz w:val="22"/>
                <w:szCs w:val="22"/>
                <w:lang w:val="en-US" w:eastAsia="en-US" w:bidi="ar-SA"/>
              </w:rPr>
              <w:t>≥</w:t>
            </w:r>
            <w:r>
              <w:rPr>
                <w:rFonts w:cs=""/>
                <w:sz w:val="22"/>
                <w:szCs w:val="22"/>
                <w:lang w:val="en-US" w:eastAsia="en-US" w:bidi="ar-SA"/>
              </w:rPr>
              <w:t>3 point change</w:t>
            </w:r>
          </w:p>
        </w:tc>
        <w:tc>
          <w:tcPr>
            <w:tcW w:w="1641" w:type="dxa"/>
            <w:tcBorders>
              <w:left w:val="nil"/>
            </w:tcBorders>
          </w:tcPr>
          <w:p>
            <w:pPr>
              <w:pStyle w:val="Table-Bullet1"/>
              <w:widowControl/>
              <w:numPr>
                <w:ilvl w:val="0"/>
                <w:numId w:val="1"/>
              </w:numPr>
              <w:spacing w:before="0" w:after="0"/>
              <w:ind w:hanging="360"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  <w:t>DRS-P</w:t>
            </w:r>
          </w:p>
          <w:p>
            <w:pPr>
              <w:pStyle w:val="Table-Bullet1"/>
              <w:widowControl/>
              <w:numPr>
                <w:ilvl w:val="0"/>
                <w:numId w:val="0"/>
              </w:numPr>
              <w:spacing w:before="0" w:after="0"/>
              <w:ind w:hanging="0"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10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nil"/>
            </w:tcBorders>
            <w:shd w:color="auto" w:fill="FFFFFF" w:themeFill="background1" w:val="clear"/>
          </w:tcPr>
          <w:p>
            <w:pPr>
              <w:pStyle w:val="Table-Normal"/>
              <w:widowControl/>
              <w:spacing w:before="0" w:after="0"/>
              <w:jc w:val="both"/>
              <w:rPr>
                <w:rFonts w:ascii="Calibri" w:hAnsi="Calibri" w:cs=""/>
                <w:b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b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-Normal"/>
              <w:widowControl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  <w:t>EQ-5D-5L Mobility</w:t>
            </w:r>
          </w:p>
        </w:tc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-Bullet1"/>
              <w:widowControl/>
              <w:numPr>
                <w:ilvl w:val="0"/>
                <w:numId w:val="1"/>
              </w:numPr>
              <w:spacing w:before="0" w:after="0"/>
              <w:ind w:hanging="360"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  <w:t xml:space="preserve">Major improvement: </w:t>
            </w:r>
            <w:r>
              <w:rPr>
                <w:rFonts w:cs="Calibri" w:cstheme="minorHAnsi"/>
                <w:sz w:val="22"/>
                <w:szCs w:val="22"/>
                <w:lang w:val="en-US" w:eastAsia="en-US" w:bidi="ar-SA"/>
              </w:rPr>
              <w:t>≤</w:t>
            </w:r>
            <w:r>
              <w:rPr>
                <w:rFonts w:cs=""/>
                <w:sz w:val="22"/>
                <w:szCs w:val="22"/>
                <w:lang w:val="en-US" w:eastAsia="en-US" w:bidi="ar-SA"/>
              </w:rPr>
              <w:t>-3 point change</w:t>
            </w:r>
          </w:p>
          <w:p>
            <w:pPr>
              <w:pStyle w:val="Table-Bullet1"/>
              <w:widowControl/>
              <w:numPr>
                <w:ilvl w:val="0"/>
                <w:numId w:val="1"/>
              </w:numPr>
              <w:spacing w:before="0" w:after="0"/>
              <w:ind w:hanging="360"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  <w:t>Moderate improvement: -2 point change</w:t>
            </w:r>
          </w:p>
          <w:p>
            <w:pPr>
              <w:pStyle w:val="Table-Bullet1"/>
              <w:widowControl/>
              <w:numPr>
                <w:ilvl w:val="0"/>
                <w:numId w:val="1"/>
              </w:numPr>
              <w:spacing w:before="0" w:after="0"/>
              <w:ind w:hanging="360"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  <w:t>Minimal improvement: -1 point change</w:t>
            </w:r>
          </w:p>
          <w:p>
            <w:pPr>
              <w:pStyle w:val="Table-Bullet1"/>
              <w:widowControl/>
              <w:numPr>
                <w:ilvl w:val="0"/>
                <w:numId w:val="1"/>
              </w:numPr>
              <w:spacing w:before="0" w:after="0"/>
              <w:ind w:hanging="360"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  <w:t>Stable: no change</w:t>
            </w:r>
          </w:p>
          <w:p>
            <w:pPr>
              <w:pStyle w:val="Table-Bullet1"/>
              <w:widowControl/>
              <w:numPr>
                <w:ilvl w:val="0"/>
                <w:numId w:val="1"/>
              </w:numPr>
              <w:spacing w:before="0" w:after="0"/>
              <w:ind w:hanging="360"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  <w:t>Minimal worsening: 1 point change</w:t>
            </w:r>
          </w:p>
          <w:p>
            <w:pPr>
              <w:pStyle w:val="Table-Bullet1"/>
              <w:widowControl/>
              <w:numPr>
                <w:ilvl w:val="0"/>
                <w:numId w:val="1"/>
              </w:numPr>
              <w:spacing w:before="0" w:after="0"/>
              <w:ind w:hanging="360"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  <w:t>Moderate worsening: 2 point change</w:t>
            </w:r>
          </w:p>
          <w:p>
            <w:pPr>
              <w:pStyle w:val="Table-Bullet1"/>
              <w:widowControl/>
              <w:numPr>
                <w:ilvl w:val="0"/>
                <w:numId w:val="1"/>
              </w:numPr>
              <w:spacing w:before="0" w:after="0"/>
              <w:ind w:hanging="360"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  <w:t xml:space="preserve">Major worsening: </w:t>
            </w:r>
            <w:r>
              <w:rPr>
                <w:rFonts w:cs="Calibri" w:cstheme="minorHAnsi"/>
                <w:sz w:val="22"/>
                <w:szCs w:val="22"/>
                <w:lang w:val="en-US" w:eastAsia="en-US" w:bidi="ar-SA"/>
              </w:rPr>
              <w:t>≥</w:t>
            </w:r>
            <w:r>
              <w:rPr>
                <w:rFonts w:cs=""/>
                <w:sz w:val="22"/>
                <w:szCs w:val="22"/>
                <w:lang w:val="en-US" w:eastAsia="en-US" w:bidi="ar-SA"/>
              </w:rPr>
              <w:t>3 point change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</w:tcBorders>
          </w:tcPr>
          <w:p>
            <w:pPr>
              <w:pStyle w:val="Table-Bullet1"/>
              <w:widowControl/>
              <w:numPr>
                <w:ilvl w:val="0"/>
                <w:numId w:val="1"/>
              </w:numPr>
              <w:spacing w:before="0" w:after="0"/>
              <w:ind w:hanging="360"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  <w:t>DRS-P</w:t>
            </w:r>
          </w:p>
          <w:p>
            <w:pPr>
              <w:pStyle w:val="Table-Bullet1"/>
              <w:widowControl/>
              <w:numPr>
                <w:ilvl w:val="0"/>
                <w:numId w:val="0"/>
              </w:numPr>
              <w:spacing w:before="0" w:after="0"/>
              <w:ind w:hanging="0"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FFFFFF" w:themeFill="background1" w:val="clear"/>
          </w:tcPr>
          <w:p>
            <w:pPr>
              <w:pStyle w:val="Table-Normal"/>
              <w:widowControl/>
              <w:spacing w:before="0" w:after="0"/>
              <w:jc w:val="both"/>
              <w:rPr>
                <w:rFonts w:ascii="Calibri" w:hAnsi="Calibri" w:cs=""/>
                <w:b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b/>
                <w:sz w:val="22"/>
                <w:szCs w:val="22"/>
                <w:lang w:val="en-US" w:eastAsia="en-US" w:bidi="ar-SA"/>
              </w:rPr>
              <w:t>5</w:t>
            </w:r>
          </w:p>
        </w:tc>
        <w:tc>
          <w:tcPr>
            <w:tcW w:w="1465" w:type="dxa"/>
            <w:tcBorders>
              <w:left w:val="nil"/>
              <w:right w:val="nil"/>
            </w:tcBorders>
          </w:tcPr>
          <w:p>
            <w:pPr>
              <w:pStyle w:val="Table-Normal"/>
              <w:widowControl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  <w:t>EQ-5D-5L VAS</w:t>
            </w:r>
          </w:p>
        </w:tc>
        <w:tc>
          <w:tcPr>
            <w:tcW w:w="4884" w:type="dxa"/>
            <w:tcBorders>
              <w:left w:val="nil"/>
              <w:right w:val="nil"/>
            </w:tcBorders>
          </w:tcPr>
          <w:p>
            <w:pPr>
              <w:pStyle w:val="Table-Bullet1"/>
              <w:widowControl/>
              <w:numPr>
                <w:ilvl w:val="0"/>
                <w:numId w:val="1"/>
              </w:numPr>
              <w:spacing w:before="0" w:after="0"/>
              <w:ind w:hanging="360"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  <w:t>Major improvement: ≥ 21 point change</w:t>
            </w:r>
          </w:p>
          <w:p>
            <w:pPr>
              <w:pStyle w:val="Table-Bullet1"/>
              <w:widowControl/>
              <w:numPr>
                <w:ilvl w:val="0"/>
                <w:numId w:val="1"/>
              </w:numPr>
              <w:spacing w:before="0" w:after="0"/>
              <w:ind w:hanging="360"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  <w:t>Moderate improvement: ≥14 to &lt;21 point change</w:t>
            </w:r>
          </w:p>
          <w:p>
            <w:pPr>
              <w:pStyle w:val="Table-Bullet1"/>
              <w:widowControl/>
              <w:numPr>
                <w:ilvl w:val="0"/>
                <w:numId w:val="1"/>
              </w:numPr>
              <w:spacing w:before="0" w:after="0"/>
              <w:ind w:hanging="360"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  <w:t>Minimal improvement: ≥7 to &lt;14 point change</w:t>
            </w:r>
          </w:p>
          <w:p>
            <w:pPr>
              <w:pStyle w:val="Table-Bullet1"/>
              <w:widowControl/>
              <w:numPr>
                <w:ilvl w:val="0"/>
                <w:numId w:val="1"/>
              </w:numPr>
              <w:spacing w:before="0" w:after="0"/>
              <w:ind w:hanging="360"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  <w:t>Stable: change less than 7 points (negative and positive)</w:t>
            </w:r>
          </w:p>
          <w:p>
            <w:pPr>
              <w:pStyle w:val="Table-Bullet1"/>
              <w:widowControl/>
              <w:numPr>
                <w:ilvl w:val="0"/>
                <w:numId w:val="1"/>
              </w:numPr>
              <w:spacing w:before="0" w:after="0"/>
              <w:ind w:hanging="360"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  <w:t>Minimal worsening: ≤-7 to &gt;-14 point change</w:t>
            </w:r>
          </w:p>
          <w:p>
            <w:pPr>
              <w:pStyle w:val="Table-Bullet1"/>
              <w:widowControl/>
              <w:numPr>
                <w:ilvl w:val="0"/>
                <w:numId w:val="1"/>
              </w:numPr>
              <w:spacing w:before="0" w:after="0"/>
              <w:ind w:hanging="360"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  <w:t>Moderate worsening: ≤-14 to &gt;-21 point change</w:t>
            </w:r>
          </w:p>
          <w:p>
            <w:pPr>
              <w:pStyle w:val="Table-Bullet1"/>
              <w:widowControl/>
              <w:numPr>
                <w:ilvl w:val="0"/>
                <w:numId w:val="1"/>
              </w:numPr>
              <w:spacing w:before="0" w:after="0"/>
              <w:ind w:hanging="360"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  <w:t>Major worsening: ≤-21 point change</w:t>
            </w:r>
          </w:p>
        </w:tc>
        <w:tc>
          <w:tcPr>
            <w:tcW w:w="1641" w:type="dxa"/>
            <w:tcBorders>
              <w:left w:val="nil"/>
            </w:tcBorders>
          </w:tcPr>
          <w:p>
            <w:pPr>
              <w:pStyle w:val="Table-Bullet1"/>
              <w:widowControl/>
              <w:numPr>
                <w:ilvl w:val="0"/>
                <w:numId w:val="1"/>
              </w:numPr>
              <w:spacing w:before="0" w:after="0"/>
              <w:ind w:hanging="360"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  <w:t>NFBSI Total</w:t>
            </w:r>
          </w:p>
          <w:p>
            <w:pPr>
              <w:pStyle w:val="Table-Bullet1"/>
              <w:widowControl/>
              <w:numPr>
                <w:ilvl w:val="0"/>
                <w:numId w:val="1"/>
              </w:numPr>
              <w:spacing w:before="0" w:after="0"/>
              <w:ind w:hanging="360"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  <w:t>DRS-P</w:t>
            </w:r>
          </w:p>
          <w:p>
            <w:pPr>
              <w:pStyle w:val="Table-Bullet1"/>
              <w:widowControl/>
              <w:numPr>
                <w:ilvl w:val="0"/>
                <w:numId w:val="1"/>
              </w:numPr>
              <w:spacing w:before="0" w:after="0"/>
              <w:ind w:hanging="360"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  <w:t>DRS-E</w:t>
            </w:r>
          </w:p>
          <w:p>
            <w:pPr>
              <w:pStyle w:val="Table-Bullet1"/>
              <w:widowControl/>
              <w:numPr>
                <w:ilvl w:val="0"/>
                <w:numId w:val="0"/>
              </w:numPr>
              <w:spacing w:before="0" w:after="0"/>
              <w:ind w:hanging="0"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10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right w:val="nil"/>
            </w:tcBorders>
            <w:shd w:color="auto" w:fill="FFFFFF" w:themeFill="background1" w:val="clear"/>
          </w:tcPr>
          <w:p>
            <w:pPr>
              <w:pStyle w:val="Table-Normal"/>
              <w:keepNext w:val="true"/>
              <w:widowControl/>
              <w:spacing w:before="0" w:after="0"/>
              <w:jc w:val="both"/>
              <w:rPr>
                <w:rFonts w:ascii="Calibri" w:hAnsi="Calibri" w:cs=""/>
                <w:b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b/>
                <w:sz w:val="22"/>
                <w:szCs w:val="22"/>
                <w:lang w:val="en-US" w:eastAsia="en-US" w:bidi="ar-SA"/>
              </w:rPr>
              <w:t>6</w:t>
            </w:r>
          </w:p>
        </w:tc>
        <w:tc>
          <w:tcPr>
            <w:tcW w:w="1465" w:type="dxa"/>
            <w:tcBorders>
              <w:top w:val="nil"/>
              <w:left w:val="nil"/>
              <w:right w:val="nil"/>
            </w:tcBorders>
          </w:tcPr>
          <w:p>
            <w:pPr>
              <w:pStyle w:val="Table-Normal"/>
              <w:keepNext w:val="true"/>
              <w:widowControl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  <w:t>ECOG</w:t>
            </w:r>
          </w:p>
        </w:tc>
        <w:tc>
          <w:tcPr>
            <w:tcW w:w="4884" w:type="dxa"/>
            <w:tcBorders>
              <w:top w:val="nil"/>
              <w:left w:val="nil"/>
              <w:right w:val="nil"/>
            </w:tcBorders>
          </w:tcPr>
          <w:p>
            <w:pPr>
              <w:pStyle w:val="Table-Bullet1"/>
              <w:keepNext w:val="true"/>
              <w:widowControl/>
              <w:numPr>
                <w:ilvl w:val="0"/>
                <w:numId w:val="1"/>
              </w:numPr>
              <w:spacing w:before="0" w:after="0"/>
              <w:ind w:hanging="360"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  <w:t>Minimal improvement: -1 point change</w:t>
            </w:r>
          </w:p>
          <w:p>
            <w:pPr>
              <w:pStyle w:val="Table-Bullet1"/>
              <w:keepNext w:val="true"/>
              <w:widowControl/>
              <w:numPr>
                <w:ilvl w:val="0"/>
                <w:numId w:val="1"/>
              </w:numPr>
              <w:spacing w:before="0" w:after="0"/>
              <w:ind w:hanging="360"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  <w:t>Stable: 0 point change</w:t>
            </w:r>
          </w:p>
          <w:p>
            <w:pPr>
              <w:pStyle w:val="Table-Bullet1"/>
              <w:keepNext w:val="true"/>
              <w:widowControl/>
              <w:numPr>
                <w:ilvl w:val="0"/>
                <w:numId w:val="1"/>
              </w:numPr>
              <w:spacing w:before="0" w:after="0"/>
              <w:ind w:hanging="360"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  <w:t>Minimal worsening: 1 point change</w:t>
            </w:r>
          </w:p>
          <w:p>
            <w:pPr>
              <w:pStyle w:val="Table-Bullet1"/>
              <w:keepNext w:val="true"/>
              <w:widowControl/>
              <w:numPr>
                <w:ilvl w:val="0"/>
                <w:numId w:val="1"/>
              </w:numPr>
              <w:spacing w:before="0" w:after="0"/>
              <w:ind w:hanging="360"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  <w:t>Moderate to major worsening: ≥2 point change</w:t>
            </w:r>
          </w:p>
        </w:tc>
        <w:tc>
          <w:tcPr>
            <w:tcW w:w="1641" w:type="dxa"/>
            <w:tcBorders>
              <w:top w:val="nil"/>
              <w:left w:val="nil"/>
            </w:tcBorders>
          </w:tcPr>
          <w:p>
            <w:pPr>
              <w:pStyle w:val="Table-Bullet1"/>
              <w:keepNext w:val="true"/>
              <w:widowControl/>
              <w:numPr>
                <w:ilvl w:val="0"/>
                <w:numId w:val="1"/>
              </w:numPr>
              <w:spacing w:before="0" w:after="0"/>
              <w:ind w:hanging="360"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  <w:t>NFBSI Total</w:t>
            </w:r>
          </w:p>
          <w:p>
            <w:pPr>
              <w:pStyle w:val="Table-Bullet1"/>
              <w:keepNext w:val="true"/>
              <w:widowControl/>
              <w:numPr>
                <w:ilvl w:val="0"/>
                <w:numId w:val="1"/>
              </w:numPr>
              <w:spacing w:before="0" w:after="0"/>
              <w:ind w:hanging="360"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  <w:t>DRS-P</w:t>
            </w:r>
          </w:p>
          <w:p>
            <w:pPr>
              <w:pStyle w:val="Table-Bullet1"/>
              <w:keepNext w:val="true"/>
              <w:widowControl/>
              <w:numPr>
                <w:ilvl w:val="0"/>
                <w:numId w:val="0"/>
              </w:numPr>
              <w:spacing w:before="0" w:after="0"/>
              <w:ind w:hanging="0"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"/>
                <w:sz w:val="22"/>
                <w:szCs w:val="22"/>
                <w:lang w:val="en-US" w:eastAsia="en-US" w:bidi="ar-SA"/>
              </w:rPr>
            </w:pPr>
            <w:r>
              <w:rPr>
                <w:rFonts w:cs=""/>
                <w:sz w:val="22"/>
                <w:szCs w:val="22"/>
                <w:lang w:val="en-US" w:eastAsia="en-US" w:bidi="ar-SA"/>
              </w:rPr>
            </w:r>
          </w:p>
        </w:tc>
      </w:tr>
    </w:tbl>
    <w:p>
      <w:pPr>
        <w:pStyle w:val="EndnoteText"/>
        <w:rPr/>
      </w:pPr>
      <w:r>
        <w:rPr/>
        <w:t>Minimal and Moderate improvement/worsening groups were merged due to low sample size to form a Minimal-to-Moderate Improvement group and Minimal-to-Moderate Worsening group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  <w:r>
        <w:br w:type="page"/>
      </w:r>
    </w:p>
    <w:p>
      <w:pPr>
        <w:pStyle w:val="Normal"/>
        <w:spacing w:before="0" w:after="160"/>
        <w:rPr>
          <w:b/>
          <w:bCs/>
        </w:rPr>
      </w:pPr>
      <w:r>
        <w:rPr>
          <w:b/>
          <w:bCs/>
        </w:rPr>
        <w:t>Supplementary Table 2.1: NFBSI-16 item-total correlations at Cycle 2</w:t>
      </w:r>
    </w:p>
    <w:tbl>
      <w:tblPr>
        <w:tblStyle w:val="TableGrid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717"/>
        <w:gridCol w:w="1327"/>
        <w:gridCol w:w="1328"/>
        <w:gridCol w:w="1327"/>
        <w:gridCol w:w="1327"/>
      </w:tblGrid>
      <w:tr>
        <w:trPr/>
        <w:tc>
          <w:tcPr>
            <w:tcW w:w="3717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keepNext w:val="true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</w:r>
          </w:p>
        </w:tc>
        <w:tc>
          <w:tcPr>
            <w:tcW w:w="5309" w:type="dxa"/>
            <w:gridSpan w:val="4"/>
            <w:tcBorders>
              <w:top w:val="nil"/>
              <w:left w:val="nil"/>
              <w:right w:val="nil"/>
            </w:tcBorders>
          </w:tcPr>
          <w:p>
            <w:pPr>
              <w:pStyle w:val="Normal"/>
              <w:keepNext w:val="true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b/>
                <w:bCs/>
                <w:color w:val="000000"/>
                <w:kern w:val="2"/>
                <w:sz w:val="22"/>
                <w:szCs w:val="22"/>
                <w:lang w:val="en-GB" w:eastAsia="en-GB" w:bidi="ar-SA"/>
              </w:rPr>
              <w:t>Correlation with domain</w:t>
            </w:r>
          </w:p>
        </w:tc>
      </w:tr>
      <w:tr>
        <w:trPr>
          <w:trHeight w:val="586" w:hRule="exact"/>
        </w:trPr>
        <w:tc>
          <w:tcPr>
            <w:tcW w:w="3717" w:type="dxa"/>
            <w:tcBorders>
              <w:left w:val="nil"/>
              <w:right w:val="nil"/>
            </w:tcBorders>
          </w:tcPr>
          <w:p>
            <w:pPr>
              <w:pStyle w:val="Normal"/>
              <w:keepNext w:val="true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</w:r>
          </w:p>
        </w:tc>
        <w:tc>
          <w:tcPr>
            <w:tcW w:w="1327" w:type="dxa"/>
            <w:tcBorders>
              <w:left w:val="nil"/>
              <w:right w:val="nil"/>
            </w:tcBorders>
          </w:tcPr>
          <w:p>
            <w:pPr>
              <w:pStyle w:val="Normal"/>
              <w:keepNext w:val="true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b/>
                <w:bCs/>
                <w:color w:val="000000"/>
                <w:kern w:val="2"/>
                <w:sz w:val="22"/>
                <w:szCs w:val="22"/>
                <w:lang w:val="en-GB" w:eastAsia="en-GB" w:bidi="ar-SA"/>
              </w:rPr>
              <w:t>NFBSI-16 Total</w:t>
              <w:br/>
              <w:t>(N=93)</w:t>
            </w:r>
          </w:p>
        </w:tc>
        <w:tc>
          <w:tcPr>
            <w:tcW w:w="1328" w:type="dxa"/>
            <w:tcBorders>
              <w:left w:val="nil"/>
              <w:right w:val="nil"/>
            </w:tcBorders>
          </w:tcPr>
          <w:p>
            <w:pPr>
              <w:pStyle w:val="Normal"/>
              <w:keepNext w:val="true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b/>
                <w:bCs/>
                <w:color w:val="000000"/>
                <w:kern w:val="2"/>
                <w:sz w:val="22"/>
                <w:szCs w:val="22"/>
                <w:lang w:val="en-GB" w:eastAsia="en-GB" w:bidi="ar-SA"/>
              </w:rPr>
              <w:t>NFBSI-16 DRS-P</w:t>
              <w:br/>
              <w:t>(N=93)</w:t>
            </w:r>
          </w:p>
        </w:tc>
        <w:tc>
          <w:tcPr>
            <w:tcW w:w="1327" w:type="dxa"/>
            <w:tcBorders>
              <w:left w:val="nil"/>
              <w:right w:val="nil"/>
            </w:tcBorders>
          </w:tcPr>
          <w:p>
            <w:pPr>
              <w:pStyle w:val="Normal"/>
              <w:keepNext w:val="true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b/>
                <w:bCs/>
                <w:color w:val="000000"/>
                <w:kern w:val="2"/>
                <w:sz w:val="22"/>
                <w:szCs w:val="22"/>
                <w:lang w:val="en-GB" w:eastAsia="en-GB" w:bidi="ar-SA"/>
              </w:rPr>
              <w:t>NFBSI-16 FWB</w:t>
              <w:br/>
              <w:t>(N=93)</w:t>
            </w:r>
          </w:p>
        </w:tc>
        <w:tc>
          <w:tcPr>
            <w:tcW w:w="1327" w:type="dxa"/>
            <w:tcBorders>
              <w:left w:val="nil"/>
              <w:right w:val="nil"/>
            </w:tcBorders>
          </w:tcPr>
          <w:p>
            <w:pPr>
              <w:pStyle w:val="Normal"/>
              <w:keepNext w:val="true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</w:r>
          </w:p>
        </w:tc>
      </w:tr>
      <w:tr>
        <w:trPr/>
        <w:tc>
          <w:tcPr>
            <w:tcW w:w="9026" w:type="dxa"/>
            <w:gridSpan w:val="5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left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</w:r>
          </w:p>
        </w:tc>
      </w:tr>
      <w:tr>
        <w:trPr/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left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GP1: I have a lack of energy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0.785*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0.783*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0.437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</w:r>
          </w:p>
        </w:tc>
      </w:tr>
      <w:tr>
        <w:trPr/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left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GP4: I have pain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0.612*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0.627*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0.289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</w:r>
          </w:p>
        </w:tc>
      </w:tr>
      <w:tr>
        <w:trPr/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left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GP6: I feel ill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0.716*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0.665*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0.505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</w:r>
          </w:p>
        </w:tc>
      </w:tr>
      <w:tr>
        <w:trPr/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left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B1: I have been short of breath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Calibri" w:cs="Calibri" w:cstheme="minorHAnsi"/>
                <w:color w:val="000000"/>
                <w:kern w:val="2"/>
                <w:sz w:val="22"/>
                <w:szCs w:val="22"/>
                <w:lang w:val="en-GB" w:eastAsia="en-US" w:bidi="ar-SA"/>
              </w:rPr>
              <w:t>0.362*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0.448*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0.231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</w:r>
          </w:p>
        </w:tc>
      </w:tr>
      <w:tr>
        <w:trPr/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left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GP3: I have trouble meeting family needs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0.747*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0.721*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0.600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</w:r>
          </w:p>
        </w:tc>
      </w:tr>
      <w:tr>
        <w:trPr/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left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BP1: I have bone pain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0.668*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0.729*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0.400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</w:r>
          </w:p>
        </w:tc>
      </w:tr>
      <w:tr>
        <w:trPr/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left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HI7: I feel fatigued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0.608*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0.624*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0.229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</w:r>
          </w:p>
        </w:tc>
      </w:tr>
      <w:tr>
        <w:trPr/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left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GF5: I am sleeping well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eastAsia="Calibri" w:cs="Calibri" w:cstheme="minorHAnsi"/>
                <w:color w:val="000000"/>
                <w:kern w:val="2"/>
                <w:sz w:val="22"/>
                <w:szCs w:val="22"/>
                <w:lang w:val="en-GB" w:eastAsia="en-US" w:bidi="ar-SA"/>
              </w:rPr>
              <w:t>0.340*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Calibri" w:cs="Calibri" w:cstheme="minorHAnsi"/>
                <w:color w:val="000000"/>
                <w:kern w:val="2"/>
                <w:sz w:val="22"/>
                <w:szCs w:val="22"/>
                <w:lang w:val="en-GB" w:eastAsia="en-US" w:bidi="ar-SA"/>
              </w:rPr>
              <w:t>0.324*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Calibri" w:cs="Calibri" w:cstheme="minorHAnsi"/>
                <w:color w:val="000000"/>
                <w:kern w:val="2"/>
                <w:sz w:val="22"/>
                <w:szCs w:val="22"/>
                <w:lang w:val="en-GB" w:eastAsia="en-US" w:bidi="ar-SA"/>
              </w:rPr>
              <w:t>0.418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</w:r>
          </w:p>
        </w:tc>
      </w:tr>
      <w:tr>
        <w:trPr/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left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GE6: I worry condition will get worse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eastAsia="Calibri" w:cs="Calibri" w:cstheme="minorHAnsi"/>
                <w:color w:val="000000"/>
                <w:kern w:val="2"/>
                <w:sz w:val="22"/>
                <w:szCs w:val="22"/>
                <w:lang w:val="en-GB" w:eastAsia="en-US" w:bidi="ar-SA"/>
              </w:rPr>
              <w:t>0.330*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0.328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0.107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</w:r>
          </w:p>
        </w:tc>
      </w:tr>
      <w:tr>
        <w:trPr/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left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GP2: I have nausea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0.558*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Calibri" w:cs="Calibri" w:cstheme="minorHAnsi"/>
                <w:color w:val="000000"/>
                <w:kern w:val="2"/>
                <w:sz w:val="22"/>
                <w:szCs w:val="22"/>
                <w:lang w:val="en-GB" w:eastAsia="en-US" w:bidi="ar-SA"/>
              </w:rPr>
              <w:t>0.573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0.264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</w:r>
          </w:p>
        </w:tc>
      </w:tr>
      <w:tr>
        <w:trPr/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left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N6: I have mouth sores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Calibri" w:cs="Calibri" w:cstheme="minorHAnsi"/>
                <w:color w:val="000000"/>
                <w:kern w:val="2"/>
                <w:sz w:val="22"/>
                <w:szCs w:val="22"/>
                <w:lang w:val="en-GB" w:eastAsia="en-US" w:bidi="ar-SA"/>
              </w:rPr>
              <w:t>0.231*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0.166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0.027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</w:r>
          </w:p>
        </w:tc>
      </w:tr>
      <w:tr>
        <w:trPr/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left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GP5: I am bothered by treatment side effects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0.576*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0.506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0.302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</w:r>
          </w:p>
        </w:tc>
      </w:tr>
      <w:tr>
        <w:trPr/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left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B5: I am bothered by hair loss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Calibri" w:cs="Calibri" w:cstheme="minorHAnsi"/>
                <w:color w:val="000000"/>
                <w:kern w:val="2"/>
                <w:sz w:val="22"/>
                <w:szCs w:val="22"/>
                <w:lang w:val="en-GB" w:eastAsia="en-US" w:bidi="ar-SA"/>
              </w:rPr>
              <w:t>0.266*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0.230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-0.048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</w:r>
          </w:p>
        </w:tc>
      </w:tr>
      <w:tr>
        <w:trPr/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left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GF1: I am able to work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0.498*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0.517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0.628*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</w:r>
          </w:p>
        </w:tc>
      </w:tr>
      <w:tr>
        <w:trPr/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left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GF3: I am able to enjoy life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0.480*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0.408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0.790*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</w:r>
          </w:p>
        </w:tc>
      </w:tr>
      <w:tr>
        <w:trPr/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pacing w:lineRule="auto" w:line="240" w:before="19" w:after="19"/>
              <w:jc w:val="left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GF7: I am content with quality of my life right now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0.589*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0.513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  <w:t>0.787*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pacing w:lineRule="auto" w:line="240" w:before="19" w:after="19"/>
              <w:jc w:val="center"/>
              <w:rPr>
                <w:rFonts w:eastAsia="Times New Roman" w:cs="Calibri" w:cstheme="minorHAnsi"/>
                <w:color w:val="000000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kern w:val="2"/>
                <w:sz w:val="22"/>
                <w:szCs w:val="22"/>
                <w:lang w:val="en-GB" w:eastAsia="en-GB" w:bidi="ar-SA"/>
              </w:rPr>
            </w:r>
          </w:p>
        </w:tc>
      </w:tr>
      <w:tr>
        <w:trPr>
          <w:trHeight w:val="135" w:hRule="exact"/>
        </w:trPr>
        <w:tc>
          <w:tcPr>
            <w:tcW w:w="9026" w:type="dxa"/>
            <w:gridSpan w:val="5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19" w:after="1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0"/>
                <w:szCs w:val="20"/>
                <w:lang w:val="en-GB" w:eastAsia="en-GB" w:bidi="ar-SA"/>
              </w:rPr>
            </w:r>
          </w:p>
        </w:tc>
      </w:tr>
    </w:tbl>
    <w:p>
      <w:pPr>
        <w:pStyle w:val="Normal"/>
        <w:rPr>
          <w:i/>
          <w:i/>
          <w:iCs/>
        </w:rPr>
      </w:pPr>
      <w:r>
        <w:rPr>
          <w:i/>
          <w:iCs/>
        </w:rPr>
        <w:t>Table footnote: Abbreviations: NFBSI: National Comprehensive Cancer Network Functional Assessment Of Cancer Therapy-Breast Cancer Symptom Index; DRS-P: Disease-Related Symptoms Physical; FWB: Functional Wellbeing</w:t>
      </w:r>
    </w:p>
    <w:p>
      <w:pPr>
        <w:pStyle w:val="Normal"/>
        <w:rPr>
          <w:i/>
          <w:i/>
          <w:iCs/>
        </w:rPr>
      </w:pPr>
      <w:r>
        <w:rPr>
          <w:i/>
          <w:iCs/>
        </w:rPr>
        <w:t>Polychoric correlation coefficients on the day of the visit. Item-scale correlation corrected for overlap (relevant item removed from its scale for correlation) when the item belongs to the domain in question, as signified by *.</w:t>
      </w:r>
    </w:p>
    <w:p>
      <w:pPr>
        <w:pStyle w:val="Normal"/>
        <w:rPr>
          <w:i/>
          <w:i/>
          <w:iCs/>
        </w:rPr>
      </w:pPr>
      <w:r>
        <w:rPr>
          <w:i/>
          <w:iCs/>
        </w:rPr>
      </w:r>
      <w:r>
        <w:br w:type="page"/>
      </w:r>
    </w:p>
    <w:p>
      <w:pPr>
        <w:pStyle w:val="Normal"/>
        <w:spacing w:before="0" w:after="160"/>
        <w:rPr>
          <w:b/>
          <w:bCs/>
        </w:rPr>
      </w:pPr>
      <w:r>
        <w:rPr>
          <w:b/>
          <w:bCs/>
        </w:rPr>
        <w:t>Supplementary Table 2.2: NFBSI-16 item-total correlations at Cycle 5</w:t>
      </w:r>
    </w:p>
    <w:tbl>
      <w:tblPr>
        <w:tblW w:w="8950" w:type="dxa"/>
        <w:jc w:val="center"/>
        <w:tblInd w:w="0" w:type="dxa"/>
        <w:tblLayout w:type="fixed"/>
        <w:tblCellMar>
          <w:top w:w="0" w:type="dxa"/>
          <w:left w:w="19" w:type="dxa"/>
          <w:bottom w:w="0" w:type="dxa"/>
          <w:right w:w="19" w:type="dxa"/>
        </w:tblCellMar>
        <w:tblLook w:firstRow="0" w:noVBand="0" w:lastRow="0" w:firstColumn="0" w:lastColumn="0" w:noHBand="0" w:val="0000"/>
      </w:tblPr>
      <w:tblGrid>
        <w:gridCol w:w="3687"/>
        <w:gridCol w:w="1315"/>
        <w:gridCol w:w="1314"/>
        <w:gridCol w:w="1315"/>
        <w:gridCol w:w="1319"/>
      </w:tblGrid>
      <w:tr>
        <w:trPr>
          <w:tblHeader w:val="true"/>
          <w:trHeight w:val="257" w:hRule="atLeast"/>
          <w:cantSplit w:val="true"/>
        </w:trPr>
        <w:tc>
          <w:tcPr>
            <w:tcW w:w="3687" w:type="dxa"/>
            <w:tcBorders>
              <w:top w:val="single" w:sz="6" w:space="0" w:color="000000"/>
            </w:tcBorders>
            <w:shd w:color="auto" w:fill="FFFFFF" w:val="clear"/>
            <w:vAlign w:val="bottom"/>
          </w:tcPr>
          <w:p>
            <w:pPr>
              <w:pStyle w:val="Normal"/>
              <w:keepNext w:val="true"/>
              <w:spacing w:lineRule="auto" w:line="240" w:before="19" w:after="19"/>
              <w:jc w:val="center"/>
              <w:rPr>
                <w:rFonts w:eastAsia="" w:cs="Calibri" w:cstheme="minorHAnsi" w:eastAsiaTheme="minorEastAsia"/>
                <w:b/>
                <w:bCs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b/>
                <w:bCs/>
                <w:color w:val="000000"/>
                <w:lang w:eastAsia="en-GB"/>
              </w:rPr>
            </w:r>
          </w:p>
        </w:tc>
        <w:tc>
          <w:tcPr>
            <w:tcW w:w="5263" w:type="dxa"/>
            <w:gridSpan w:val="4"/>
            <w:tcBorders>
              <w:top w:val="single" w:sz="6" w:space="0" w:color="000000"/>
            </w:tcBorders>
            <w:shd w:color="auto" w:fill="FFFFFF" w:val="clear"/>
            <w:vAlign w:val="bottom"/>
          </w:tcPr>
          <w:p>
            <w:pPr>
              <w:pStyle w:val="Normal"/>
              <w:keepNext w:val="true"/>
              <w:spacing w:lineRule="auto" w:line="240" w:before="19" w:after="19"/>
              <w:jc w:val="center"/>
              <w:rPr>
                <w:rFonts w:eastAsia="" w:cs="Calibri" w:cstheme="minorHAnsi" w:eastAsiaTheme="minorEastAsia"/>
                <w:b/>
                <w:bCs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b/>
                <w:bCs/>
                <w:color w:val="000000"/>
                <w:lang w:eastAsia="en-GB"/>
              </w:rPr>
              <w:t>Correlation with domain</w:t>
            </w:r>
          </w:p>
        </w:tc>
      </w:tr>
      <w:tr>
        <w:trPr>
          <w:tblHeader w:val="true"/>
          <w:trHeight w:val="933" w:hRule="exact"/>
          <w:cantSplit w:val="true"/>
        </w:trPr>
        <w:tc>
          <w:tcPr>
            <w:tcW w:w="3687" w:type="dxa"/>
            <w:tcBorders>
              <w:bottom w:val="single" w:sz="6" w:space="0" w:color="000000"/>
            </w:tcBorders>
            <w:shd w:color="auto" w:fill="FFFFFF" w:val="clear"/>
            <w:vAlign w:val="bottom"/>
          </w:tcPr>
          <w:p>
            <w:pPr>
              <w:pStyle w:val="Normal"/>
              <w:keepNext w:val="true"/>
              <w:spacing w:lineRule="auto" w:line="240" w:before="19" w:after="19"/>
              <w:jc w:val="center"/>
              <w:rPr>
                <w:rFonts w:eastAsia="" w:cs="Calibri" w:cstheme="minorHAnsi" w:eastAsiaTheme="minorEastAsia"/>
                <w:b/>
                <w:bCs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b/>
                <w:bCs/>
                <w:color w:val="000000"/>
                <w:lang w:eastAsia="en-GB"/>
              </w:rPr>
            </w:r>
          </w:p>
        </w:tc>
        <w:tc>
          <w:tcPr>
            <w:tcW w:w="1315" w:type="dxa"/>
            <w:tcBorders>
              <w:bottom w:val="single" w:sz="6" w:space="0" w:color="000000"/>
            </w:tcBorders>
            <w:shd w:color="auto" w:fill="FFFFFF" w:val="clear"/>
            <w:vAlign w:val="bottom"/>
          </w:tcPr>
          <w:p>
            <w:pPr>
              <w:pStyle w:val="Normal"/>
              <w:keepNext w:val="true"/>
              <w:spacing w:lineRule="auto" w:line="240" w:before="19" w:after="19"/>
              <w:jc w:val="center"/>
              <w:rPr>
                <w:rFonts w:eastAsia="" w:cs="Calibri" w:cstheme="minorHAnsi" w:eastAsiaTheme="minorEastAsia"/>
                <w:b/>
                <w:bCs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b/>
                <w:bCs/>
                <w:color w:val="000000"/>
                <w:lang w:eastAsia="en-GB"/>
              </w:rPr>
              <w:t>NFBSI-16 Total</w:t>
              <w:br/>
              <w:t>(N=62)</w:t>
            </w:r>
          </w:p>
        </w:tc>
        <w:tc>
          <w:tcPr>
            <w:tcW w:w="1314" w:type="dxa"/>
            <w:tcBorders>
              <w:bottom w:val="single" w:sz="6" w:space="0" w:color="000000"/>
            </w:tcBorders>
            <w:shd w:color="auto" w:fill="FFFFFF" w:val="clear"/>
            <w:vAlign w:val="bottom"/>
          </w:tcPr>
          <w:p>
            <w:pPr>
              <w:pStyle w:val="Normal"/>
              <w:keepNext w:val="true"/>
              <w:spacing w:lineRule="auto" w:line="240" w:before="19" w:after="19"/>
              <w:jc w:val="center"/>
              <w:rPr>
                <w:rFonts w:eastAsia="" w:cs="Calibri" w:cstheme="minorHAnsi" w:eastAsiaTheme="minorEastAsia"/>
                <w:b/>
                <w:bCs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b/>
                <w:bCs/>
                <w:color w:val="000000"/>
                <w:lang w:eastAsia="en-GB"/>
              </w:rPr>
              <w:t>NFBSI-16 DRS-P</w:t>
              <w:br/>
              <w:t>(N=62)</w:t>
            </w:r>
          </w:p>
        </w:tc>
        <w:tc>
          <w:tcPr>
            <w:tcW w:w="1315" w:type="dxa"/>
            <w:tcBorders>
              <w:bottom w:val="single" w:sz="6" w:space="0" w:color="000000"/>
            </w:tcBorders>
            <w:shd w:color="auto" w:fill="FFFFFF" w:val="clear"/>
            <w:vAlign w:val="bottom"/>
          </w:tcPr>
          <w:p>
            <w:pPr>
              <w:pStyle w:val="Normal"/>
              <w:keepNext w:val="true"/>
              <w:spacing w:lineRule="auto" w:line="240" w:before="19" w:after="19"/>
              <w:jc w:val="center"/>
              <w:rPr>
                <w:rFonts w:eastAsia="" w:cs="Calibri" w:cstheme="minorHAnsi" w:eastAsiaTheme="minorEastAsia"/>
                <w:b/>
                <w:bCs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b/>
                <w:bCs/>
                <w:color w:val="000000"/>
                <w:lang w:eastAsia="en-GB"/>
              </w:rPr>
              <w:t>NFBSI-16 FWB</w:t>
              <w:br/>
              <w:t>(N=61)</w:t>
            </w:r>
          </w:p>
        </w:tc>
        <w:tc>
          <w:tcPr>
            <w:tcW w:w="1319" w:type="dxa"/>
            <w:tcBorders>
              <w:bottom w:val="single" w:sz="6" w:space="0" w:color="000000"/>
            </w:tcBorders>
            <w:shd w:color="auto" w:fill="FFFFFF" w:val="clear"/>
            <w:vAlign w:val="bottom"/>
          </w:tcPr>
          <w:p>
            <w:pPr>
              <w:pStyle w:val="Normal"/>
              <w:keepNext w:val="true"/>
              <w:spacing w:lineRule="auto" w:line="240" w:before="19" w:after="19"/>
              <w:jc w:val="center"/>
              <w:rPr>
                <w:rFonts w:eastAsia="" w:cs="Calibri" w:cstheme="minorHAnsi" w:eastAsiaTheme="minorEastAsia"/>
                <w:b/>
                <w:bCs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b/>
                <w:bCs/>
                <w:color w:val="000000"/>
                <w:lang w:eastAsia="en-GB"/>
              </w:rPr>
            </w:r>
          </w:p>
        </w:tc>
      </w:tr>
      <w:tr>
        <w:trPr>
          <w:trHeight w:val="68" w:hRule="atLeast"/>
          <w:cantSplit w:val="true"/>
        </w:trPr>
        <w:tc>
          <w:tcPr>
            <w:tcW w:w="8950" w:type="dxa"/>
            <w:gridSpan w:val="5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</w:r>
          </w:p>
        </w:tc>
      </w:tr>
      <w:tr>
        <w:trPr>
          <w:trHeight w:val="239" w:hRule="atLeast"/>
          <w:cantSplit w:val="true"/>
        </w:trPr>
        <w:tc>
          <w:tcPr>
            <w:tcW w:w="3687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GP1: I have a lack of energy</w:t>
            </w:r>
          </w:p>
        </w:tc>
        <w:tc>
          <w:tcPr>
            <w:tcW w:w="1315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0.853*</w:t>
            </w:r>
          </w:p>
        </w:tc>
        <w:tc>
          <w:tcPr>
            <w:tcW w:w="1314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0.816*</w:t>
            </w:r>
          </w:p>
        </w:tc>
        <w:tc>
          <w:tcPr>
            <w:tcW w:w="1315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0.609</w:t>
            </w:r>
          </w:p>
        </w:tc>
        <w:tc>
          <w:tcPr>
            <w:tcW w:w="1319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</w:r>
          </w:p>
        </w:tc>
      </w:tr>
      <w:tr>
        <w:trPr>
          <w:trHeight w:val="257" w:hRule="atLeast"/>
          <w:cantSplit w:val="true"/>
        </w:trPr>
        <w:tc>
          <w:tcPr>
            <w:tcW w:w="3687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GP4: I have pain</w:t>
            </w:r>
          </w:p>
        </w:tc>
        <w:tc>
          <w:tcPr>
            <w:tcW w:w="1315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0.585*</w:t>
            </w:r>
          </w:p>
        </w:tc>
        <w:tc>
          <w:tcPr>
            <w:tcW w:w="1314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0.672*</w:t>
            </w:r>
          </w:p>
        </w:tc>
        <w:tc>
          <w:tcPr>
            <w:tcW w:w="1315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0.138</w:t>
            </w:r>
          </w:p>
        </w:tc>
        <w:tc>
          <w:tcPr>
            <w:tcW w:w="1319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</w:r>
          </w:p>
        </w:tc>
      </w:tr>
      <w:tr>
        <w:trPr>
          <w:trHeight w:val="257" w:hRule="atLeast"/>
          <w:cantSplit w:val="true"/>
        </w:trPr>
        <w:tc>
          <w:tcPr>
            <w:tcW w:w="3687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GP6: I feel ill</w:t>
            </w:r>
          </w:p>
        </w:tc>
        <w:tc>
          <w:tcPr>
            <w:tcW w:w="1315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0.815*</w:t>
            </w:r>
          </w:p>
        </w:tc>
        <w:tc>
          <w:tcPr>
            <w:tcW w:w="1314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0.731*</w:t>
            </w:r>
          </w:p>
        </w:tc>
        <w:tc>
          <w:tcPr>
            <w:tcW w:w="1315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0.483</w:t>
            </w:r>
          </w:p>
        </w:tc>
        <w:tc>
          <w:tcPr>
            <w:tcW w:w="1319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</w:r>
          </w:p>
        </w:tc>
      </w:tr>
      <w:tr>
        <w:trPr>
          <w:trHeight w:val="239" w:hRule="atLeast"/>
          <w:cantSplit w:val="true"/>
        </w:trPr>
        <w:tc>
          <w:tcPr>
            <w:tcW w:w="3687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B1: I have been short of breath</w:t>
            </w:r>
          </w:p>
        </w:tc>
        <w:tc>
          <w:tcPr>
            <w:tcW w:w="1315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0.347*</w:t>
            </w:r>
          </w:p>
        </w:tc>
        <w:tc>
          <w:tcPr>
            <w:tcW w:w="1314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0.446*</w:t>
            </w:r>
          </w:p>
        </w:tc>
        <w:tc>
          <w:tcPr>
            <w:tcW w:w="1315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-0.014</w:t>
            </w:r>
          </w:p>
        </w:tc>
        <w:tc>
          <w:tcPr>
            <w:tcW w:w="1319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</w:r>
          </w:p>
        </w:tc>
      </w:tr>
      <w:tr>
        <w:trPr>
          <w:trHeight w:val="257" w:hRule="atLeast"/>
          <w:cantSplit w:val="true"/>
        </w:trPr>
        <w:tc>
          <w:tcPr>
            <w:tcW w:w="3687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GP3: I have trouble meeting family needs</w:t>
            </w:r>
          </w:p>
        </w:tc>
        <w:tc>
          <w:tcPr>
            <w:tcW w:w="1315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0.636*</w:t>
            </w:r>
          </w:p>
        </w:tc>
        <w:tc>
          <w:tcPr>
            <w:tcW w:w="1314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0.634*</w:t>
            </w:r>
          </w:p>
        </w:tc>
        <w:tc>
          <w:tcPr>
            <w:tcW w:w="1315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0.444</w:t>
            </w:r>
          </w:p>
        </w:tc>
        <w:tc>
          <w:tcPr>
            <w:tcW w:w="1319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</w:r>
          </w:p>
        </w:tc>
      </w:tr>
      <w:tr>
        <w:trPr>
          <w:trHeight w:val="257" w:hRule="atLeast"/>
          <w:cantSplit w:val="true"/>
        </w:trPr>
        <w:tc>
          <w:tcPr>
            <w:tcW w:w="3687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BP1: I have bone pain</w:t>
            </w:r>
          </w:p>
        </w:tc>
        <w:tc>
          <w:tcPr>
            <w:tcW w:w="1315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0.747*</w:t>
            </w:r>
          </w:p>
        </w:tc>
        <w:tc>
          <w:tcPr>
            <w:tcW w:w="1314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0.757*</w:t>
            </w:r>
          </w:p>
        </w:tc>
        <w:tc>
          <w:tcPr>
            <w:tcW w:w="1315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0.489</w:t>
            </w:r>
          </w:p>
        </w:tc>
        <w:tc>
          <w:tcPr>
            <w:tcW w:w="1319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</w:r>
          </w:p>
        </w:tc>
      </w:tr>
      <w:tr>
        <w:trPr>
          <w:trHeight w:val="239" w:hRule="atLeast"/>
          <w:cantSplit w:val="true"/>
        </w:trPr>
        <w:tc>
          <w:tcPr>
            <w:tcW w:w="3687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HI7: I feel fatigued</w:t>
            </w:r>
          </w:p>
        </w:tc>
        <w:tc>
          <w:tcPr>
            <w:tcW w:w="1315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0.716*</w:t>
            </w:r>
          </w:p>
        </w:tc>
        <w:tc>
          <w:tcPr>
            <w:tcW w:w="1314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0.772*</w:t>
            </w:r>
          </w:p>
        </w:tc>
        <w:tc>
          <w:tcPr>
            <w:tcW w:w="1315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0.222</w:t>
            </w:r>
          </w:p>
        </w:tc>
        <w:tc>
          <w:tcPr>
            <w:tcW w:w="1319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</w:r>
          </w:p>
        </w:tc>
      </w:tr>
      <w:tr>
        <w:trPr>
          <w:trHeight w:val="257" w:hRule="atLeast"/>
          <w:cantSplit w:val="true"/>
        </w:trPr>
        <w:tc>
          <w:tcPr>
            <w:tcW w:w="3687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GF5: I am sleeping well</w:t>
            </w:r>
          </w:p>
        </w:tc>
        <w:tc>
          <w:tcPr>
            <w:tcW w:w="1315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0.257*</w:t>
            </w:r>
          </w:p>
        </w:tc>
        <w:tc>
          <w:tcPr>
            <w:tcW w:w="1314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0.191*</w:t>
            </w:r>
          </w:p>
        </w:tc>
        <w:tc>
          <w:tcPr>
            <w:tcW w:w="1315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0.308</w:t>
            </w:r>
          </w:p>
        </w:tc>
        <w:tc>
          <w:tcPr>
            <w:tcW w:w="1319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</w:r>
          </w:p>
        </w:tc>
      </w:tr>
      <w:tr>
        <w:trPr>
          <w:trHeight w:val="239" w:hRule="atLeast"/>
          <w:cantSplit w:val="true"/>
        </w:trPr>
        <w:tc>
          <w:tcPr>
            <w:tcW w:w="3687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GE6: I worry condition will get worse</w:t>
            </w:r>
          </w:p>
        </w:tc>
        <w:tc>
          <w:tcPr>
            <w:tcW w:w="1315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0.508*</w:t>
            </w:r>
          </w:p>
        </w:tc>
        <w:tc>
          <w:tcPr>
            <w:tcW w:w="1314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0.435</w:t>
            </w:r>
          </w:p>
        </w:tc>
        <w:tc>
          <w:tcPr>
            <w:tcW w:w="1315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0.415</w:t>
            </w:r>
          </w:p>
        </w:tc>
        <w:tc>
          <w:tcPr>
            <w:tcW w:w="1319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</w:r>
          </w:p>
        </w:tc>
      </w:tr>
      <w:tr>
        <w:trPr>
          <w:trHeight w:val="257" w:hRule="atLeast"/>
          <w:cantSplit w:val="true"/>
        </w:trPr>
        <w:tc>
          <w:tcPr>
            <w:tcW w:w="3687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GP2: I have nausea</w:t>
            </w:r>
          </w:p>
        </w:tc>
        <w:tc>
          <w:tcPr>
            <w:tcW w:w="1315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0.524*</w:t>
            </w:r>
          </w:p>
        </w:tc>
        <w:tc>
          <w:tcPr>
            <w:tcW w:w="1314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0.562</w:t>
            </w:r>
          </w:p>
        </w:tc>
        <w:tc>
          <w:tcPr>
            <w:tcW w:w="1315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0.343</w:t>
            </w:r>
          </w:p>
        </w:tc>
        <w:tc>
          <w:tcPr>
            <w:tcW w:w="1319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</w:r>
          </w:p>
        </w:tc>
      </w:tr>
      <w:tr>
        <w:trPr>
          <w:trHeight w:val="257" w:hRule="atLeast"/>
          <w:cantSplit w:val="true"/>
        </w:trPr>
        <w:tc>
          <w:tcPr>
            <w:tcW w:w="3687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N6: I have mouth sores</w:t>
            </w:r>
          </w:p>
        </w:tc>
        <w:tc>
          <w:tcPr>
            <w:tcW w:w="1315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0.386*</w:t>
            </w:r>
          </w:p>
        </w:tc>
        <w:tc>
          <w:tcPr>
            <w:tcW w:w="1314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0.291</w:t>
            </w:r>
          </w:p>
        </w:tc>
        <w:tc>
          <w:tcPr>
            <w:tcW w:w="1315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0.380</w:t>
            </w:r>
          </w:p>
        </w:tc>
        <w:tc>
          <w:tcPr>
            <w:tcW w:w="1319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</w:r>
          </w:p>
        </w:tc>
      </w:tr>
      <w:tr>
        <w:trPr>
          <w:trHeight w:val="239" w:hRule="atLeast"/>
          <w:cantSplit w:val="true"/>
        </w:trPr>
        <w:tc>
          <w:tcPr>
            <w:tcW w:w="3687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GP5: I am bothered by treatment side effects</w:t>
            </w:r>
          </w:p>
        </w:tc>
        <w:tc>
          <w:tcPr>
            <w:tcW w:w="1315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0.549*</w:t>
            </w:r>
          </w:p>
        </w:tc>
        <w:tc>
          <w:tcPr>
            <w:tcW w:w="1314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0.554</w:t>
            </w:r>
          </w:p>
        </w:tc>
        <w:tc>
          <w:tcPr>
            <w:tcW w:w="1315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0.331</w:t>
            </w:r>
          </w:p>
        </w:tc>
        <w:tc>
          <w:tcPr>
            <w:tcW w:w="1319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</w:r>
          </w:p>
        </w:tc>
      </w:tr>
      <w:tr>
        <w:trPr>
          <w:trHeight w:val="257" w:hRule="atLeast"/>
          <w:cantSplit w:val="true"/>
        </w:trPr>
        <w:tc>
          <w:tcPr>
            <w:tcW w:w="3687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B5: I am bothered by hair loss</w:t>
            </w:r>
          </w:p>
        </w:tc>
        <w:tc>
          <w:tcPr>
            <w:tcW w:w="1315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0.315*</w:t>
            </w:r>
          </w:p>
        </w:tc>
        <w:tc>
          <w:tcPr>
            <w:tcW w:w="1314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0.292</w:t>
            </w:r>
          </w:p>
        </w:tc>
        <w:tc>
          <w:tcPr>
            <w:tcW w:w="1315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0.089</w:t>
            </w:r>
          </w:p>
        </w:tc>
        <w:tc>
          <w:tcPr>
            <w:tcW w:w="1319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</w:r>
          </w:p>
        </w:tc>
      </w:tr>
      <w:tr>
        <w:trPr>
          <w:trHeight w:val="239" w:hRule="atLeast"/>
          <w:cantSplit w:val="true"/>
        </w:trPr>
        <w:tc>
          <w:tcPr>
            <w:tcW w:w="3687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GF1: I am able to work</w:t>
            </w:r>
          </w:p>
        </w:tc>
        <w:tc>
          <w:tcPr>
            <w:tcW w:w="1315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0.516*</w:t>
            </w:r>
          </w:p>
        </w:tc>
        <w:tc>
          <w:tcPr>
            <w:tcW w:w="1314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0.397</w:t>
            </w:r>
          </w:p>
        </w:tc>
        <w:tc>
          <w:tcPr>
            <w:tcW w:w="1315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0.695*</w:t>
            </w:r>
          </w:p>
        </w:tc>
        <w:tc>
          <w:tcPr>
            <w:tcW w:w="1319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</w:r>
          </w:p>
        </w:tc>
      </w:tr>
      <w:tr>
        <w:trPr>
          <w:trHeight w:val="257" w:hRule="atLeast"/>
          <w:cantSplit w:val="true"/>
        </w:trPr>
        <w:tc>
          <w:tcPr>
            <w:tcW w:w="3687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GF3: I am able to enjoy life</w:t>
            </w:r>
          </w:p>
        </w:tc>
        <w:tc>
          <w:tcPr>
            <w:tcW w:w="1315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0.578*</w:t>
            </w:r>
          </w:p>
        </w:tc>
        <w:tc>
          <w:tcPr>
            <w:tcW w:w="1314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0.452</w:t>
            </w:r>
          </w:p>
        </w:tc>
        <w:tc>
          <w:tcPr>
            <w:tcW w:w="1315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0.778*</w:t>
            </w:r>
          </w:p>
        </w:tc>
        <w:tc>
          <w:tcPr>
            <w:tcW w:w="1319" w:type="dxa"/>
            <w:tcBorders/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</w:r>
          </w:p>
        </w:tc>
      </w:tr>
      <w:tr>
        <w:trPr>
          <w:trHeight w:val="462" w:hRule="atLeast"/>
          <w:cantSplit w:val="true"/>
        </w:trPr>
        <w:tc>
          <w:tcPr>
            <w:tcW w:w="3687" w:type="dxa"/>
            <w:tcBorders/>
            <w:shd w:color="auto" w:fill="FFFFFF" w:val="clear"/>
          </w:tcPr>
          <w:p>
            <w:pPr>
              <w:pStyle w:val="Normal"/>
              <w:keepNext w:val="true"/>
              <w:spacing w:lineRule="auto" w:line="240" w:before="19" w:after="19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GF7: I am content with quality of my life right now</w:t>
            </w:r>
          </w:p>
        </w:tc>
        <w:tc>
          <w:tcPr>
            <w:tcW w:w="1315" w:type="dxa"/>
            <w:tcBorders/>
            <w:shd w:color="auto" w:fill="FFFFFF" w:val="clear"/>
          </w:tcPr>
          <w:p>
            <w:pPr>
              <w:pStyle w:val="Normal"/>
              <w:keepNext w:val="true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0.588*</w:t>
            </w:r>
          </w:p>
        </w:tc>
        <w:tc>
          <w:tcPr>
            <w:tcW w:w="1314" w:type="dxa"/>
            <w:tcBorders/>
            <w:shd w:color="auto" w:fill="FFFFFF" w:val="clear"/>
          </w:tcPr>
          <w:p>
            <w:pPr>
              <w:pStyle w:val="Normal"/>
              <w:keepNext w:val="true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0.467</w:t>
            </w:r>
          </w:p>
        </w:tc>
        <w:tc>
          <w:tcPr>
            <w:tcW w:w="1315" w:type="dxa"/>
            <w:tcBorders/>
            <w:shd w:color="auto" w:fill="FFFFFF" w:val="clear"/>
          </w:tcPr>
          <w:p>
            <w:pPr>
              <w:pStyle w:val="Normal"/>
              <w:keepNext w:val="true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  <w:t>0.696*</w:t>
            </w:r>
          </w:p>
        </w:tc>
        <w:tc>
          <w:tcPr>
            <w:tcW w:w="1319" w:type="dxa"/>
            <w:tcBorders/>
            <w:shd w:color="auto" w:fill="FFFFFF" w:val="clear"/>
          </w:tcPr>
          <w:p>
            <w:pPr>
              <w:pStyle w:val="Normal"/>
              <w:keepNext w:val="true"/>
              <w:spacing w:lineRule="auto" w:line="240" w:before="19" w:after="19"/>
              <w:jc w:val="center"/>
              <w:rPr>
                <w:rFonts w:eastAsia="" w:cs="Calibri" w:cstheme="minorHAnsi" w:eastAsiaTheme="minorEastAsia"/>
                <w:color w:val="000000"/>
                <w:lang w:eastAsia="en-GB"/>
              </w:rPr>
            </w:pPr>
            <w:r>
              <w:rPr>
                <w:rFonts w:eastAsia="" w:cs="Calibri" w:cstheme="minorHAnsi" w:eastAsiaTheme="minorEastAsia"/>
                <w:color w:val="000000"/>
                <w:lang w:eastAsia="en-GB"/>
              </w:rPr>
            </w:r>
          </w:p>
        </w:tc>
      </w:tr>
      <w:tr>
        <w:trPr>
          <w:trHeight w:val="154" w:hRule="exact"/>
          <w:cantSplit w:val="true"/>
        </w:trPr>
        <w:tc>
          <w:tcPr>
            <w:tcW w:w="8950" w:type="dxa"/>
            <w:gridSpan w:val="5"/>
            <w:tcBorders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19" w:after="19"/>
              <w:jc w:val="center"/>
              <w:rPr>
                <w:rFonts w:ascii="Times New Roman" w:hAnsi="Times New Roman" w:eastAsia="" w:cs="Times New Roman" w:eastAsiaTheme="minorEastAsia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" w:cs="Times New Roman" w:eastAsiaTheme="minorEastAsia" w:ascii="Times New Roman" w:hAnsi="Times New Roman"/>
                <w:color w:val="000000"/>
                <w:sz w:val="20"/>
                <w:szCs w:val="20"/>
                <w:lang w:eastAsia="en-GB"/>
              </w:rPr>
            </w:r>
          </w:p>
        </w:tc>
      </w:tr>
    </w:tbl>
    <w:p>
      <w:pPr>
        <w:pStyle w:val="Normal"/>
        <w:rPr>
          <w:i/>
          <w:i/>
          <w:iCs/>
        </w:rPr>
      </w:pPr>
      <w:r>
        <w:rPr>
          <w:i/>
          <w:iCs/>
        </w:rPr>
        <w:t>Table footnote: Abbreviations: NFBSI: National Comprehensive Cancer Network Functional Assessment Of Cancer Therapy-Breast Cancer Symptom Index; DRSP: Disease-Related Symptoms Physical; FWB: Functional Wellbeing</w:t>
      </w:r>
    </w:p>
    <w:p>
      <w:pPr>
        <w:pStyle w:val="Normal"/>
        <w:rPr>
          <w:i/>
          <w:i/>
          <w:iCs/>
        </w:rPr>
      </w:pPr>
      <w:r>
        <w:rPr>
          <w:i/>
          <w:iCs/>
        </w:rPr>
        <w:t>Polychoric correlation coefficients on the day of the visit. Item-scale correlation corrected for overlap (relevant item removed from its scale for correlation) when the item belongs to the domain in question, as signified by *.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  <w:r>
        <w:br w:type="page"/>
      </w:r>
    </w:p>
    <w:p>
      <w:pPr>
        <w:pStyle w:val="Normal"/>
        <w:spacing w:before="0" w:after="160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  <w:t>Supplementary Table 3: NFBSI-16 correlations with anchor measures change from baseline</w:t>
      </w:r>
    </w:p>
    <w:tbl>
      <w:tblPr>
        <w:tblStyle w:val="TableGrid"/>
        <w:tblW w:w="9877" w:type="dxa"/>
        <w:jc w:val="left"/>
        <w:tblInd w:w="-4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716"/>
        <w:gridCol w:w="439"/>
        <w:gridCol w:w="1948"/>
        <w:gridCol w:w="439"/>
        <w:gridCol w:w="1947"/>
        <w:gridCol w:w="441"/>
        <w:gridCol w:w="1946"/>
      </w:tblGrid>
      <w:tr>
        <w:trPr/>
        <w:tc>
          <w:tcPr>
            <w:tcW w:w="2716" w:type="dxa"/>
            <w:vMerge w:val="restart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NFBSI-19 Score/Anchor</w:t>
            </w:r>
          </w:p>
        </w:tc>
        <w:tc>
          <w:tcPr>
            <w:tcW w:w="2387" w:type="dxa"/>
            <w:gridSpan w:val="2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Cycle 5</w:t>
            </w:r>
          </w:p>
        </w:tc>
        <w:tc>
          <w:tcPr>
            <w:tcW w:w="2386" w:type="dxa"/>
            <w:gridSpan w:val="2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Cycle 7</w:t>
            </w:r>
          </w:p>
        </w:tc>
        <w:tc>
          <w:tcPr>
            <w:tcW w:w="2387" w:type="dxa"/>
            <w:gridSpan w:val="2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Cycle 9</w:t>
            </w:r>
          </w:p>
        </w:tc>
      </w:tr>
      <w:tr>
        <w:trPr/>
        <w:tc>
          <w:tcPr>
            <w:tcW w:w="2716" w:type="dxa"/>
            <w:vMerge w:val="continue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43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N</w:t>
            </w:r>
          </w:p>
        </w:tc>
        <w:tc>
          <w:tcPr>
            <w:tcW w:w="1948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Correlation Coefficient</w:t>
            </w:r>
          </w:p>
        </w:tc>
        <w:tc>
          <w:tcPr>
            <w:tcW w:w="43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N</w:t>
            </w:r>
          </w:p>
        </w:tc>
        <w:tc>
          <w:tcPr>
            <w:tcW w:w="1947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Correlation Coefficient</w:t>
            </w:r>
          </w:p>
        </w:tc>
        <w:tc>
          <w:tcPr>
            <w:tcW w:w="441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N</w:t>
            </w:r>
          </w:p>
        </w:tc>
        <w:tc>
          <w:tcPr>
            <w:tcW w:w="1946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Correlation Coefficient</w:t>
            </w:r>
          </w:p>
        </w:tc>
      </w:tr>
      <w:tr>
        <w:trPr/>
        <w:tc>
          <w:tcPr>
            <w:tcW w:w="2716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NFBSI-16 Total Score*</w:t>
            </w:r>
          </w:p>
        </w:tc>
        <w:tc>
          <w:tcPr>
            <w:tcW w:w="439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948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439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947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441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946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</w:r>
          </w:p>
        </w:tc>
      </w:tr>
      <w:tr>
        <w:trPr/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 xml:space="preserve">   </w:t>
            </w: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EQ-5D-5L VAS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57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  <w:b/>
                <w:bCs/>
              </w:rPr>
            </w:pPr>
            <w:r>
              <w:rPr>
                <w:rFonts w:eastAsia="Calibri" w:cs="Calibri" w:cstheme="minorHAnsi"/>
                <w:b/>
                <w:bCs/>
                <w:kern w:val="2"/>
                <w:sz w:val="22"/>
                <w:szCs w:val="22"/>
                <w:lang w:val="en-GB" w:eastAsia="en-US" w:bidi="ar-SA"/>
              </w:rPr>
              <w:t>-0.354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47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  <w:b/>
                <w:bCs/>
              </w:rPr>
            </w:pPr>
            <w:r>
              <w:rPr>
                <w:rFonts w:eastAsia="Calibri" w:cs="Calibri" w:cstheme="minorHAnsi"/>
                <w:b/>
                <w:bCs/>
                <w:kern w:val="2"/>
                <w:sz w:val="22"/>
                <w:szCs w:val="22"/>
                <w:lang w:val="en-GB" w:eastAsia="en-US" w:bidi="ar-SA"/>
              </w:rPr>
              <w:t>-0.332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33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  <w:b/>
                <w:bCs/>
              </w:rPr>
            </w:pPr>
            <w:r>
              <w:rPr>
                <w:rFonts w:eastAsia="Calibri" w:cs="Calibri" w:cstheme="minorHAnsi"/>
                <w:b/>
                <w:bCs/>
                <w:kern w:val="2"/>
                <w:sz w:val="22"/>
                <w:szCs w:val="22"/>
                <w:lang w:val="en-GB" w:eastAsia="en-US" w:bidi="ar-SA"/>
              </w:rPr>
              <w:t>-0.521</w:t>
            </w:r>
          </w:p>
        </w:tc>
      </w:tr>
      <w:tr>
        <w:trPr/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 xml:space="preserve">   </w:t>
            </w: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ECOG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60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0.127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48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-0.081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34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-0.085</w:t>
            </w:r>
          </w:p>
        </w:tc>
      </w:tr>
      <w:tr>
        <w:trPr/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</w:r>
          </w:p>
        </w:tc>
      </w:tr>
      <w:tr>
        <w:trPr/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DRS-P*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</w:r>
          </w:p>
        </w:tc>
      </w:tr>
      <w:tr>
        <w:trPr/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 xml:space="preserve">   </w:t>
            </w: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EQ-5D-5L Pain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58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  <w:b/>
                <w:bCs/>
              </w:rPr>
            </w:pPr>
            <w:r>
              <w:rPr>
                <w:rFonts w:eastAsia="Calibri" w:cs="Calibri" w:cstheme="minorHAnsi"/>
                <w:b/>
                <w:bCs/>
                <w:kern w:val="2"/>
                <w:sz w:val="22"/>
                <w:szCs w:val="22"/>
                <w:lang w:val="en-GB" w:eastAsia="en-US" w:bidi="ar-SA"/>
              </w:rPr>
              <w:t>-0.396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48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  <w:b/>
                <w:bCs/>
              </w:rPr>
            </w:pPr>
            <w:r>
              <w:rPr>
                <w:rFonts w:eastAsia="Calibri" w:cs="Calibri" w:cstheme="minorHAnsi"/>
                <w:b/>
                <w:bCs/>
                <w:kern w:val="2"/>
                <w:sz w:val="22"/>
                <w:szCs w:val="22"/>
                <w:lang w:val="en-GB" w:eastAsia="en-US" w:bidi="ar-SA"/>
              </w:rPr>
              <w:t>-0.437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34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  <w:b/>
                <w:bCs/>
              </w:rPr>
            </w:pPr>
            <w:r>
              <w:rPr>
                <w:rFonts w:eastAsia="Calibri" w:cs="Calibri" w:cstheme="minorHAnsi"/>
                <w:b/>
                <w:bCs/>
                <w:kern w:val="2"/>
                <w:sz w:val="22"/>
                <w:szCs w:val="22"/>
                <w:lang w:val="en-GB" w:eastAsia="en-US" w:bidi="ar-SA"/>
              </w:rPr>
              <w:t>-0.319</w:t>
            </w:r>
          </w:p>
        </w:tc>
      </w:tr>
      <w:tr>
        <w:trPr/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 xml:space="preserve">   </w:t>
            </w: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EQ-5D-5L Usual Activities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57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  <w:b/>
                <w:bCs/>
              </w:rPr>
            </w:pPr>
            <w:r>
              <w:rPr>
                <w:rFonts w:eastAsia="Calibri" w:cs="Calibri" w:cstheme="minorHAnsi"/>
                <w:b/>
                <w:bCs/>
                <w:kern w:val="2"/>
                <w:sz w:val="22"/>
                <w:szCs w:val="22"/>
                <w:lang w:val="en-GB" w:eastAsia="en-US" w:bidi="ar-SA"/>
              </w:rPr>
              <w:t>-0.332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47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  <w:b/>
                <w:bCs/>
              </w:rPr>
            </w:pPr>
            <w:r>
              <w:rPr>
                <w:rFonts w:eastAsia="Calibri" w:cs="Calibri" w:cstheme="minorHAnsi"/>
                <w:b/>
                <w:bCs/>
                <w:kern w:val="2"/>
                <w:sz w:val="22"/>
                <w:szCs w:val="22"/>
                <w:lang w:val="en-GB" w:eastAsia="en-US" w:bidi="ar-SA"/>
              </w:rPr>
              <w:t>-0.508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33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  <w:b/>
                <w:bCs/>
              </w:rPr>
            </w:pPr>
            <w:r>
              <w:rPr>
                <w:rFonts w:eastAsia="Calibri" w:cs="Calibri" w:cstheme="minorHAnsi"/>
                <w:b/>
                <w:bCs/>
                <w:kern w:val="2"/>
                <w:sz w:val="22"/>
                <w:szCs w:val="22"/>
                <w:lang w:val="en-GB" w:eastAsia="en-US" w:bidi="ar-SA"/>
              </w:rPr>
              <w:t>-0.488</w:t>
            </w:r>
          </w:p>
        </w:tc>
      </w:tr>
      <w:tr>
        <w:trPr/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 xml:space="preserve">   </w:t>
            </w: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EQ-5D-5L Mobility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56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-0.255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47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-0.172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33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-0.267</w:t>
            </w:r>
          </w:p>
        </w:tc>
      </w:tr>
      <w:tr>
        <w:trPr/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 xml:space="preserve">   </w:t>
            </w: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EQ-5D-5L VAS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57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-0.289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47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-0.273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33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  <w:b/>
                <w:bCs/>
              </w:rPr>
            </w:pPr>
            <w:r>
              <w:rPr>
                <w:rFonts w:eastAsia="Calibri" w:cs="Calibri" w:cstheme="minorHAnsi"/>
                <w:b/>
                <w:bCs/>
                <w:kern w:val="2"/>
                <w:sz w:val="22"/>
                <w:szCs w:val="22"/>
                <w:lang w:val="en-GB" w:eastAsia="en-US" w:bidi="ar-SA"/>
              </w:rPr>
              <w:t>-0.571</w:t>
            </w:r>
          </w:p>
        </w:tc>
      </w:tr>
      <w:tr>
        <w:trPr/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 xml:space="preserve">   </w:t>
            </w: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ECOG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60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0.151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48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0.020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34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-0.086</w:t>
            </w:r>
          </w:p>
        </w:tc>
      </w:tr>
      <w:tr>
        <w:trPr/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</w:r>
          </w:p>
        </w:tc>
      </w:tr>
      <w:tr>
        <w:trPr/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DRS-E**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</w:r>
          </w:p>
        </w:tc>
      </w:tr>
      <w:tr>
        <w:trPr/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 xml:space="preserve">   </w:t>
            </w: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EQ-5D-5L Anxiety/Depression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56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-0.138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47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-0.186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34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0.100</w:t>
            </w:r>
          </w:p>
        </w:tc>
      </w:tr>
      <w:tr>
        <w:trPr/>
        <w:tc>
          <w:tcPr>
            <w:tcW w:w="2716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 xml:space="preserve">   </w:t>
            </w: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EQ-5D-5L VAS</w:t>
            </w: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56</w:t>
            </w:r>
          </w:p>
        </w:tc>
        <w:tc>
          <w:tcPr>
            <w:tcW w:w="1948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  <w:b/>
                <w:bCs/>
              </w:rPr>
            </w:pPr>
            <w:r>
              <w:rPr>
                <w:rFonts w:eastAsia="Calibri" w:cs="Calibri" w:cstheme="minorHAnsi"/>
                <w:b/>
                <w:bCs/>
                <w:kern w:val="2"/>
                <w:sz w:val="22"/>
                <w:szCs w:val="22"/>
                <w:lang w:val="en-GB" w:eastAsia="en-US" w:bidi="ar-SA"/>
              </w:rPr>
              <w:t>-0.390</w:t>
            </w: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47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-0.276</w:t>
            </w:r>
          </w:p>
        </w:tc>
        <w:tc>
          <w:tcPr>
            <w:tcW w:w="441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2"/>
                <w:szCs w:val="22"/>
                <w:lang w:val="en-GB" w:eastAsia="en-US" w:bidi="ar-SA"/>
              </w:rPr>
              <w:t>33</w:t>
            </w:r>
          </w:p>
        </w:tc>
        <w:tc>
          <w:tcPr>
            <w:tcW w:w="1946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  <w:b/>
                <w:bCs/>
              </w:rPr>
            </w:pPr>
            <w:r>
              <w:rPr>
                <w:rFonts w:eastAsia="Calibri" w:cs="Calibri" w:cstheme="minorHAnsi"/>
                <w:b/>
                <w:bCs/>
                <w:kern w:val="2"/>
                <w:sz w:val="22"/>
                <w:szCs w:val="22"/>
                <w:lang w:val="en-GB" w:eastAsia="en-US" w:bidi="ar-SA"/>
              </w:rPr>
              <w:t>-0.361</w:t>
            </w:r>
          </w:p>
        </w:tc>
      </w:tr>
    </w:tbl>
    <w:p>
      <w:pPr>
        <w:pStyle w:val="NoSpacing"/>
        <w:rPr>
          <w:rFonts w:cs="Calibri" w:cstheme="minorHAnsi"/>
        </w:rPr>
      </w:pPr>
      <w:r>
        <w:rPr>
          <w:rFonts w:cs="Calibri" w:cstheme="minorHAnsi"/>
        </w:rPr>
        <w:t>*Polyserial correlation coefficients with anchors</w:t>
      </w:r>
    </w:p>
    <w:p>
      <w:pPr>
        <w:pStyle w:val="NoSpacing"/>
        <w:rPr>
          <w:rFonts w:cs="Calibri" w:cstheme="minorHAnsi"/>
        </w:rPr>
      </w:pPr>
      <w:r>
        <w:rPr>
          <w:rFonts w:cs="Calibri" w:cstheme="minorHAnsi"/>
        </w:rPr>
        <w:t>**Polychoric correlation coefficients with anchors</w:t>
      </w:r>
    </w:p>
    <w:p>
      <w:pPr>
        <w:sectPr>
          <w:footerReference w:type="even" r:id="rId2"/>
          <w:footerReference w:type="default" r:id="rId3"/>
          <w:footerReference w:type="first" r:id="rId4"/>
          <w:type w:val="nextPage"/>
          <w:pgSz w:w="11906" w:h="16838"/>
          <w:pgMar w:left="1440" w:right="1440" w:gutter="0" w:header="0" w:top="1440" w:footer="708" w:bottom="1440"/>
          <w:pgNumType w:fmt="decimal"/>
          <w:formProt w:val="false"/>
          <w:textDirection w:val="lrTb"/>
          <w:docGrid w:type="default" w:linePitch="360" w:charSpace="4096"/>
        </w:sectPr>
        <w:pStyle w:val="NoSpacing"/>
        <w:rPr>
          <w:rFonts w:cs="Calibri" w:cstheme="minorHAnsi"/>
        </w:rPr>
      </w:pPr>
      <w:r>
        <w:rPr>
          <w:rFonts w:cs="Calibri" w:cstheme="minorHAnsi"/>
        </w:rPr>
        <w:t>Abbreviations: NFBSI: National Comprehensive Cancer Network Functional Assessment Of Cancer Therapy-Breast Cancer Symptom Index; VAS: Visual Analogue Scale; DRSP: Disease-Related Symptoms Physical; DRSE: Disease-Related Symptoms Emotional</w:t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  <w:t xml:space="preserve">Supplementary Table 4.1.1: Within and Between Groups Anchor-based Changes for the NFBSI-16 Total Score between Baseline and Cycle 5 </w:t>
      </w:r>
    </w:p>
    <w:tbl>
      <w:tblPr>
        <w:tblStyle w:val="TableGrid"/>
        <w:tblW w:w="1417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96"/>
        <w:gridCol w:w="1267"/>
        <w:gridCol w:w="900"/>
        <w:gridCol w:w="1215"/>
        <w:gridCol w:w="1213"/>
        <w:gridCol w:w="1215"/>
        <w:gridCol w:w="1213"/>
        <w:gridCol w:w="2247"/>
        <w:gridCol w:w="2407"/>
      </w:tblGrid>
      <w:tr>
        <w:trPr/>
        <w:tc>
          <w:tcPr>
            <w:tcW w:w="249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bookmarkStart w:id="0" w:name="IDX"/>
            <w:bookmarkEnd w:id="0"/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Anchor (ANC)</w:t>
            </w:r>
          </w:p>
        </w:tc>
        <w:tc>
          <w:tcPr>
            <w:tcW w:w="126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N (%)</w:t>
            </w:r>
          </w:p>
        </w:tc>
        <w:tc>
          <w:tcPr>
            <w:tcW w:w="9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Median</w:t>
            </w:r>
          </w:p>
        </w:tc>
        <w:tc>
          <w:tcPr>
            <w:tcW w:w="12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10th Percentile</w:t>
            </w:r>
          </w:p>
        </w:tc>
        <w:tc>
          <w:tcPr>
            <w:tcW w:w="121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25th Percentile</w:t>
            </w:r>
          </w:p>
        </w:tc>
        <w:tc>
          <w:tcPr>
            <w:tcW w:w="12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75th Percentile</w:t>
            </w:r>
          </w:p>
        </w:tc>
        <w:tc>
          <w:tcPr>
            <w:tcW w:w="121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90th Percentile</w:t>
            </w:r>
          </w:p>
        </w:tc>
        <w:tc>
          <w:tcPr>
            <w:tcW w:w="224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Within-group Mean Change Score (95% CI)</w:t>
            </w:r>
          </w:p>
        </w:tc>
        <w:tc>
          <w:tcPr>
            <w:tcW w:w="24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Mean Between-Group Change Score Difference vs Stable Group (95% CI)</w:t>
            </w:r>
          </w:p>
        </w:tc>
      </w:tr>
      <w:tr>
        <w:trPr/>
        <w:tc>
          <w:tcPr>
            <w:tcW w:w="2496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EQ-5D-5L VAS</w:t>
            </w:r>
          </w:p>
        </w:tc>
        <w:tc>
          <w:tcPr>
            <w:tcW w:w="1267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900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15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13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15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13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2247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2407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</w:tr>
      <w:tr>
        <w:trPr/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Major improvement: &gt;= 21 point increase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6 (10.5%)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3.37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-15.00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1.00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12.00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14.00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3.12 (-7.69, 13.94)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3.66 (-4.56, 11.88)</w:t>
            </w:r>
          </w:p>
        </w:tc>
      </w:tr>
      <w:tr>
        <w:trPr/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Minimal to moderate improvement: &gt;=7 to &lt;21 point increase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19 (33.3%)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-4.00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-22.00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-9.00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3.43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14.00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-2.61 (-8.03, 2.80)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-2.08 (-8.65, 4.50)</w:t>
            </w:r>
          </w:p>
        </w:tc>
      </w:tr>
      <w:tr>
        <w:trPr/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Stable: change less than 7 points (negative and positive)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17 (29.8%)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-11.00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-5.00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4.53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9.20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-0.54 (-4.44, 3.37)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</w:tr>
      <w:tr>
        <w:trPr/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Minimal to moderate worsening: &lt;=-7 to &gt;-21 point decrease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10 (17.5%)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-8.00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-16.50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-10.44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-3.43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-7.71 (-12.20, -3.23)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-7.18 (-13.04, -1.31)</w:t>
            </w:r>
          </w:p>
        </w:tc>
      </w:tr>
      <w:tr>
        <w:trPr/>
        <w:tc>
          <w:tcPr>
            <w:tcW w:w="2496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Major worsening: &lt;=-21 point decrease</w:t>
            </w:r>
          </w:p>
        </w:tc>
        <w:tc>
          <w:tcPr>
            <w:tcW w:w="1267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5 (8.8%)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-12.00</w:t>
            </w: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-19.00</w:t>
            </w:r>
          </w:p>
        </w:tc>
        <w:tc>
          <w:tcPr>
            <w:tcW w:w="1213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-15.00</w:t>
            </w: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-7.27</w:t>
            </w:r>
          </w:p>
        </w:tc>
        <w:tc>
          <w:tcPr>
            <w:tcW w:w="1213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8.00</w:t>
            </w:r>
          </w:p>
        </w:tc>
        <w:tc>
          <w:tcPr>
            <w:tcW w:w="2247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-9.05 (-22.03, 3.92)</w:t>
            </w:r>
          </w:p>
        </w:tc>
        <w:tc>
          <w:tcPr>
            <w:tcW w:w="2407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-8.52 (-17.27, 0.24)</w:t>
            </w:r>
          </w:p>
        </w:tc>
      </w:tr>
    </w:tbl>
    <w:p>
      <w:pPr>
        <w:pStyle w:val="Normal"/>
        <w:rPr>
          <w:rFonts w:ascii="Calibri" w:hAnsi="Calibri" w:cs="Calibri"/>
        </w:rPr>
      </w:pPr>
      <w:r>
        <w:rPr>
          <w:rFonts w:cs="Calibri"/>
        </w:rPr>
        <w:t>Abbreviations: NFBSI: National Comprehensive Cancer Network Functional Assessment Of Cancer Therapy-Breast Cancer Symptom Index; VAS: Visual Analogue Scale; DRSP: Disease-Related Symptoms Physical; DRSE: Disease-Related Symptoms Emotional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  <w:t xml:space="preserve">Supplementary Table 4.1.2: Within and Between Groups Anchor-based Changes for the NFBSI-16 Total Score between Baseline and Cycle 7 </w:t>
      </w:r>
    </w:p>
    <w:tbl>
      <w:tblPr>
        <w:tblStyle w:val="TableGrid"/>
        <w:tblW w:w="1417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96"/>
        <w:gridCol w:w="1267"/>
        <w:gridCol w:w="900"/>
        <w:gridCol w:w="1215"/>
        <w:gridCol w:w="1213"/>
        <w:gridCol w:w="1215"/>
        <w:gridCol w:w="1213"/>
        <w:gridCol w:w="2247"/>
        <w:gridCol w:w="2407"/>
      </w:tblGrid>
      <w:tr>
        <w:trPr/>
        <w:tc>
          <w:tcPr>
            <w:tcW w:w="249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Anchor (ANC)</w:t>
            </w:r>
          </w:p>
        </w:tc>
        <w:tc>
          <w:tcPr>
            <w:tcW w:w="126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N (%)</w:t>
            </w:r>
          </w:p>
        </w:tc>
        <w:tc>
          <w:tcPr>
            <w:tcW w:w="9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Median</w:t>
            </w:r>
          </w:p>
        </w:tc>
        <w:tc>
          <w:tcPr>
            <w:tcW w:w="12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10th Percentile</w:t>
            </w:r>
          </w:p>
        </w:tc>
        <w:tc>
          <w:tcPr>
            <w:tcW w:w="121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25th Percentile</w:t>
            </w:r>
          </w:p>
        </w:tc>
        <w:tc>
          <w:tcPr>
            <w:tcW w:w="12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75th Percentile</w:t>
            </w:r>
          </w:p>
        </w:tc>
        <w:tc>
          <w:tcPr>
            <w:tcW w:w="121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90th Percentile</w:t>
            </w:r>
          </w:p>
        </w:tc>
        <w:tc>
          <w:tcPr>
            <w:tcW w:w="224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Within-group Mean Change Score (95% CI)</w:t>
            </w:r>
          </w:p>
        </w:tc>
        <w:tc>
          <w:tcPr>
            <w:tcW w:w="24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Mean Between-Group Change Score Difference vs Stable Group (95% CI)</w:t>
            </w:r>
          </w:p>
        </w:tc>
      </w:tr>
      <w:tr>
        <w:trPr/>
        <w:tc>
          <w:tcPr>
            <w:tcW w:w="2496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EQ-5D-5L VAS</w:t>
            </w:r>
          </w:p>
        </w:tc>
        <w:tc>
          <w:tcPr>
            <w:tcW w:w="1267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900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15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13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15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13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2247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2407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</w:tr>
      <w:tr>
        <w:trPr/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Major improvement: &gt;= 21 point increase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6 (12.8%)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5.00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-6.00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-5.86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11.00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14.00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3.86 (-5.29, 13.01)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6.74 (-0.26, 13.75)</w:t>
            </w:r>
          </w:p>
        </w:tc>
      </w:tr>
      <w:tr>
        <w:trPr/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Minimal to moderate improvement: &gt;=7 to &lt;21 point increase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9 (19.1%)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-1.00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-12.00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-4.00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3.00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17.00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-0.22 (-6.55, 6.10)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2.66 (-3.32, 8.65)</w:t>
            </w:r>
          </w:p>
        </w:tc>
      </w:tr>
      <w:tr>
        <w:trPr/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Stable: change less than 7 points (negative and positive)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22 (46.8%)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-3.50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-12.00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-9.00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2.00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7.00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-2.89 (-6.01, 0.24)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</w:tr>
      <w:tr>
        <w:trPr/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Minimal to moderate worsening: &lt;=-7 to &gt;-21 point decrease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6 (12.8%)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-6.79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-26.00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-14.00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3.00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6.00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-7.43 (-20.33, 5.47)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-4.54 (-12.42, 3.33)</w:t>
            </w:r>
          </w:p>
        </w:tc>
      </w:tr>
      <w:tr>
        <w:trPr/>
        <w:tc>
          <w:tcPr>
            <w:tcW w:w="2496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Major worsening: &lt;=-21 point decrease</w:t>
            </w:r>
          </w:p>
        </w:tc>
        <w:tc>
          <w:tcPr>
            <w:tcW w:w="1267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4 (8.5%)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-2.93</w:t>
            </w: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-9.67</w:t>
            </w:r>
          </w:p>
        </w:tc>
        <w:tc>
          <w:tcPr>
            <w:tcW w:w="1213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-6.83</w:t>
            </w: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2.57</w:t>
            </w:r>
          </w:p>
        </w:tc>
        <w:tc>
          <w:tcPr>
            <w:tcW w:w="1213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7.00</w:t>
            </w:r>
          </w:p>
        </w:tc>
        <w:tc>
          <w:tcPr>
            <w:tcW w:w="2247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-2.13 (-13.15, 8.88)</w:t>
            </w:r>
          </w:p>
        </w:tc>
        <w:tc>
          <w:tcPr>
            <w:tcW w:w="2407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0.75 (-7.14, 8.64)</w:t>
            </w:r>
          </w:p>
        </w:tc>
      </w:tr>
    </w:tbl>
    <w:p>
      <w:pPr>
        <w:pStyle w:val="Normal"/>
        <w:rPr>
          <w:rFonts w:ascii="Calibri" w:hAnsi="Calibri" w:cs="Calibri"/>
        </w:rPr>
      </w:pPr>
      <w:r>
        <w:rPr>
          <w:rFonts w:cs="Calibri"/>
        </w:rPr>
        <w:t>Abbreviations: NFBSI: National Comprehensive Cancer Network Functional Assessment Of Cancer Therapy-Breast Cancer Symptom Index; VAS: Visual Analogue Scale; DRSP: Disease-Related Symptoms Physical; DRSE: Disease-Related Symptoms Emotional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  <w:t xml:space="preserve">Supplementary Table 4.1.3: Within and Between Groups Anchor-based Changes for the NFBSI-16 Total Score between Baseline and Cycle 9 </w:t>
      </w:r>
    </w:p>
    <w:tbl>
      <w:tblPr>
        <w:tblStyle w:val="TableGrid"/>
        <w:tblW w:w="1417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09"/>
        <w:gridCol w:w="1266"/>
        <w:gridCol w:w="900"/>
        <w:gridCol w:w="1236"/>
        <w:gridCol w:w="1236"/>
        <w:gridCol w:w="1236"/>
        <w:gridCol w:w="1236"/>
        <w:gridCol w:w="2247"/>
        <w:gridCol w:w="2407"/>
      </w:tblGrid>
      <w:tr>
        <w:trPr/>
        <w:tc>
          <w:tcPr>
            <w:tcW w:w="24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Anchor (ANC)</w:t>
            </w:r>
          </w:p>
        </w:tc>
        <w:tc>
          <w:tcPr>
            <w:tcW w:w="12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N (%)</w:t>
            </w:r>
          </w:p>
        </w:tc>
        <w:tc>
          <w:tcPr>
            <w:tcW w:w="9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Median</w:t>
            </w:r>
          </w:p>
        </w:tc>
        <w:tc>
          <w:tcPr>
            <w:tcW w:w="123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10th Percentile</w:t>
            </w:r>
          </w:p>
        </w:tc>
        <w:tc>
          <w:tcPr>
            <w:tcW w:w="123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25th Percentile</w:t>
            </w:r>
          </w:p>
        </w:tc>
        <w:tc>
          <w:tcPr>
            <w:tcW w:w="123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75th Percentile</w:t>
            </w:r>
          </w:p>
        </w:tc>
        <w:tc>
          <w:tcPr>
            <w:tcW w:w="123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90th Percentile</w:t>
            </w:r>
          </w:p>
        </w:tc>
        <w:tc>
          <w:tcPr>
            <w:tcW w:w="224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Within-group Mean Change Score (95% CI)</w:t>
            </w:r>
          </w:p>
        </w:tc>
        <w:tc>
          <w:tcPr>
            <w:tcW w:w="24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Mean Between-Group Change Score Difference vs Stable Group (95% CI)</w:t>
            </w:r>
          </w:p>
        </w:tc>
      </w:tr>
      <w:tr>
        <w:trPr/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EQ-5D-5L VAS</w:t>
            </w:r>
          </w:p>
        </w:tc>
        <w:tc>
          <w:tcPr>
            <w:tcW w:w="1266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900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36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36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36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36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2247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2407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</w:tr>
      <w:tr>
        <w:trPr/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Major improvement: &gt;= 21 point increase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5 (15.2%)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4.20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-3.43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2.00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7.00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10.00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3.95 (-2.38, 10.29)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5.16 (-1.65, 11.97)</w:t>
            </w:r>
          </w:p>
        </w:tc>
      </w:tr>
      <w:tr>
        <w:trPr/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Minimal to moderate improvement: &gt;=7 to &lt;21 point increase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4 (12.1%)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-3.50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-12.00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-9.50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2.00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4.00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-3.75 (-15.10, 7.60)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-2.55 (-10.45, 5.35)</w:t>
            </w:r>
          </w:p>
        </w:tc>
      </w:tr>
      <w:tr>
        <w:trPr/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Stable: change less than 7 points (negative and positive)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16 (48.5%)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-0.87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-12.00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-5.00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2.14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6.00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-1.20 (-4.74, 2.34)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</w:tr>
      <w:tr>
        <w:trPr/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Minimal to moderate worsening: &lt;=-7 to &gt;-21 point decrease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7 (21.2%)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-7.00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-16.00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-11.00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-2.27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-7.59 (-12.57, -2.61)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-6.39 (-12.33, -0.44)</w:t>
            </w:r>
          </w:p>
        </w:tc>
      </w:tr>
      <w:tr>
        <w:trPr/>
        <w:tc>
          <w:tcPr>
            <w:tcW w:w="2409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Major worsening: &lt;=-21 point decrease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 (3.0%)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-9.00</w:t>
            </w:r>
          </w:p>
        </w:tc>
        <w:tc>
          <w:tcPr>
            <w:tcW w:w="1236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-9.00</w:t>
            </w:r>
          </w:p>
        </w:tc>
        <w:tc>
          <w:tcPr>
            <w:tcW w:w="1236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-9.00</w:t>
            </w:r>
          </w:p>
        </w:tc>
        <w:tc>
          <w:tcPr>
            <w:tcW w:w="1236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-9.00</w:t>
            </w:r>
          </w:p>
        </w:tc>
        <w:tc>
          <w:tcPr>
            <w:tcW w:w="1236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-9.00</w:t>
            </w:r>
          </w:p>
        </w:tc>
        <w:tc>
          <w:tcPr>
            <w:tcW w:w="2247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-9.00 (-, -)</w:t>
            </w:r>
          </w:p>
        </w:tc>
        <w:tc>
          <w:tcPr>
            <w:tcW w:w="2407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-7.80 (-22.39, 6.79)</w:t>
            </w:r>
          </w:p>
        </w:tc>
      </w:tr>
    </w:tbl>
    <w:p>
      <w:pPr>
        <w:pStyle w:val="Normal"/>
        <w:rPr>
          <w:rFonts w:ascii="Calibri" w:hAnsi="Calibri" w:cs="Calibri"/>
        </w:rPr>
      </w:pPr>
      <w:r>
        <w:rPr>
          <w:rFonts w:cs="Calibri"/>
        </w:rPr>
        <w:t>Abbreviations: NFBSI: National Comprehensive Cancer Network Functional Assessment Of Cancer Therapy-Breast Cancer Symptom Index; VAS: Visual Analogue Scale; DRSP: Disease-Related Symptoms Physical; DRSE: Disease-Related Symptoms Emotional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  <w:t xml:space="preserve">Supplementary Table 4.2.1: Within and Between Groups Anchor-based Changes for the NFBSI-16 DRS-P between Baseline and Cycle 5 </w:t>
      </w:r>
    </w:p>
    <w:tbl>
      <w:tblPr>
        <w:tblStyle w:val="TableGrid"/>
        <w:tblW w:w="1431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78"/>
        <w:gridCol w:w="1310"/>
        <w:gridCol w:w="901"/>
        <w:gridCol w:w="1202"/>
        <w:gridCol w:w="1203"/>
        <w:gridCol w:w="1204"/>
        <w:gridCol w:w="1202"/>
        <w:gridCol w:w="2307"/>
        <w:gridCol w:w="2408"/>
      </w:tblGrid>
      <w:tr>
        <w:trPr/>
        <w:tc>
          <w:tcPr>
            <w:tcW w:w="257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Anchor (ANC)</w:t>
            </w:r>
          </w:p>
        </w:tc>
        <w:tc>
          <w:tcPr>
            <w:tcW w:w="13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N (%)</w:t>
            </w:r>
          </w:p>
        </w:tc>
        <w:tc>
          <w:tcPr>
            <w:tcW w:w="9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Median</w:t>
            </w:r>
          </w:p>
        </w:tc>
        <w:tc>
          <w:tcPr>
            <w:tcW w:w="120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10th Percentile</w:t>
            </w:r>
          </w:p>
        </w:tc>
        <w:tc>
          <w:tcPr>
            <w:tcW w:w="120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25th Percentile</w:t>
            </w:r>
          </w:p>
        </w:tc>
        <w:tc>
          <w:tcPr>
            <w:tcW w:w="120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75th Percentile</w:t>
            </w:r>
          </w:p>
        </w:tc>
        <w:tc>
          <w:tcPr>
            <w:tcW w:w="120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90th Percentile</w:t>
            </w:r>
          </w:p>
        </w:tc>
        <w:tc>
          <w:tcPr>
            <w:tcW w:w="23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Within-group Mean Change Score (95% CI)</w:t>
            </w:r>
          </w:p>
        </w:tc>
        <w:tc>
          <w:tcPr>
            <w:tcW w:w="240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Mean Between-Group Change Score Difference vs Stable Group (95% CI)</w:t>
            </w:r>
          </w:p>
        </w:tc>
      </w:tr>
      <w:tr>
        <w:trPr/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EQ-5D-5L Pain</w:t>
            </w:r>
          </w:p>
        </w:tc>
        <w:tc>
          <w:tcPr>
            <w:tcW w:w="1310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901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02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03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04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02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2307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2408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</w:tr>
      <w:tr>
        <w:trPr/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Major improvement: &lt;=-3 point change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 (0.0%)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</w:tr>
      <w:tr>
        <w:trPr/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Minimal to moderate improvement: -1 or -2 point change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20 (34.5%)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0.50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-7.83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-4.50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5.50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8.00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0.65 (-2.32, 3.61)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0.45 (-2.79, 3.70)</w:t>
            </w:r>
          </w:p>
        </w:tc>
      </w:tr>
      <w:tr>
        <w:trPr/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Stable: 0 point change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24 (41.4%)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0.43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-7.00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-2.00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2.64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7.00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0.19 (-1.62, 2.00)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</w:tr>
      <w:tr>
        <w:trPr/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Minimal to moderate worsening: 1 or 2 point change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14 (24.1%)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-4.00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-8.00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-6.00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-0.71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1.00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-3.60 (-5.85, -1.35)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-3.79 (-6.62, -0.96)</w:t>
            </w:r>
          </w:p>
        </w:tc>
      </w:tr>
      <w:tr>
        <w:trPr/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Major worsening: &gt;=3 point change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 (0.0%)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</w:tr>
      <w:tr>
        <w:trPr/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</w:tr>
      <w:tr>
        <w:trPr/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EQ-5D-5L Usual Activities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</w:tr>
      <w:tr>
        <w:trPr/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Major improvement: &lt;=-3 point change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 (0.0%)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</w:tr>
      <w:tr>
        <w:trPr/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Minimal to moderate improvement: -1 or -2 point change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6 (10.5%)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3.50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-1.00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0.00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7.00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13.00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4.33 (-1.29, 9.95)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5.15 (0.75, 9.56)</w:t>
            </w:r>
          </w:p>
        </w:tc>
      </w:tr>
      <w:tr>
        <w:trPr/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Stable: 0 point change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38 (66.7%)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-0.36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-8.00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-5.00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3.00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5.00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-0.82 (-2.44, 0.80)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</w:tr>
      <w:tr>
        <w:trPr/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Minimal to moderate worsening: 1 or 2 point change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13 (22.8%)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-2.00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-8.00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-6.00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0.86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7.00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-2.05 (-5.27, 1.16)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-1.23 (-4.48, 2.01)</w:t>
            </w:r>
          </w:p>
        </w:tc>
      </w:tr>
      <w:tr>
        <w:trPr/>
        <w:tc>
          <w:tcPr>
            <w:tcW w:w="2578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Major worsening: &gt;=3 point change</w:t>
            </w:r>
          </w:p>
        </w:tc>
        <w:tc>
          <w:tcPr>
            <w:tcW w:w="1310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 (0.0%)</w:t>
            </w:r>
          </w:p>
        </w:tc>
        <w:tc>
          <w:tcPr>
            <w:tcW w:w="901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02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03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02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2307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2408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</w:tr>
    </w:tbl>
    <w:p>
      <w:pPr>
        <w:pStyle w:val="Normal"/>
        <w:rPr>
          <w:rFonts w:ascii="Calibri" w:hAnsi="Calibri" w:cs="Calibri"/>
        </w:rPr>
      </w:pPr>
      <w:r>
        <w:rPr>
          <w:rFonts w:cs="Calibri"/>
        </w:rPr>
        <w:t>Abbreviations: NFBSI: National Comprehensive Cancer Network Functional Assessment Of Cancer Therapy-Breast Cancer Symptom Index; VAS: Visual Analogue Scale; DRSP: Disease-Related Symptoms Physical; DRSE: Disease-Related Symptoms Emotional</w:t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  <w:t xml:space="preserve">Supplementary Table 4.2.2: Within and Between Groups Anchor-based Changes for the NFBSI-16 DRS-P between Baseline and Cycle 7 </w:t>
      </w:r>
    </w:p>
    <w:tbl>
      <w:tblPr>
        <w:tblStyle w:val="TableGrid"/>
        <w:tblW w:w="1445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79"/>
        <w:gridCol w:w="1309"/>
        <w:gridCol w:w="900"/>
        <w:gridCol w:w="1203"/>
        <w:gridCol w:w="1203"/>
        <w:gridCol w:w="1203"/>
        <w:gridCol w:w="1203"/>
        <w:gridCol w:w="2306"/>
        <w:gridCol w:w="2551"/>
      </w:tblGrid>
      <w:tr>
        <w:trPr/>
        <w:tc>
          <w:tcPr>
            <w:tcW w:w="257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Anchor (ANC)</w:t>
            </w:r>
          </w:p>
        </w:tc>
        <w:tc>
          <w:tcPr>
            <w:tcW w:w="13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N (%)</w:t>
            </w:r>
          </w:p>
        </w:tc>
        <w:tc>
          <w:tcPr>
            <w:tcW w:w="9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Median</w:t>
            </w:r>
          </w:p>
        </w:tc>
        <w:tc>
          <w:tcPr>
            <w:tcW w:w="120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10th Percentile</w:t>
            </w:r>
          </w:p>
        </w:tc>
        <w:tc>
          <w:tcPr>
            <w:tcW w:w="120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25th Percentile</w:t>
            </w:r>
          </w:p>
        </w:tc>
        <w:tc>
          <w:tcPr>
            <w:tcW w:w="120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75th Percentile</w:t>
            </w:r>
          </w:p>
        </w:tc>
        <w:tc>
          <w:tcPr>
            <w:tcW w:w="120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90th Percentile</w:t>
            </w:r>
          </w:p>
        </w:tc>
        <w:tc>
          <w:tcPr>
            <w:tcW w:w="23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Within-group Mean Change Score (95% CI)</w:t>
            </w:r>
          </w:p>
        </w:tc>
        <w:tc>
          <w:tcPr>
            <w:tcW w:w="255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Mean Between-Group Change Score Difference vs Stable Group (95% CI)</w:t>
            </w:r>
          </w:p>
        </w:tc>
      </w:tr>
      <w:tr>
        <w:trPr/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EQ-5D-5L Pain</w:t>
            </w:r>
          </w:p>
        </w:tc>
        <w:tc>
          <w:tcPr>
            <w:tcW w:w="1309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900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03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03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03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03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2306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2551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</w:tr>
      <w:tr>
        <w:trPr/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Major improvement: &lt;=-3 point change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 (0.0%)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</w:tr>
      <w:tr>
        <w:trPr/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Minimal to moderate improvement: -1 or -2 point change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14 (29.2%)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3.00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-2.00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0.00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5.00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6.00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2.40 (0.71, 4.09)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2.77 (-0.53, 6.07)</w:t>
            </w:r>
          </w:p>
        </w:tc>
      </w:tr>
      <w:tr>
        <w:trPr/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Stable: 0 point change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18 (37.5%)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-0.50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-7.00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-4.00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5.00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5.43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-0.37 (-3.08, 2.34)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</w:tr>
      <w:tr>
        <w:trPr/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Minimal to moderate worsening: 1 or 2 point change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16 (33.3%)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-4.00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-10.00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-7.00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-1.00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0.00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-3.63 (-6.36, -0.89)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-3.25 (-6.97, 0.46)</w:t>
            </w:r>
          </w:p>
        </w:tc>
      </w:tr>
      <w:tr>
        <w:trPr/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Major worsening: &gt;=3 point change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 (0.0%)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</w:tr>
      <w:tr>
        <w:trPr/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</w:tr>
      <w:tr>
        <w:trPr/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EQ-5D-5L Usual Activities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</w:tr>
      <w:tr>
        <w:trPr/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Major improvement: &lt;=-3 point change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 (2.1%)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4.00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4.00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4.00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4.00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4.00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4.00 (-, -)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3.66 (-5.69, 13.00)</w:t>
            </w:r>
          </w:p>
        </w:tc>
      </w:tr>
      <w:tr>
        <w:trPr/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Minimal to moderate improvement: -1 or -2 point change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7 (14.9%)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1.00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-6.00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-2.00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5.00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10.00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1.57 (-3.11, 6.25)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1.23 (-2.69, 5.14)</w:t>
            </w:r>
          </w:p>
        </w:tc>
      </w:tr>
      <w:tr>
        <w:trPr/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Stable: 0 point change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30 (63.8%)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0.00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-4.33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-3.00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4.57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5.71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0.34 (-1.33, 2.02)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</w:tr>
      <w:tr>
        <w:trPr/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Minimal to moderate worsening: 1 or 2 point change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8 (17.0%)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-6.00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-10.43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-9.00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-3.00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5.00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-5.18 (-9.39, -0.97)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-5.52 (-9.24, -1.81)</w:t>
            </w:r>
          </w:p>
        </w:tc>
      </w:tr>
      <w:tr>
        <w:trPr/>
        <w:tc>
          <w:tcPr>
            <w:tcW w:w="2579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Major worsening: &gt;=3 point change</w:t>
            </w:r>
          </w:p>
        </w:tc>
        <w:tc>
          <w:tcPr>
            <w:tcW w:w="1309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 (2.1%)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-11.00</w:t>
            </w:r>
          </w:p>
        </w:tc>
        <w:tc>
          <w:tcPr>
            <w:tcW w:w="1203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-11.00</w:t>
            </w:r>
          </w:p>
        </w:tc>
        <w:tc>
          <w:tcPr>
            <w:tcW w:w="1203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-11.00</w:t>
            </w:r>
          </w:p>
        </w:tc>
        <w:tc>
          <w:tcPr>
            <w:tcW w:w="1203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-11.00</w:t>
            </w:r>
          </w:p>
        </w:tc>
        <w:tc>
          <w:tcPr>
            <w:tcW w:w="1203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-11.00</w:t>
            </w:r>
          </w:p>
        </w:tc>
        <w:tc>
          <w:tcPr>
            <w:tcW w:w="2306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-11.00 (-, -)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-11.34 (-20.69, -2.00)</w:t>
            </w:r>
          </w:p>
        </w:tc>
      </w:tr>
    </w:tbl>
    <w:p>
      <w:pPr>
        <w:pStyle w:val="Normal"/>
        <w:rPr>
          <w:rFonts w:ascii="Calibri" w:hAnsi="Calibri" w:cs="Calibri"/>
        </w:rPr>
      </w:pPr>
      <w:r>
        <w:rPr>
          <w:rFonts w:cs="Calibri"/>
        </w:rPr>
        <w:t>Abbreviations: NFBSI: National Comprehensive Cancer Network Functional Assessment Of Cancer Therapy-Breast Cancer Symptom Index; VAS: Visual Analogue Scale; DRSP: Disease-Related Symptoms Physical; DRSE: Disease-Related Symptoms Emotional</w:t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  <w:t xml:space="preserve">Supplementary Table 4.2.3: Within and Between Groups Anchor-based Changes for the NFBSI-16 DRS-P between Baseline and Cycle 9 </w:t>
      </w:r>
    </w:p>
    <w:tbl>
      <w:tblPr>
        <w:tblStyle w:val="TableGrid"/>
        <w:tblW w:w="1431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09"/>
        <w:gridCol w:w="1266"/>
        <w:gridCol w:w="900"/>
        <w:gridCol w:w="1237"/>
        <w:gridCol w:w="1236"/>
        <w:gridCol w:w="1235"/>
        <w:gridCol w:w="1236"/>
        <w:gridCol w:w="2246"/>
        <w:gridCol w:w="2550"/>
      </w:tblGrid>
      <w:tr>
        <w:trPr/>
        <w:tc>
          <w:tcPr>
            <w:tcW w:w="24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Anchor (ANC)</w:t>
            </w:r>
          </w:p>
        </w:tc>
        <w:tc>
          <w:tcPr>
            <w:tcW w:w="12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N (%)</w:t>
            </w:r>
          </w:p>
        </w:tc>
        <w:tc>
          <w:tcPr>
            <w:tcW w:w="9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Median</w:t>
            </w:r>
          </w:p>
        </w:tc>
        <w:tc>
          <w:tcPr>
            <w:tcW w:w="12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10th Percentile</w:t>
            </w:r>
          </w:p>
        </w:tc>
        <w:tc>
          <w:tcPr>
            <w:tcW w:w="123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25th Percentile</w:t>
            </w:r>
          </w:p>
        </w:tc>
        <w:tc>
          <w:tcPr>
            <w:tcW w:w="12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75th Percentile</w:t>
            </w:r>
          </w:p>
        </w:tc>
        <w:tc>
          <w:tcPr>
            <w:tcW w:w="123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90th Percentile</w:t>
            </w:r>
          </w:p>
        </w:tc>
        <w:tc>
          <w:tcPr>
            <w:tcW w:w="224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Within-group Mean Change Score (95% CI)</w:t>
            </w:r>
          </w:p>
        </w:tc>
        <w:tc>
          <w:tcPr>
            <w:tcW w:w="25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Mean Between-Group Change Score Difference vs Stable Group (95% CI)</w:t>
            </w:r>
          </w:p>
        </w:tc>
      </w:tr>
      <w:tr>
        <w:trPr/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EQ-5D-5L Pain</w:t>
            </w:r>
          </w:p>
        </w:tc>
        <w:tc>
          <w:tcPr>
            <w:tcW w:w="1266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900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37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36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35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36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2246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2550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</w:tr>
      <w:tr>
        <w:trPr/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Major improvement: &lt;=-3 point change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 (2.9%)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2.57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2.57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2.57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2.57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2.57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2.57 (-, -)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4.59 (-5.21, 14.39)</w:t>
            </w:r>
          </w:p>
        </w:tc>
      </w:tr>
      <w:tr>
        <w:trPr/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Minimal to moderate improvement: -1 or -2 point change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8 (23.5%)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0.50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-3.00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-2.00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3.50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5.00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0.75 (-1.77, 3.27)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2.77 (-0.88, 6.42)</w:t>
            </w:r>
          </w:p>
        </w:tc>
      </w:tr>
      <w:tr>
        <w:trPr/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Stable: 0 point change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15 (44.1%)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-8.43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-5.00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3.00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-2.02 (-4.47, 0.43)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</w:tr>
      <w:tr>
        <w:trPr/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Minimal to moderate worsening: 1 or 2 point change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10 (29.4%)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-2.50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-5.50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-4.00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-1.00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3.50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-2.00 (-4.61, 0.61)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0.02 (-3.48, 3.51)</w:t>
            </w:r>
          </w:p>
        </w:tc>
      </w:tr>
      <w:tr>
        <w:trPr/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Major worsening: &gt;=3 point change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 (0.0%)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</w:tr>
      <w:tr>
        <w:trPr/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</w:tr>
      <w:tr>
        <w:trPr/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EQ-5D-5L Usual Activities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</w:tr>
      <w:tr>
        <w:trPr/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Major improvement: &lt;=-3 point change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 (0.0%)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</w:tr>
      <w:tr>
        <w:trPr/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Minimal to moderate improvement: -1 or -2 point change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7 (21.2%)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-4.00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-4.00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4.00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7.00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0.29 (-3.52, 4.09)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0.80 (-2.31, 3.90)</w:t>
            </w:r>
          </w:p>
        </w:tc>
      </w:tr>
      <w:tr>
        <w:trPr/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Stable: 0 point change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18 (54.5%)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-5.00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-3.00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4.00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-0.51 (-2.04, 1.01)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</w:tr>
      <w:tr>
        <w:trPr/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Minimal to moderate worsening: 1 or 2 point change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8 (24.2%)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-4.00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-12.00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-7.21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-2.00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3.00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-4.43 (-8.24, -0.62)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-3.92 (-7.04, -0.79)</w:t>
            </w:r>
          </w:p>
        </w:tc>
      </w:tr>
      <w:tr>
        <w:trPr/>
        <w:tc>
          <w:tcPr>
            <w:tcW w:w="2409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Major worsening: &gt;=3 point change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 (0.0%)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37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36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35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36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2246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2550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</w:tr>
    </w:tbl>
    <w:p>
      <w:pPr>
        <w:pStyle w:val="Normal"/>
        <w:rPr>
          <w:rFonts w:ascii="Calibri" w:hAnsi="Calibri" w:cs="Calibri"/>
        </w:rPr>
      </w:pPr>
      <w:r>
        <w:rPr>
          <w:rFonts w:cs="Calibri"/>
        </w:rPr>
        <w:t>Abbreviations: NFBSI: National Comprehensive Cancer Network Functional Assessment Of Cancer Therapy-Breast Cancer Symptom Index; VAS: Visual Analogue Scale; DRSP: Disease-Related Symptoms Physical; DRSE: Disease-Related Symptoms Emotional</w:t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  <w:t xml:space="preserve">Supplementary Table 4.3.1: Within and Between Groups Anchor-based Changes for the NFBSI-16 DRS-E between Baseline and Cycle 5 </w:t>
      </w:r>
    </w:p>
    <w:tbl>
      <w:tblPr>
        <w:tblStyle w:val="TableGrid"/>
        <w:tblW w:w="1431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09"/>
        <w:gridCol w:w="1266"/>
        <w:gridCol w:w="900"/>
        <w:gridCol w:w="1237"/>
        <w:gridCol w:w="1236"/>
        <w:gridCol w:w="1235"/>
        <w:gridCol w:w="1236"/>
        <w:gridCol w:w="2246"/>
        <w:gridCol w:w="2550"/>
      </w:tblGrid>
      <w:tr>
        <w:trPr/>
        <w:tc>
          <w:tcPr>
            <w:tcW w:w="24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Anchor (ANC)</w:t>
            </w:r>
          </w:p>
        </w:tc>
        <w:tc>
          <w:tcPr>
            <w:tcW w:w="12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N (%)</w:t>
            </w:r>
          </w:p>
        </w:tc>
        <w:tc>
          <w:tcPr>
            <w:tcW w:w="9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Median</w:t>
            </w:r>
          </w:p>
        </w:tc>
        <w:tc>
          <w:tcPr>
            <w:tcW w:w="12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10th Percentile</w:t>
            </w:r>
          </w:p>
        </w:tc>
        <w:tc>
          <w:tcPr>
            <w:tcW w:w="123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25th Percentile</w:t>
            </w:r>
          </w:p>
        </w:tc>
        <w:tc>
          <w:tcPr>
            <w:tcW w:w="12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75th Percentile</w:t>
            </w:r>
          </w:p>
        </w:tc>
        <w:tc>
          <w:tcPr>
            <w:tcW w:w="123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90th Percentile</w:t>
            </w:r>
          </w:p>
        </w:tc>
        <w:tc>
          <w:tcPr>
            <w:tcW w:w="224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Within-group Mean Change Score (95% CI)</w:t>
            </w:r>
          </w:p>
        </w:tc>
        <w:tc>
          <w:tcPr>
            <w:tcW w:w="25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Mean Between-Group Change Score Difference vs Stable Group (95% CI)</w:t>
            </w:r>
          </w:p>
        </w:tc>
      </w:tr>
      <w:tr>
        <w:trPr/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EQ-5D-5L VAS</w:t>
            </w:r>
          </w:p>
        </w:tc>
        <w:tc>
          <w:tcPr>
            <w:tcW w:w="1266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900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37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36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35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36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2246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2550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</w:tr>
      <w:tr>
        <w:trPr/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Major improvement: &gt;= 21 point increase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6 (10.7%)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1.50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1.00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2.00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4.00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1.67 (0.23, 3.10)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1.14 (0.01, 2.27)</w:t>
            </w:r>
          </w:p>
        </w:tc>
      </w:tr>
      <w:tr>
        <w:trPr/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Minimal to moderate improvement: &gt;=7 to &lt;21 point increase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18 (32.1%)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-1.00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0.00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2.00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0.28 (-0.48, 1.04)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-0.25 (-1.16, 0.66)</w:t>
            </w:r>
          </w:p>
        </w:tc>
      </w:tr>
      <w:tr>
        <w:trPr/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Stable: change less than 7 points (negative and positive)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17 (30.4%)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-1.00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0.00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2.00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0.53 (-0.02, 1.08)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</w:tr>
      <w:tr>
        <w:trPr>
          <w:trHeight w:val="624" w:hRule="atLeast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Minimal to moderate worsening: &lt;=-7 to &gt;-21 point decrease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10 (17.9%)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-0.50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-1.50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-1.00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0.50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-0.50 (-1.11, 0.11)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-1.03 (-1.85, -0.21)</w:t>
            </w:r>
          </w:p>
        </w:tc>
      </w:tr>
      <w:tr>
        <w:trPr/>
        <w:tc>
          <w:tcPr>
            <w:tcW w:w="2409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Major worsening: &lt;=-21 point decrease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5 (8.9%)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-1.00</w:t>
            </w:r>
          </w:p>
        </w:tc>
        <w:tc>
          <w:tcPr>
            <w:tcW w:w="1237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-2.00</w:t>
            </w:r>
          </w:p>
        </w:tc>
        <w:tc>
          <w:tcPr>
            <w:tcW w:w="1236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-2.00</w:t>
            </w:r>
          </w:p>
        </w:tc>
        <w:tc>
          <w:tcPr>
            <w:tcW w:w="1235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0.00</w:t>
            </w:r>
          </w:p>
        </w:tc>
        <w:tc>
          <w:tcPr>
            <w:tcW w:w="1236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3.00</w:t>
            </w:r>
          </w:p>
        </w:tc>
        <w:tc>
          <w:tcPr>
            <w:tcW w:w="2246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-0.40 (-2.97, 2.17)</w:t>
            </w:r>
          </w:p>
        </w:tc>
        <w:tc>
          <w:tcPr>
            <w:tcW w:w="2550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-0.93 (-2.34, 0.48)</w:t>
            </w:r>
          </w:p>
        </w:tc>
      </w:tr>
    </w:tbl>
    <w:p>
      <w:pPr>
        <w:pStyle w:val="Normal"/>
        <w:rPr>
          <w:rFonts w:ascii="Calibri" w:hAnsi="Calibri" w:cs="Calibri"/>
        </w:rPr>
      </w:pPr>
      <w:r>
        <w:rPr>
          <w:rFonts w:cs="Calibri"/>
        </w:rPr>
        <w:t>Abbreviations: NFBSI: National Comprehensive Cancer Network Functional Assessment Of Cancer Therapy-Breast Cancer Symptom Index; VAS: Visual Analogue Scale; DRSP: Disease-Related Symptoms Physical; DRSE: Disease-Related Symptoms Emotional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  <w:t xml:space="preserve">Supplementary Table 4.3.2: Within and Between Groups Anchor-based Changes for the NFBSI-16 DRS-E between Baseline and Cycle 7 </w:t>
      </w:r>
    </w:p>
    <w:tbl>
      <w:tblPr>
        <w:tblStyle w:val="TableGrid"/>
        <w:tblW w:w="1417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09"/>
        <w:gridCol w:w="1266"/>
        <w:gridCol w:w="900"/>
        <w:gridCol w:w="1236"/>
        <w:gridCol w:w="1236"/>
        <w:gridCol w:w="1236"/>
        <w:gridCol w:w="1236"/>
        <w:gridCol w:w="2247"/>
        <w:gridCol w:w="2407"/>
      </w:tblGrid>
      <w:tr>
        <w:trPr/>
        <w:tc>
          <w:tcPr>
            <w:tcW w:w="24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Anchor (ANC)</w:t>
            </w:r>
          </w:p>
        </w:tc>
        <w:tc>
          <w:tcPr>
            <w:tcW w:w="12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N (%)</w:t>
            </w:r>
          </w:p>
        </w:tc>
        <w:tc>
          <w:tcPr>
            <w:tcW w:w="9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Median</w:t>
            </w:r>
          </w:p>
        </w:tc>
        <w:tc>
          <w:tcPr>
            <w:tcW w:w="123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10th Percentile</w:t>
            </w:r>
          </w:p>
        </w:tc>
        <w:tc>
          <w:tcPr>
            <w:tcW w:w="123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25th Percentile</w:t>
            </w:r>
          </w:p>
        </w:tc>
        <w:tc>
          <w:tcPr>
            <w:tcW w:w="123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75th Percentile</w:t>
            </w:r>
          </w:p>
        </w:tc>
        <w:tc>
          <w:tcPr>
            <w:tcW w:w="123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90th Percentile</w:t>
            </w:r>
          </w:p>
        </w:tc>
        <w:tc>
          <w:tcPr>
            <w:tcW w:w="224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Within-group Mean Change Score (95% CI)</w:t>
            </w:r>
          </w:p>
        </w:tc>
        <w:tc>
          <w:tcPr>
            <w:tcW w:w="24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Mean Between-Group Change Score Difference vs Stable Group (95% CI)</w:t>
            </w:r>
          </w:p>
        </w:tc>
      </w:tr>
      <w:tr>
        <w:trPr/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EQ-5D-5L VAS</w:t>
            </w:r>
          </w:p>
        </w:tc>
        <w:tc>
          <w:tcPr>
            <w:tcW w:w="1266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900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36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36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36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36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2247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2407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</w:tr>
      <w:tr>
        <w:trPr/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Major improvement: &gt;= 21 point increase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6 (12.8%)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-1.00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3.00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3.00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1.17 (-0.64, 2.97)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0.80 (-0.63, 2.24)</w:t>
            </w:r>
          </w:p>
        </w:tc>
      </w:tr>
      <w:tr>
        <w:trPr/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Minimal to moderate improvement: &gt;=7 to &lt;21 point increase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9 (19.1%)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-1.00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2.00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2.00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0.67 (-0.19, 1.53)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0.30 (-0.81, 1.42)</w:t>
            </w:r>
          </w:p>
        </w:tc>
      </w:tr>
      <w:tr>
        <w:trPr/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Stable: change less than 7 points (negative and positive)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22 (46.8%)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-1.00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2.00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0.36 (-0.29, 1.01)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</w:tr>
      <w:tr>
        <w:trPr/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Minimal to moderate worsening: &lt;=-7 to &gt;-21 point decrease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6 (12.8%)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-1.00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0.17 (-0.62, 0.96)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-0.20 (-1.48, 1.09)</w:t>
            </w:r>
          </w:p>
        </w:tc>
      </w:tr>
      <w:tr>
        <w:trPr/>
        <w:tc>
          <w:tcPr>
            <w:tcW w:w="2409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Major worsening: &lt;=-21 point decrease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4 (8.5%)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-1.00</w:t>
            </w:r>
          </w:p>
        </w:tc>
        <w:tc>
          <w:tcPr>
            <w:tcW w:w="1236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-1.00</w:t>
            </w:r>
          </w:p>
        </w:tc>
        <w:tc>
          <w:tcPr>
            <w:tcW w:w="1236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-1.00</w:t>
            </w:r>
          </w:p>
        </w:tc>
        <w:tc>
          <w:tcPr>
            <w:tcW w:w="1236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1.00</w:t>
            </w:r>
          </w:p>
        </w:tc>
        <w:tc>
          <w:tcPr>
            <w:tcW w:w="1236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3.00</w:t>
            </w:r>
          </w:p>
        </w:tc>
        <w:tc>
          <w:tcPr>
            <w:tcW w:w="2247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0.00 (-3.18, 3.18)</w:t>
            </w:r>
          </w:p>
        </w:tc>
        <w:tc>
          <w:tcPr>
            <w:tcW w:w="2407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-0.36 (-2.09, 1.37)</w:t>
            </w:r>
          </w:p>
        </w:tc>
      </w:tr>
    </w:tbl>
    <w:p>
      <w:pPr>
        <w:pStyle w:val="Normal"/>
        <w:rPr>
          <w:rFonts w:ascii="Calibri" w:hAnsi="Calibri" w:cs="Calibri"/>
        </w:rPr>
      </w:pPr>
      <w:r>
        <w:rPr>
          <w:rFonts w:cs="Calibri"/>
        </w:rPr>
        <w:t>Abbreviations: NFBSI: National Comprehensive Cancer Network Functional Assessment Of Cancer Therapy-Breast Cancer Symptom Index; VAS: Visual Analogue Scale; DRSP: Disease-Related Symptoms Physical; DRSE: Disease-Related Symptoms Emotional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  <w:t xml:space="preserve">Supplementary Table 4.3.3: Within and Between Groups Anchor-based Changes for the NFBSI-16 DRS-E between Baseline and Cycle 9 </w:t>
      </w:r>
    </w:p>
    <w:tbl>
      <w:tblPr>
        <w:tblStyle w:val="TableGrid"/>
        <w:tblW w:w="1417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09"/>
        <w:gridCol w:w="1266"/>
        <w:gridCol w:w="900"/>
        <w:gridCol w:w="1236"/>
        <w:gridCol w:w="1236"/>
        <w:gridCol w:w="1236"/>
        <w:gridCol w:w="1236"/>
        <w:gridCol w:w="2247"/>
        <w:gridCol w:w="2407"/>
      </w:tblGrid>
      <w:tr>
        <w:trPr/>
        <w:tc>
          <w:tcPr>
            <w:tcW w:w="24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Anchor (ANC)</w:t>
            </w:r>
          </w:p>
        </w:tc>
        <w:tc>
          <w:tcPr>
            <w:tcW w:w="12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N (%)</w:t>
            </w:r>
          </w:p>
        </w:tc>
        <w:tc>
          <w:tcPr>
            <w:tcW w:w="9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Median</w:t>
            </w:r>
          </w:p>
        </w:tc>
        <w:tc>
          <w:tcPr>
            <w:tcW w:w="123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10th Percentile</w:t>
            </w:r>
          </w:p>
        </w:tc>
        <w:tc>
          <w:tcPr>
            <w:tcW w:w="123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25th Percentile</w:t>
            </w:r>
          </w:p>
        </w:tc>
        <w:tc>
          <w:tcPr>
            <w:tcW w:w="123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75th Percentile</w:t>
            </w:r>
          </w:p>
        </w:tc>
        <w:tc>
          <w:tcPr>
            <w:tcW w:w="123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90th Percentile</w:t>
            </w:r>
          </w:p>
        </w:tc>
        <w:tc>
          <w:tcPr>
            <w:tcW w:w="224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Within-group Mean Change Score (95% CI)</w:t>
            </w:r>
          </w:p>
        </w:tc>
        <w:tc>
          <w:tcPr>
            <w:tcW w:w="24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Mean Between-Group Change Score Difference vs Stable Group (95% CI)</w:t>
            </w:r>
          </w:p>
        </w:tc>
      </w:tr>
      <w:tr>
        <w:trPr/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EQ-5D-5L VAS</w:t>
            </w:r>
          </w:p>
        </w:tc>
        <w:tc>
          <w:tcPr>
            <w:tcW w:w="1266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900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36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36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36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1236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2247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  <w:tc>
          <w:tcPr>
            <w:tcW w:w="2407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</w:tr>
      <w:tr>
        <w:trPr/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Major improvement: &gt;= 21 point increase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5 (15.2%)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2.00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3.00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1.20 (-0.42, 2.82)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0.95 (-0.14, 2.04)</w:t>
            </w:r>
          </w:p>
        </w:tc>
      </w:tr>
      <w:tr>
        <w:trPr/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Minimal to moderate improvement: &gt;=7 to &lt;21 point increase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4 (12.1%)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0.50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-1.00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-0.50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1.50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2.00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0.50 (-1.55, 2.55)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0.25 (-0.92, 1.42)</w:t>
            </w:r>
          </w:p>
        </w:tc>
      </w:tr>
      <w:tr>
        <w:trPr/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Stable: change less than 7 points (negative and positive)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16 (48.5%)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-1.00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2.00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0.25 (-0.25, 0.75)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</w:r>
          </w:p>
        </w:tc>
      </w:tr>
      <w:tr>
        <w:trPr/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Minimal to moderate worsening: &lt;=-7 to &gt;-21 point decrease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7 (21.2%)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-1.00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-1.00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1.00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0.00 (-0.76, 0.76)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-0.25 (-1.10, 0.60)</w:t>
            </w:r>
          </w:p>
        </w:tc>
      </w:tr>
      <w:tr>
        <w:trPr/>
        <w:tc>
          <w:tcPr>
            <w:tcW w:w="2409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  </w:t>
            </w: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Major worsening: &lt;=-21 point decrease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1 (3.0%)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0.00</w:t>
            </w:r>
          </w:p>
        </w:tc>
        <w:tc>
          <w:tcPr>
            <w:tcW w:w="1236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0.00</w:t>
            </w:r>
          </w:p>
        </w:tc>
        <w:tc>
          <w:tcPr>
            <w:tcW w:w="1236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0.00</w:t>
            </w:r>
          </w:p>
        </w:tc>
        <w:tc>
          <w:tcPr>
            <w:tcW w:w="1236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0.00</w:t>
            </w:r>
          </w:p>
        </w:tc>
        <w:tc>
          <w:tcPr>
            <w:tcW w:w="1236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0.00</w:t>
            </w:r>
          </w:p>
        </w:tc>
        <w:tc>
          <w:tcPr>
            <w:tcW w:w="2247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0.00 (-, -)</w:t>
            </w:r>
          </w:p>
        </w:tc>
        <w:tc>
          <w:tcPr>
            <w:tcW w:w="2407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-0.25 (-2.30, 1.80)</w:t>
            </w:r>
          </w:p>
        </w:tc>
      </w:tr>
    </w:tbl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  <w:t>Abbreviations: NFBSI: National Comprehensive Cancer Network Functional Assessment Of Cancer Therapy-Breast Cancer Symptom Index; VAS: Visual Analogue Scale; DRSP: Disease-Related Symptoms Physical; DRSE: Disease-Related Symptoms Emotional</w:t>
      </w:r>
    </w:p>
    <w:p>
      <w:pPr>
        <w:pStyle w:val="Normal"/>
        <w:rPr>
          <w:rFonts w:ascii="Calibri" w:hAnsi="Calibri" w:cs="Calibri"/>
        </w:rPr>
      </w:pPr>
      <w:r>
        <w:rPr>
          <w:rFonts w:cs="Calibri"/>
        </w:rPr>
      </w:r>
      <w:r>
        <w:br w:type="page"/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  <w:t xml:space="preserve">Supplementary Table 5: Distribution based change estimates: NFBSI-16 and GP5 at baseline </w:t>
      </w:r>
    </w:p>
    <w:tbl>
      <w:tblPr>
        <w:tblStyle w:val="TableGrid"/>
        <w:tblW w:w="12248" w:type="dxa"/>
        <w:jc w:val="left"/>
        <w:tblInd w:w="5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011"/>
        <w:gridCol w:w="992"/>
        <w:gridCol w:w="1700"/>
        <w:gridCol w:w="3544"/>
      </w:tblGrid>
      <w:tr>
        <w:trPr/>
        <w:tc>
          <w:tcPr>
            <w:tcW w:w="601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 xml:space="preserve">Subscale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n</w:t>
            </w:r>
          </w:p>
        </w:tc>
        <w:tc>
          <w:tcPr>
            <w:tcW w:w="17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½ SD</w:t>
            </w:r>
          </w:p>
        </w:tc>
        <w:tc>
          <w:tcPr>
            <w:tcW w:w="354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color="auto" w:fill="FFFFFF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Calibri" w:cs="Calibri"/>
                <w:kern w:val="2"/>
                <w:sz w:val="22"/>
                <w:szCs w:val="22"/>
                <w:lang w:val="en-GB" w:eastAsia="en-US" w:bidi="ar-SA"/>
              </w:rPr>
              <w:t>SEM (lower, upper)</w:t>
            </w:r>
          </w:p>
        </w:tc>
      </w:tr>
      <w:tr>
        <w:trPr/>
        <w:tc>
          <w:tcPr>
            <w:tcW w:w="6011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color w:val="000000"/>
                <w:kern w:val="2"/>
                <w:sz w:val="22"/>
                <w:szCs w:val="22"/>
                <w:lang w:val="en-GB" w:eastAsia="en-US" w:bidi="ar-SA"/>
              </w:rPr>
              <w:t>NFBSI-16 Total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color w:val="000000"/>
                <w:kern w:val="2"/>
                <w:sz w:val="22"/>
                <w:szCs w:val="22"/>
                <w:lang w:val="en-GB" w:eastAsia="en-US" w:bidi="ar-SA"/>
              </w:rPr>
              <w:t>97</w:t>
            </w:r>
          </w:p>
        </w:tc>
        <w:tc>
          <w:tcPr>
            <w:tcW w:w="1700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color w:val="000000"/>
                <w:kern w:val="2"/>
                <w:sz w:val="22"/>
                <w:szCs w:val="22"/>
                <w:lang w:val="en-GB" w:eastAsia="en-US" w:bidi="ar-SA"/>
              </w:rPr>
              <w:t>5.097</w:t>
            </w:r>
          </w:p>
        </w:tc>
        <w:tc>
          <w:tcPr>
            <w:tcW w:w="3544" w:type="dxa"/>
            <w:tcBorders>
              <w:top w:val="single" w:sz="6" w:space="0" w:color="000000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color w:val="000000"/>
                <w:kern w:val="2"/>
                <w:sz w:val="22"/>
                <w:szCs w:val="22"/>
                <w:lang w:val="en-GB" w:eastAsia="en-US" w:bidi="ar-SA"/>
              </w:rPr>
              <w:t>3.210, 4.055</w:t>
            </w:r>
          </w:p>
        </w:tc>
      </w:tr>
      <w:tr>
        <w:trPr/>
        <w:tc>
          <w:tcPr>
            <w:tcW w:w="6011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color w:val="000000"/>
                <w:kern w:val="2"/>
                <w:sz w:val="22"/>
                <w:szCs w:val="22"/>
                <w:lang w:val="en-GB" w:eastAsia="en-US" w:bidi="ar-SA"/>
              </w:rPr>
              <w:t>NFBSI-16 DRS-P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color w:val="000000"/>
                <w:kern w:val="2"/>
                <w:sz w:val="22"/>
                <w:szCs w:val="22"/>
                <w:lang w:val="en-GB" w:eastAsia="en-US" w:bidi="ar-SA"/>
              </w:rPr>
              <w:t>97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color w:val="000000"/>
                <w:kern w:val="2"/>
                <w:sz w:val="22"/>
                <w:szCs w:val="22"/>
                <w:lang w:val="en-GB" w:eastAsia="en-US" w:bidi="ar-SA"/>
              </w:rPr>
              <w:t>3.313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color w:val="000000"/>
                <w:kern w:val="2"/>
                <w:sz w:val="22"/>
                <w:szCs w:val="22"/>
                <w:lang w:val="en-GB" w:eastAsia="en-US" w:bidi="ar-SA"/>
              </w:rPr>
              <w:t>2.035, 3.786</w:t>
            </w:r>
          </w:p>
        </w:tc>
      </w:tr>
      <w:tr>
        <w:trPr/>
        <w:tc>
          <w:tcPr>
            <w:tcW w:w="6011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color w:val="000000"/>
                <w:kern w:val="2"/>
                <w:sz w:val="22"/>
                <w:szCs w:val="22"/>
                <w:lang w:val="en-GB" w:eastAsia="en-US" w:bidi="ar-SA"/>
              </w:rPr>
              <w:t>NFBSI-16 DRS-E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color w:val="000000"/>
                <w:kern w:val="2"/>
                <w:sz w:val="22"/>
                <w:szCs w:val="22"/>
                <w:lang w:val="en-GB" w:eastAsia="en-US" w:bidi="ar-SA"/>
              </w:rPr>
              <w:t>96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color w:val="000000"/>
                <w:kern w:val="2"/>
                <w:sz w:val="22"/>
                <w:szCs w:val="22"/>
                <w:lang w:val="en-GB" w:eastAsia="en-US" w:bidi="ar-SA"/>
              </w:rPr>
              <w:t>0.673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color w:val="000000"/>
                <w:kern w:val="2"/>
                <w:sz w:val="22"/>
                <w:szCs w:val="22"/>
                <w:lang w:val="en-GB" w:eastAsia="en-US" w:bidi="ar-SA"/>
              </w:rPr>
              <w:t>0.743, 0.812</w:t>
            </w:r>
          </w:p>
        </w:tc>
      </w:tr>
      <w:tr>
        <w:trPr/>
        <w:tc>
          <w:tcPr>
            <w:tcW w:w="6011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color w:val="000000"/>
                <w:kern w:val="2"/>
                <w:sz w:val="22"/>
                <w:szCs w:val="22"/>
                <w:lang w:val="en-GB" w:eastAsia="en-US" w:bidi="ar-SA"/>
              </w:rPr>
              <w:t>NFBSI-16 TSE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color w:val="000000"/>
                <w:kern w:val="2"/>
                <w:sz w:val="22"/>
                <w:szCs w:val="22"/>
                <w:lang w:val="en-GB" w:eastAsia="en-US" w:bidi="ar-SA"/>
              </w:rPr>
              <w:t>97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color w:val="000000"/>
                <w:kern w:val="2"/>
                <w:sz w:val="22"/>
                <w:szCs w:val="22"/>
                <w:lang w:val="en-GB" w:eastAsia="en-US" w:bidi="ar-SA"/>
              </w:rPr>
              <w:t>1.071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color w:val="000000"/>
                <w:kern w:val="2"/>
                <w:sz w:val="22"/>
                <w:szCs w:val="22"/>
                <w:lang w:val="en-GB" w:eastAsia="en-US" w:bidi="ar-SA"/>
              </w:rPr>
              <w:t>1.211, 1.484</w:t>
            </w:r>
          </w:p>
        </w:tc>
      </w:tr>
      <w:tr>
        <w:trPr/>
        <w:tc>
          <w:tcPr>
            <w:tcW w:w="6011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color w:val="000000"/>
                <w:kern w:val="2"/>
                <w:sz w:val="22"/>
                <w:szCs w:val="22"/>
                <w:lang w:val="en-GB" w:eastAsia="en-US" w:bidi="ar-SA"/>
              </w:rPr>
              <w:t>NFBSI-16 FWB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color w:val="000000"/>
                <w:kern w:val="2"/>
                <w:sz w:val="22"/>
                <w:szCs w:val="22"/>
                <w:lang w:val="en-GB" w:eastAsia="en-US" w:bidi="ar-SA"/>
              </w:rPr>
              <w:t>97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color w:val="000000"/>
                <w:kern w:val="2"/>
                <w:sz w:val="22"/>
                <w:szCs w:val="22"/>
                <w:lang w:val="en-GB" w:eastAsia="en-US" w:bidi="ar-SA"/>
              </w:rPr>
              <w:t>1.609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color w:val="000000"/>
                <w:kern w:val="2"/>
                <w:sz w:val="22"/>
                <w:szCs w:val="22"/>
                <w:lang w:val="en-GB" w:eastAsia="en-US" w:bidi="ar-SA"/>
              </w:rPr>
              <w:t>1.690, 1.760</w:t>
            </w:r>
          </w:p>
        </w:tc>
      </w:tr>
      <w:tr>
        <w:trPr/>
        <w:tc>
          <w:tcPr>
            <w:tcW w:w="6011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color w:val="000000"/>
                <w:kern w:val="2"/>
                <w:sz w:val="22"/>
                <w:szCs w:val="22"/>
                <w:lang w:val="en-GB" w:eastAsia="en-US" w:bidi="ar-SA"/>
              </w:rPr>
              <w:t>GP5: I am bothered by treatment side effects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color w:val="000000"/>
                <w:kern w:val="2"/>
                <w:sz w:val="22"/>
                <w:szCs w:val="22"/>
                <w:lang w:val="en-GB" w:eastAsia="en-US" w:bidi="ar-SA"/>
              </w:rPr>
              <w:t>89</w:t>
            </w:r>
          </w:p>
        </w:tc>
        <w:tc>
          <w:tcPr>
            <w:tcW w:w="1700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color w:val="000000"/>
                <w:kern w:val="2"/>
                <w:sz w:val="22"/>
                <w:szCs w:val="22"/>
                <w:lang w:val="en-GB" w:eastAsia="en-US" w:bidi="ar-SA"/>
              </w:rPr>
              <w:t>0.446</w:t>
            </w:r>
          </w:p>
        </w:tc>
        <w:tc>
          <w:tcPr>
            <w:tcW w:w="3544" w:type="dxa"/>
            <w:tcBorders>
              <w:top w:val="nil"/>
              <w:left w:val="nil"/>
              <w:right w:val="nil"/>
            </w:tcBorders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color w:val="000000"/>
                <w:kern w:val="2"/>
                <w:sz w:val="22"/>
                <w:szCs w:val="22"/>
                <w:lang w:val="en-GB" w:eastAsia="en-US" w:bidi="ar-SA"/>
              </w:rPr>
              <w:t>0.554, 0.627</w:t>
            </w:r>
          </w:p>
        </w:tc>
      </w:tr>
    </w:tbl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rPr/>
      </w:pPr>
      <w:r>
        <w:rPr/>
      </w:r>
    </w:p>
    <w:p>
      <w:pPr>
        <w:pStyle w:val="NoSpacing"/>
        <w:rPr>
          <w:rFonts w:cs="Calibri" w:cstheme="minorHAnsi"/>
        </w:rPr>
      </w:pPr>
      <w:r>
        <w:rPr>
          <w:rFonts w:cs="Calibri" w:cstheme="minorHAnsi"/>
        </w:rPr>
      </w:r>
    </w:p>
    <w:sectPr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1440" w:right="1440" w:gutter="0" w:header="0" w:top="1440" w:footer="708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mc:AlternateContent>
        <mc:Choice Requires="wps">
          <w:drawing>
            <wp:anchor behindDoc="1" distT="0" distB="0" distL="0" distR="8890" simplePos="0" locked="0" layoutInCell="0" allowOverlap="1" relativeHeight="3" wp14:anchorId="0DF1D1DC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24810" cy="357505"/>
              <wp:effectExtent l="0" t="635" r="0" b="0"/>
              <wp:wrapNone/>
              <wp:docPr id="1" name="Text Box 2" descr="Confidential - Not for Public Consumption or Distribution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24640" cy="357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0" w:after="0"/>
                            <w:rPr>
                              <w:rFonts w:ascii="Calibri" w:hAnsi="Calibri" w:eastAsia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Calibri" w:cs="Calibri"/>
                              <w:color w:val="000000"/>
                              <w:sz w:val="20"/>
                              <w:szCs w:val="20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lIns="0" rIns="0" tIns="0" bIns="190440" anchor="b">
                      <a:prstTxWarp prst="textNoShape"/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2" path="m0,0l-2147483645,0l-2147483645,-2147483646l0,-2147483646xe" stroked="f" o:allowincell="f" style="position:absolute;margin-left:0pt;margin-top:0pt;width:230.25pt;height:28.1pt;mso-wrap-style:none;v-text-anchor:bottom;mso-position-horizontal:center;mso-position-horizontal-relative:page;mso-position-vertical:bottom;mso-position-vertical-relative:page" wp14:anchorId="0DF1D1D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0" w:after="0"/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eastAsia="Calibri" w:cs="Calibri"/>
                        <w:color w:val="000000"/>
                        <w:sz w:val="20"/>
                        <w:szCs w:val="20"/>
                      </w:rPr>
                      <w:t>Confidential - Not for Public Consumption or Distribution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mc:AlternateContent>
        <mc:Choice Requires="wps">
          <w:drawing>
            <wp:anchor behindDoc="1" distT="0" distB="0" distL="0" distR="8890" simplePos="0" locked="0" layoutInCell="0" allowOverlap="1" relativeHeight="10" wp14:anchorId="1A8547F4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24810" cy="344170"/>
              <wp:effectExtent l="0" t="0" r="0" b="0"/>
              <wp:wrapNone/>
              <wp:docPr id="2" name="Text Box 3" descr="Confidential - Not for Public Consumption or Distribution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24640" cy="344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0" w:after="0"/>
                            <w:rPr>
                              <w:rFonts w:ascii="Calibri" w:hAnsi="Calibri" w:eastAsia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Calibri" w:cs="Calibri"/>
                              <w:color w:val="000000"/>
                              <w:sz w:val="20"/>
                              <w:szCs w:val="20"/>
                            </w:rPr>
                          </w:r>
                        </w:p>
                      </w:txbxContent>
                    </wps:txbx>
                    <wps:bodyPr lIns="0" rIns="0" tIns="0" bIns="190440" anchor="b">
                      <a:prstTxWarp prst="textNoShape"/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3" path="m0,0l-2147483645,0l-2147483645,-2147483646l0,-2147483646xe" stroked="f" o:allowincell="f" style="position:absolute;margin-left:182.5pt;margin-top:814.75pt;width:230.25pt;height:27.05pt;mso-wrap-style:none;v-text-anchor:middle;mso-position-horizontal:center;mso-position-horizontal-relative:page;mso-position-vertical:bottom;mso-position-vertical-relative:page" wp14:anchorId="1A8547F4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0" w:after="0"/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eastAsia="Calibri" w:cs="Calibri"/>
                        <w:color w:val="000000"/>
                        <w:sz w:val="20"/>
                        <w:szCs w:val="2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mc:AlternateContent>
        <mc:Choice Requires="wps">
          <w:drawing>
            <wp:anchor behindDoc="1" distT="0" distB="0" distL="0" distR="8890" simplePos="0" locked="0" layoutInCell="0" allowOverlap="1" relativeHeight="10" wp14:anchorId="1A8547F4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24810" cy="344170"/>
              <wp:effectExtent l="0" t="0" r="0" b="0"/>
              <wp:wrapNone/>
              <wp:docPr id="3" name="Text Box 3" descr="Confidential - Not for Public Consumption or Distribution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24640" cy="344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0" w:after="0"/>
                            <w:rPr>
                              <w:rFonts w:ascii="Calibri" w:hAnsi="Calibri" w:eastAsia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Calibri" w:cs="Calibri"/>
                              <w:color w:val="000000"/>
                              <w:sz w:val="20"/>
                              <w:szCs w:val="20"/>
                            </w:rPr>
                          </w:r>
                        </w:p>
                      </w:txbxContent>
                    </wps:txbx>
                    <wps:bodyPr lIns="0" rIns="0" tIns="0" bIns="190440" anchor="b">
                      <a:prstTxWarp prst="textNoShape"/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3" path="m0,0l-2147483645,0l-2147483645,-2147483646l0,-2147483646xe" stroked="f" o:allowincell="f" style="position:absolute;margin-left:182.5pt;margin-top:814.75pt;width:230.25pt;height:27.05pt;mso-wrap-style:none;v-text-anchor:middle;mso-position-horizontal:center;mso-position-horizontal-relative:page;mso-position-vertical:bottom;mso-position-vertical-relative:page" wp14:anchorId="1A8547F4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0" w:after="0"/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eastAsia="Calibri" w:cs="Calibri"/>
                        <w:color w:val="000000"/>
                        <w:sz w:val="20"/>
                        <w:szCs w:val="2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mc:AlternateContent>
        <mc:Choice Requires="wps">
          <w:drawing>
            <wp:anchor behindDoc="1" distT="0" distB="0" distL="0" distR="8890" simplePos="0" locked="0" layoutInCell="0" allowOverlap="1" relativeHeight="30" wp14:anchorId="1A8547F4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24810" cy="344170"/>
              <wp:effectExtent l="0" t="0" r="0" b="0"/>
              <wp:wrapNone/>
              <wp:docPr id="4" name="Text Box 4" descr="Confidential - Not for Public Consumption or Distribution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24640" cy="344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0" w:after="0"/>
                            <w:rPr>
                              <w:rFonts w:ascii="Calibri" w:hAnsi="Calibri" w:eastAsia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Calibri" w:cs="Calibri"/>
                              <w:color w:val="000000"/>
                              <w:sz w:val="20"/>
                              <w:szCs w:val="20"/>
                            </w:rPr>
                          </w:r>
                        </w:p>
                      </w:txbxContent>
                    </wps:txbx>
                    <wps:bodyPr lIns="0" rIns="0" tIns="0" bIns="190440" anchor="b">
                      <a:prstTxWarp prst="textNoShape"/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4" path="m0,0l-2147483645,0l-2147483645,-2147483646l0,-2147483646xe" stroked="f" o:allowincell="f" style="position:absolute;margin-left:305.8pt;margin-top:568.15pt;width:230.25pt;height:27.05pt;mso-wrap-style:none;v-text-anchor:middle;mso-position-horizontal:center;mso-position-horizontal-relative:page;mso-position-vertical:bottom;mso-position-vertical-relative:page" wp14:anchorId="1A8547F4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0" w:after="0"/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eastAsia="Calibri" w:cs="Calibri"/>
                        <w:color w:val="000000"/>
                        <w:sz w:val="20"/>
                        <w:szCs w:val="2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mc:AlternateContent>
        <mc:Choice Requires="wps">
          <w:drawing>
            <wp:anchor behindDoc="1" distT="0" distB="0" distL="0" distR="8890" simplePos="0" locked="0" layoutInCell="0" allowOverlap="1" relativeHeight="30" wp14:anchorId="1A8547F4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24810" cy="344170"/>
              <wp:effectExtent l="0" t="0" r="0" b="0"/>
              <wp:wrapNone/>
              <wp:docPr id="5" name="Text Box 4" descr="Confidential - Not for Public Consumption or Distribution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24640" cy="344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0" w:after="0"/>
                            <w:rPr>
                              <w:rFonts w:ascii="Calibri" w:hAnsi="Calibri" w:eastAsia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Calibri" w:cs="Calibri"/>
                              <w:color w:val="000000"/>
                              <w:sz w:val="20"/>
                              <w:szCs w:val="20"/>
                            </w:rPr>
                          </w:r>
                        </w:p>
                      </w:txbxContent>
                    </wps:txbx>
                    <wps:bodyPr lIns="0" rIns="0" tIns="0" bIns="190440" anchor="b">
                      <a:prstTxWarp prst="textNoShape"/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4" path="m0,0l-2147483645,0l-2147483645,-2147483646l0,-2147483646xe" stroked="f" o:allowincell="f" style="position:absolute;margin-left:305.8pt;margin-top:568.15pt;width:230.25pt;height:27.05pt;mso-wrap-style:none;v-text-anchor:middle;mso-position-horizontal:center;mso-position-horizontal-relative:page;mso-position-vertical:bottom;mso-position-vertical-relative:page" wp14:anchorId="1A8547F4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0" w:after="0"/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eastAsia="Calibri" w:cs="Calibri"/>
                        <w:color w:val="000000"/>
                        <w:sz w:val="20"/>
                        <w:szCs w:val="2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u w:val="none" w:color="44546A" w:themeColor="dark2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5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7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1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3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7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en-GB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3f5d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3f5d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3f5d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3f5d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3f5d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3f5d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3f5d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3f5d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3f5d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863f5d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qFormat/>
    <w:rsid w:val="00863f5d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qFormat/>
    <w:rsid w:val="00863f5d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863f5d"/>
    <w:rPr>
      <w:rFonts w:eastAsia="" w:cs="" w:cstheme="majorBidi" w:eastAsiaTheme="majorEastAsia"/>
      <w:i/>
      <w:iCs/>
      <w:color w:themeColor="accent1" w:themeShade="bf" w:val="2F5496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863f5d"/>
    <w:rPr>
      <w:rFonts w:eastAsia="" w:cs="" w:cstheme="majorBidi" w:eastAsiaTheme="majorEastAsia"/>
      <w:color w:themeColor="accent1" w:themeShade="bf" w:val="2F5496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863f5d"/>
    <w:rPr>
      <w:rFonts w:eastAsia="" w:cs="" w:cstheme="majorBidi" w:eastAsiaTheme="majorEastAsia"/>
      <w:i/>
      <w:iCs/>
      <w:color w:themeColor="text1" w:themeTint="a6" w:val="595959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863f5d"/>
    <w:rPr>
      <w:rFonts w:eastAsia="" w:cs="" w:cstheme="majorBidi" w:eastAsiaTheme="majorEastAsia"/>
      <w:color w:themeColor="text1" w:themeTint="a6" w:val="595959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863f5d"/>
    <w:rPr>
      <w:rFonts w:eastAsia="" w:cs="" w:cstheme="majorBidi" w:eastAsiaTheme="majorEastAsia"/>
      <w:i/>
      <w:iCs/>
      <w:color w:themeColor="text1" w:themeTint="d8" w:val="272727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863f5d"/>
    <w:rPr>
      <w:rFonts w:eastAsia="" w:cs="" w:cstheme="majorBidi" w:eastAsiaTheme="majorEastAsia"/>
      <w:color w:themeColor="text1" w:themeTint="d8" w:val="272727"/>
    </w:rPr>
  </w:style>
  <w:style w:type="character" w:styleId="TitleChar" w:customStyle="1">
    <w:name w:val="Title Char"/>
    <w:basedOn w:val="DefaultParagraphFont"/>
    <w:link w:val="Title"/>
    <w:uiPriority w:val="10"/>
    <w:qFormat/>
    <w:rsid w:val="00863f5d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863f5d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QuoteChar" w:customStyle="1">
    <w:name w:val="Quote Char"/>
    <w:basedOn w:val="DefaultParagraphFont"/>
    <w:link w:val="Quote"/>
    <w:uiPriority w:val="29"/>
    <w:qFormat/>
    <w:rsid w:val="00863f5d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863f5d"/>
    <w:rPr>
      <w:i/>
      <w:iCs/>
      <w:color w:themeColor="accent1" w:themeShade="bf" w:val="2F5496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863f5d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863f5d"/>
    <w:rPr>
      <w:b/>
      <w:bCs/>
      <w:smallCaps/>
      <w:color w:themeColor="accent1" w:themeShade="bf" w:val="2F5496"/>
      <w:spacing w:val="5"/>
    </w:rPr>
  </w:style>
  <w:style w:type="character" w:styleId="EndnoteTextChar" w:customStyle="1">
    <w:name w:val="Endnote Text Char"/>
    <w:basedOn w:val="DefaultParagraphFont"/>
    <w:link w:val="EndnoteText"/>
    <w:uiPriority w:val="99"/>
    <w:qFormat/>
    <w:rsid w:val="00bd129c"/>
    <w:rPr>
      <w:rFonts w:eastAsia="" w:eastAsiaTheme="minorEastAsia"/>
      <w:color w:themeColor="text1" w:val="000000"/>
      <w:kern w:val="0"/>
      <w:sz w:val="18"/>
      <w:szCs w:val="20"/>
      <w14:ligatures w14:val="none"/>
    </w:rPr>
  </w:style>
  <w:style w:type="character" w:styleId="FooterChar" w:customStyle="1">
    <w:name w:val="Footer Char"/>
    <w:basedOn w:val="DefaultParagraphFont"/>
    <w:link w:val="Footer"/>
    <w:uiPriority w:val="99"/>
    <w:qFormat/>
    <w:rsid w:val="00881f54"/>
    <w:rPr/>
  </w:style>
  <w:style w:type="character" w:styleId="HeaderChar" w:customStyle="1">
    <w:name w:val="Header Char"/>
    <w:basedOn w:val="DefaultParagraphFont"/>
    <w:link w:val="Header"/>
    <w:uiPriority w:val="99"/>
    <w:qFormat/>
    <w:rsid w:val="0055560b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rsid w:val="00a42f94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en-GB" w:eastAsia="en-US" w:bidi="ar-SA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863f5d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3f5d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3f5d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863f5d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rsid w:val="00863f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paragraph" w:styleId="Table-Normal" w:customStyle="1">
    <w:name w:val="Table - Normal"/>
    <w:basedOn w:val="Normal"/>
    <w:qFormat/>
    <w:rsid w:val="00bd129c"/>
    <w:pPr>
      <w:spacing w:lineRule="auto" w:line="240" w:before="0" w:after="0"/>
    </w:pPr>
    <w:rPr>
      <w:rFonts w:eastAsia="" w:eastAsiaTheme="minorEastAsia"/>
      <w:bCs/>
      <w:color w:themeColor="text1" w:val="000000"/>
      <w:kern w:val="0"/>
      <w14:ligatures w14:val="none"/>
    </w:rPr>
  </w:style>
  <w:style w:type="paragraph" w:styleId="Caption1">
    <w:name w:val="caption1"/>
    <w:basedOn w:val="Normal"/>
    <w:next w:val="Normal"/>
    <w:uiPriority w:val="35"/>
    <w:unhideWhenUsed/>
    <w:qFormat/>
    <w:rsid w:val="00bd129c"/>
    <w:pPr>
      <w:keepNext w:val="true"/>
      <w:spacing w:lineRule="auto" w:line="240" w:before="0" w:after="0"/>
      <w:jc w:val="both"/>
    </w:pPr>
    <w:rPr>
      <w:rFonts w:eastAsia="" w:eastAsiaTheme="minorEastAsia"/>
      <w:b/>
      <w:bCs/>
      <w:color w:themeColor="text1" w:val="000000"/>
      <w:kern w:val="0"/>
      <w14:ligatures w14:val="none"/>
    </w:rPr>
  </w:style>
  <w:style w:type="paragraph" w:styleId="EndnoteText">
    <w:name w:val="Endnote Text"/>
    <w:basedOn w:val="Normal"/>
    <w:link w:val="EndnoteTextChar"/>
    <w:uiPriority w:val="99"/>
    <w:unhideWhenUsed/>
    <w:qFormat/>
    <w:rsid w:val="00bd129c"/>
    <w:pPr>
      <w:spacing w:lineRule="auto" w:line="240" w:before="0" w:after="0"/>
      <w:jc w:val="both"/>
    </w:pPr>
    <w:rPr>
      <w:rFonts w:eastAsia="" w:eastAsiaTheme="minorEastAsia"/>
      <w:color w:themeColor="text1" w:val="000000"/>
      <w:kern w:val="0"/>
      <w:sz w:val="18"/>
      <w:szCs w:val="20"/>
      <w14:ligatures w14:val="none"/>
    </w:rPr>
  </w:style>
  <w:style w:type="paragraph" w:styleId="Table-Bullet1" w:customStyle="1">
    <w:name w:val="Table-Bullet1"/>
    <w:basedOn w:val="Normal"/>
    <w:qFormat/>
    <w:rsid w:val="00bd129c"/>
    <w:pPr>
      <w:numPr>
        <w:ilvl w:val="0"/>
        <w:numId w:val="1"/>
      </w:numPr>
      <w:spacing w:lineRule="auto" w:line="240" w:before="0" w:after="0"/>
      <w:ind w:left="284"/>
    </w:pPr>
    <w:rPr>
      <w:rFonts w:eastAsia="" w:eastAsiaTheme="minorEastAsia"/>
      <w:color w:themeColor="text1" w:val="000000"/>
      <w:kern w:val="0"/>
      <w14:ligatures w14:val="none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Normal"/>
    <w:link w:val="FooterChar"/>
    <w:uiPriority w:val="99"/>
    <w:unhideWhenUsed/>
    <w:rsid w:val="00881f54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Header">
    <w:name w:val="Header"/>
    <w:basedOn w:val="Normal"/>
    <w:link w:val="HeaderChar"/>
    <w:uiPriority w:val="99"/>
    <w:unhideWhenUsed/>
    <w:rsid w:val="0055560b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5d4c0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ListTable3-Accent31">
    <w:name w:val="List Table 3 - Accent 31"/>
    <w:basedOn w:val="TableNormal"/>
    <w:uiPriority w:val="48"/>
    <w:rsid w:val="00bd129c"/>
    <w:pPr>
      <w:spacing w:after="0" w:line="240" w:lineRule="auto"/>
      <w:jc w:val="both"/>
    </w:pPr>
    <w:rPr>
      <w:rFonts w:eastAsiaTheme="minorEastAsia"/>
      <w:lang w:val="en-US"/>
      <w:color w:themeColor="text1"/>
    </w:rPr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</w:tblBorders>
    </w:tblPr>
    <w:tblStylePr w:type="firstRow">
      <w:rPr>
        <w:b/>
        <w:bCs/>
        <w:color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band1Horz">
      <w:tblPr/>
      <w:tcPr>
        <w:tcBorders>
          <w:top w:val="single" w:color="A5A5A5" w:themeColor="accent3" w:sz="4" w:space="0"/>
          <w:bottom w:val="single" w:color="A5A5A5" w:themeColor="accent3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A5A5A5" w:themeColor="accent3" w:sz="4" w:space="0"/>
          <w:left w:val="nil"/>
        </w:tcBorders>
      </w:tcPr>
    </w:tblStylePr>
    <w:tblStylePr w:type="swCell">
      <w:tblPr/>
      <w:tcPr>
        <w:tcBorders>
          <w:top w:val="double" w:color="A5A5A5" w:themeColor="accent3" w:sz="4" w:space="0"/>
          <w:right w:val="nil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Application>LibreOffice/24.2.3.2$Windows_X86_64 LibreOffice_project/433d9c2ded56988e8a90e6b2e771ee4e6a5ab2ba</Application>
  <AppVersion>15.0000</AppVersion>
  <Pages>10</Pages>
  <Words>2743</Words>
  <Characters>15282</Characters>
  <CharactersWithSpaces>17240</CharactersWithSpaces>
  <Paragraphs>895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2024-08-02T08:19:00Z</dcterms:created>
  <dc:creator>Katie Frampton (Adelphi Values)</dc:creator>
  <dc:description/>
  <dc:language>en-PH</dc:language>
  <cp:lastModifiedBy>Nathan Clarke (Adelphi Values)</cp:lastModifiedBy>
  <dcterms:modified xsi:type="dcterms:W3CDTF">2024-08-02T08:42:00Z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#000000,10,Calibri</vt:lpwstr>
  </property>
  <property fmtid="{D5CDD505-2E9C-101B-9397-08002B2CF9AE}" pid="3" name="ClassificationContentMarkingFooterShapeIds">
    <vt:lpwstr>67c4650e,1ca900e1,450507fe</vt:lpwstr>
  </property>
  <property fmtid="{D5CDD505-2E9C-101B-9397-08002B2CF9AE}" pid="4" name="ClassificationContentMarkingFooterText">
    <vt:lpwstr>Confidential - Not for Public Consumption or Distribution</vt:lpwstr>
  </property>
  <property fmtid="{D5CDD505-2E9C-101B-9397-08002B2CF9AE}" pid="5" name="MSIP_Label_8e19d756-792e-42a1-bcad-4cb9051ddd2d_ActionId">
    <vt:lpwstr>d3e08855-8d86-489b-83a4-42767d60379c</vt:lpwstr>
  </property>
  <property fmtid="{D5CDD505-2E9C-101B-9397-08002B2CF9AE}" pid="6" name="MSIP_Label_8e19d756-792e-42a1-bcad-4cb9051ddd2d_ContentBits">
    <vt:lpwstr>2</vt:lpwstr>
  </property>
  <property fmtid="{D5CDD505-2E9C-101B-9397-08002B2CF9AE}" pid="7" name="MSIP_Label_8e19d756-792e-42a1-bcad-4cb9051ddd2d_Enabled">
    <vt:lpwstr>true</vt:lpwstr>
  </property>
  <property fmtid="{D5CDD505-2E9C-101B-9397-08002B2CF9AE}" pid="8" name="MSIP_Label_8e19d756-792e-42a1-bcad-4cb9051ddd2d_Method">
    <vt:lpwstr>Standard</vt:lpwstr>
  </property>
  <property fmtid="{D5CDD505-2E9C-101B-9397-08002B2CF9AE}" pid="9" name="MSIP_Label_8e19d756-792e-42a1-bcad-4cb9051ddd2d_Name">
    <vt:lpwstr>Confidential</vt:lpwstr>
  </property>
  <property fmtid="{D5CDD505-2E9C-101B-9397-08002B2CF9AE}" pid="10" name="MSIP_Label_8e19d756-792e-42a1-bcad-4cb9051ddd2d_SetDate">
    <vt:lpwstr>2024-08-02T08:19:09Z</vt:lpwstr>
  </property>
  <property fmtid="{D5CDD505-2E9C-101B-9397-08002B2CF9AE}" pid="11" name="MSIP_Label_8e19d756-792e-42a1-bcad-4cb9051ddd2d_SiteId">
    <vt:lpwstr>41eb501a-f671-4ce0-a5bf-b64168c3705f</vt:lpwstr>
  </property>
</Properties>
</file>