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7292B" w:rsidTr="006E1EC2">
        <w:tc>
          <w:tcPr>
            <w:tcW w:w="9062" w:type="dxa"/>
          </w:tcPr>
          <w:p w:rsidR="00E7292B" w:rsidRDefault="00E7292B" w:rsidP="006E1EC2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eastAsia="nl-NL"/>
              </w:rPr>
              <w:drawing>
                <wp:inline distT="0" distB="0" distL="0" distR="0" wp14:anchorId="1D6220DD" wp14:editId="58937EA6">
                  <wp:extent cx="4750205" cy="8055610"/>
                  <wp:effectExtent l="0" t="0" r="0" b="2540"/>
                  <wp:docPr id="1428923148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3913" cy="80618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7292B" w:rsidRDefault="00E7292B" w:rsidP="006E1EC2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E7292B" w:rsidTr="006E1EC2">
        <w:tc>
          <w:tcPr>
            <w:tcW w:w="9062" w:type="dxa"/>
          </w:tcPr>
          <w:p w:rsidR="00E7292B" w:rsidRDefault="00E7292B" w:rsidP="006E1EC2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Supplementary figure 1. Study flow diagram of the EUonQoL project.</w:t>
            </w:r>
          </w:p>
        </w:tc>
      </w:tr>
    </w:tbl>
    <w:p w:rsidR="00552496" w:rsidRPr="00E7292B" w:rsidRDefault="00552496">
      <w:pPr>
        <w:rPr>
          <w:lang w:val="en-GB"/>
        </w:rPr>
      </w:pPr>
      <w:bookmarkStart w:id="0" w:name="_GoBack"/>
      <w:bookmarkEnd w:id="0"/>
    </w:p>
    <w:sectPr w:rsidR="00552496" w:rsidRPr="00E72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2B"/>
    <w:rsid w:val="00552496"/>
    <w:rsid w:val="00E7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879D0-7009-41A3-9C6C-1C900569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7292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7292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 Sweegers</dc:creator>
  <cp:keywords/>
  <dc:description/>
  <cp:lastModifiedBy>Maike Sweegers</cp:lastModifiedBy>
  <cp:revision>1</cp:revision>
  <dcterms:created xsi:type="dcterms:W3CDTF">2025-04-19T06:46:00Z</dcterms:created>
  <dcterms:modified xsi:type="dcterms:W3CDTF">2025-04-19T06:47:00Z</dcterms:modified>
</cp:coreProperties>
</file>