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1A206" w14:textId="57995535" w:rsidR="003D75CB" w:rsidRDefault="003D75CB" w:rsidP="008612B2">
      <w:pPr>
        <w:spacing w:after="0" w:line="240" w:lineRule="auto"/>
      </w:pPr>
    </w:p>
    <w:p w14:paraId="71BEDA07" w14:textId="0CAD68AD" w:rsidR="008612B2" w:rsidRDefault="008612B2" w:rsidP="008612B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Supplementary Material</w:t>
      </w:r>
      <w:r w:rsidRPr="00315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 External resources to further aid the design of HCP education and training</w:t>
      </w:r>
    </w:p>
    <w:p w14:paraId="57F8D407" w14:textId="77777777" w:rsidR="008612B2" w:rsidRPr="00315C3F" w:rsidRDefault="008612B2" w:rsidP="008612B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12950" w:type="dxa"/>
        <w:tblLayout w:type="fixed"/>
        <w:tblLook w:val="04A0" w:firstRow="1" w:lastRow="0" w:firstColumn="1" w:lastColumn="0" w:noHBand="0" w:noVBand="1"/>
      </w:tblPr>
      <w:tblGrid>
        <w:gridCol w:w="2330"/>
        <w:gridCol w:w="10620"/>
      </w:tblGrid>
      <w:tr w:rsidR="008612B2" w:rsidRPr="00315C3F" w14:paraId="23E505DC" w14:textId="77777777" w:rsidTr="00CC5C6E">
        <w:trPr>
          <w:trHeight w:val="300"/>
        </w:trPr>
        <w:tc>
          <w:tcPr>
            <w:tcW w:w="2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BF4437" w14:textId="77777777" w:rsidR="008612B2" w:rsidRPr="00315C3F" w:rsidRDefault="008612B2" w:rsidP="008612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315C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Resource Name</w:t>
            </w:r>
          </w:p>
        </w:tc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A8CD9E" w14:textId="77777777" w:rsidR="008612B2" w:rsidRPr="00315C3F" w:rsidRDefault="008612B2" w:rsidP="008612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5C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Citation and/or weblink</w:t>
            </w:r>
          </w:p>
        </w:tc>
      </w:tr>
      <w:tr w:rsidR="008612B2" w:rsidRPr="00315C3F" w14:paraId="3470826D" w14:textId="77777777" w:rsidTr="00CC5C6E">
        <w:trPr>
          <w:trHeight w:val="300"/>
        </w:trPr>
        <w:tc>
          <w:tcPr>
            <w:tcW w:w="2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1E8C22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5C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ISOQOL Users Guides</w:t>
            </w:r>
          </w:p>
        </w:tc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F2CB91" w14:textId="77777777" w:rsidR="008612B2" w:rsidRPr="00315C3F" w:rsidRDefault="008612B2" w:rsidP="008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International Society for </w:t>
            </w:r>
            <w:proofErr w:type="gramStart"/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Quality of Life</w:t>
            </w:r>
            <w:proofErr w:type="gramEnd"/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Research (prepared by Aaronson N, Elliott T, Greenhalgh J, Halyard M, Hess R, Miller D, Reeve B, Santana M, Snyder C) (2015) User’s Guide to Implementing Patient-Reported Outcomes Assessment in Clinical Practice.</w:t>
            </w:r>
          </w:p>
          <w:p w14:paraId="777863FF" w14:textId="77777777" w:rsidR="008612B2" w:rsidRPr="00315C3F" w:rsidRDefault="008612B2" w:rsidP="008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0A1242C" w14:textId="73955B22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5C3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International Society for Quality of Life Research (prepared by Chan E, Edwards T, Haywood K, Mikles S, Newton L) (2018)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</w:t>
            </w:r>
            <w:r w:rsidRPr="00315C3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Companion Guide to Implementing Patient Reported Outcomes Assessment in Clinical Practice.</w:t>
            </w:r>
          </w:p>
          <w:p w14:paraId="20F5939D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82CA988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u w:val="single"/>
              </w:rPr>
            </w:pPr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Both available at: </w:t>
            </w:r>
            <w:hyperlink r:id="rId4">
              <w:r w:rsidRPr="00315C3F">
                <w:rPr>
                  <w:rStyle w:val="Hyperlink"/>
                  <w:rFonts w:ascii="Times New Roman" w:hAnsi="Times New Roman" w:cs="Times New Roman"/>
                  <w:color w:val="000000" w:themeColor="text1"/>
                  <w:sz w:val="21"/>
                  <w:szCs w:val="21"/>
                </w:rPr>
                <w:t>(isoqol.org)</w:t>
              </w:r>
            </w:hyperlink>
          </w:p>
        </w:tc>
      </w:tr>
      <w:tr w:rsidR="008612B2" w:rsidRPr="00315C3F" w14:paraId="0211A647" w14:textId="77777777" w:rsidTr="00CC5C6E">
        <w:trPr>
          <w:trHeight w:val="300"/>
        </w:trPr>
        <w:tc>
          <w:tcPr>
            <w:tcW w:w="2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485607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5C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PROTEUS Consortium Practice Guide</w:t>
            </w:r>
          </w:p>
        </w:tc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1940DC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Crossnohere NL, Anderson N, Baumhauer J, et al (2024) A framework for implementing </w:t>
            </w:r>
            <w:proofErr w:type="spellStart"/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patient-reported</w:t>
            </w:r>
            <w:proofErr w:type="spellEnd"/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outcomes in clinical care: the PROTEUS-practice guide. Nat Med 30:1519–1520. https://doi.org/10.1038/s41591-024-02909-8 </w:t>
            </w:r>
          </w:p>
          <w:p w14:paraId="40D9E421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Available at: </w:t>
            </w:r>
            <w:hyperlink r:id="rId5">
              <w:r w:rsidRPr="00315C3F">
                <w:rPr>
                  <w:rStyle w:val="Hyperlink"/>
                  <w:rFonts w:ascii="Times New Roman" w:hAnsi="Times New Roman" w:cs="Times New Roman"/>
                  <w:color w:val="000000" w:themeColor="text1"/>
                  <w:sz w:val="21"/>
                  <w:szCs w:val="21"/>
                </w:rPr>
                <w:t>https://theproteusconsortium.org/</w:t>
              </w:r>
            </w:hyperlink>
          </w:p>
        </w:tc>
      </w:tr>
      <w:tr w:rsidR="008612B2" w:rsidRPr="00315C3F" w14:paraId="629FB7B3" w14:textId="77777777" w:rsidTr="00CC5C6E">
        <w:trPr>
          <w:trHeight w:val="300"/>
        </w:trPr>
        <w:tc>
          <w:tcPr>
            <w:tcW w:w="2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249A07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5C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ePROs in Clinical Care</w:t>
            </w:r>
          </w:p>
        </w:tc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35ED23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LeRouge C, Austin E, Lee J, et al (2020) ePROs in Clinical Care: Guidelines and Tools for Health Systems. Seattle, WA: CERTAIN, University of Washington.</w:t>
            </w:r>
          </w:p>
          <w:p w14:paraId="54D74C87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Available at: https://becertain.org/epros</w:t>
            </w:r>
          </w:p>
        </w:tc>
      </w:tr>
      <w:tr w:rsidR="008612B2" w:rsidRPr="00315C3F" w14:paraId="13E2C278" w14:textId="77777777" w:rsidTr="00CC5C6E">
        <w:trPr>
          <w:trHeight w:val="300"/>
        </w:trPr>
        <w:tc>
          <w:tcPr>
            <w:tcW w:w="2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573402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315C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PROmunication</w:t>
            </w:r>
            <w:proofErr w:type="spellEnd"/>
            <w:r w:rsidRPr="00315C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 tool</w:t>
            </w:r>
          </w:p>
        </w:tc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72EC5F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Skovlund PC, Ravn S, </w:t>
            </w:r>
            <w:proofErr w:type="spellStart"/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Seibaek</w:t>
            </w:r>
            <w:proofErr w:type="spellEnd"/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L, et al (2020) The development of </w:t>
            </w:r>
            <w:proofErr w:type="spellStart"/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PROmunication</w:t>
            </w:r>
            <w:proofErr w:type="spellEnd"/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: a training-tool for clinicians using </w:t>
            </w:r>
            <w:proofErr w:type="spellStart"/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patient-reported</w:t>
            </w:r>
            <w:proofErr w:type="spellEnd"/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outcomes to promote patient-centred communication in clinical cancer settings. J Patient Rep Outcomes 4:10. https://doi.org/10.1186/s41687-020-0174-6</w:t>
            </w:r>
          </w:p>
        </w:tc>
      </w:tr>
      <w:tr w:rsidR="008612B2" w:rsidRPr="00315C3F" w14:paraId="2595CC0D" w14:textId="77777777" w:rsidTr="00CC5C6E">
        <w:trPr>
          <w:trHeight w:val="300"/>
        </w:trPr>
        <w:tc>
          <w:tcPr>
            <w:tcW w:w="2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4B33C8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15C3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Patient-Centered Outcomes Research at Johns Hopkins</w:t>
            </w:r>
          </w:p>
        </w:tc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0E76B8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Video</w:t>
            </w:r>
            <w:r w:rsidRPr="00315C3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</w:p>
          <w:p w14:paraId="4AED3C72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hyperlink r:id="rId6" w:history="1">
              <w:r w:rsidRPr="00315C3F">
                <w:rPr>
                  <w:rStyle w:val="Hyperlink"/>
                  <w:rFonts w:ascii="Times New Roman" w:hAnsi="Times New Roman" w:cs="Times New Roman"/>
                  <w:color w:val="000000" w:themeColor="text1"/>
                  <w:sz w:val="21"/>
                  <w:szCs w:val="21"/>
                </w:rPr>
                <w:t>https://www.youtube.com/watch?v=zUFBJMXKTv8</w:t>
              </w:r>
            </w:hyperlink>
          </w:p>
          <w:p w14:paraId="0A34C5D2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8612B2" w:rsidRPr="00315C3F" w14:paraId="332A8343" w14:textId="77777777" w:rsidTr="00CC5C6E">
        <w:trPr>
          <w:trHeight w:val="300"/>
        </w:trPr>
        <w:tc>
          <w:tcPr>
            <w:tcW w:w="2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C1E27D" w14:textId="77777777" w:rsidR="008612B2" w:rsidRPr="00315C3F" w:rsidRDefault="008612B2" w:rsidP="008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15C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Resources for Patients and HCPs about Quality of Life</w:t>
            </w:r>
          </w:p>
        </w:tc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1AD875" w14:textId="77777777" w:rsidR="008612B2" w:rsidRPr="00315C3F" w:rsidRDefault="008612B2" w:rsidP="008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Learn about Equitable People-centred Health Measurement (see Applications in Healthcare)</w:t>
            </w:r>
          </w:p>
          <w:p w14:paraId="73EEF4DD" w14:textId="77777777" w:rsidR="008612B2" w:rsidRPr="00315C3F" w:rsidRDefault="008612B2" w:rsidP="008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Quality of Life Assessment Support Team (2024)</w:t>
            </w:r>
          </w:p>
          <w:p w14:paraId="3134C5EF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hyperlink r:id="rId7" w:history="1">
              <w:r w:rsidRPr="00315C3F">
                <w:rPr>
                  <w:rStyle w:val="Hyperlink"/>
                  <w:rFonts w:ascii="Times New Roman" w:hAnsi="Times New Roman" w:cs="Times New Roman"/>
                  <w:color w:val="000000" w:themeColor="text1"/>
                  <w:sz w:val="21"/>
                  <w:szCs w:val="21"/>
                </w:rPr>
                <w:t>www.healthyqol.com/older-adults</w:t>
              </w:r>
            </w:hyperlink>
          </w:p>
          <w:p w14:paraId="509A4135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8C470DC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hyperlink r:id="rId8" w:history="1">
              <w:r w:rsidRPr="00315C3F">
                <w:rPr>
                  <w:rStyle w:val="Hyperlink"/>
                  <w:rFonts w:ascii="Times New Roman" w:hAnsi="Times New Roman" w:cs="Times New Roman"/>
                  <w:color w:val="000000" w:themeColor="text1"/>
                  <w:sz w:val="21"/>
                  <w:szCs w:val="21"/>
                </w:rPr>
                <w:t>https://www.youtube.com/watch?v=TDL5C9SEBvo&amp;t=5s</w:t>
              </w:r>
            </w:hyperlink>
          </w:p>
        </w:tc>
      </w:tr>
      <w:tr w:rsidR="008612B2" w:rsidRPr="00315C3F" w14:paraId="20FEABCB" w14:textId="77777777" w:rsidTr="00CC5C6E">
        <w:trPr>
          <w:trHeight w:val="75"/>
        </w:trPr>
        <w:tc>
          <w:tcPr>
            <w:tcW w:w="1295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0FA64EE" w14:textId="77777777" w:rsidR="008612B2" w:rsidRPr="00315C3F" w:rsidRDefault="008612B2" w:rsidP="008612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C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Note: This is not intended to be a comprehensive list and access to resources may change over time</w:t>
            </w:r>
          </w:p>
        </w:tc>
      </w:tr>
    </w:tbl>
    <w:p w14:paraId="65116077" w14:textId="77777777" w:rsidR="008612B2" w:rsidRPr="00315C3F" w:rsidRDefault="008612B2" w:rsidP="008612B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66C5CB" w14:textId="77777777" w:rsidR="008612B2" w:rsidRDefault="008612B2" w:rsidP="008612B2">
      <w:pPr>
        <w:spacing w:after="0" w:line="240" w:lineRule="auto"/>
      </w:pPr>
    </w:p>
    <w:sectPr w:rsidR="008612B2" w:rsidSect="008612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2B2"/>
    <w:rsid w:val="003D75CB"/>
    <w:rsid w:val="0086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BCF365"/>
  <w15:chartTrackingRefBased/>
  <w15:docId w15:val="{D48EFE9F-5D64-494B-8751-E9AE141F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B2"/>
    <w:pPr>
      <w:spacing w:after="160" w:line="259" w:lineRule="auto"/>
      <w:ind w:left="0"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12B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612B2"/>
    <w:pPr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DL5C9SEBvo&amp;t=5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healthyqol.com/older-adul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UFBJMXKTv8" TargetMode="External"/><Relationship Id="rId5" Type="http://schemas.openxmlformats.org/officeDocument/2006/relationships/hyperlink" Target="https://theproteusconsortium.org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isoqol.org/wp-content/uploads/2019/09/2015UsersGuide-Version2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2047</Characters>
  <Application>Microsoft Office Word</Application>
  <DocSecurity>0</DocSecurity>
  <Lines>53</Lines>
  <Paragraphs>32</Paragraphs>
  <ScaleCrop>false</ScaleCrop>
  <Company>TWU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Wolff</dc:creator>
  <cp:keywords/>
  <dc:description/>
  <cp:lastModifiedBy>Angela Wolff</cp:lastModifiedBy>
  <cp:revision>1</cp:revision>
  <dcterms:created xsi:type="dcterms:W3CDTF">2025-06-23T20:11:00Z</dcterms:created>
  <dcterms:modified xsi:type="dcterms:W3CDTF">2025-06-23T20:13:00Z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cf6bdfc0-f5aa-458e-a90b-dbf3853c2982</vt:lpwstr>
  </property>
</Properties>
</file>