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EF22" w14:textId="0E29C749" w:rsidR="00FE51EB" w:rsidRPr="00AE4070" w:rsidRDefault="009E18C7" w:rsidP="00AE4070">
      <w:pPr>
        <w:jc w:val="both"/>
        <w:rPr>
          <w:rFonts w:ascii="Arial" w:hAnsi="Arial" w:cs="Arial"/>
          <w:sz w:val="20"/>
          <w:szCs w:val="20"/>
        </w:rPr>
      </w:pPr>
      <w:r w:rsidRPr="00AE4070">
        <w:rPr>
          <w:rFonts w:ascii="Arial" w:hAnsi="Arial" w:cs="Arial"/>
          <w:b/>
          <w:bCs/>
          <w:sz w:val="20"/>
          <w:szCs w:val="20"/>
        </w:rPr>
        <w:t>Supplementary Table S1</w:t>
      </w:r>
      <w:r w:rsidR="00D71FA7" w:rsidRPr="00AE4070">
        <w:rPr>
          <w:rFonts w:ascii="Arial" w:hAnsi="Arial" w:cs="Arial"/>
          <w:sz w:val="20"/>
          <w:szCs w:val="20"/>
        </w:rPr>
        <w:t xml:space="preserve">. </w:t>
      </w:r>
      <w:r w:rsidR="006F6726" w:rsidRPr="00AE4070">
        <w:rPr>
          <w:rFonts w:ascii="Arial" w:hAnsi="Arial" w:cs="Arial"/>
          <w:sz w:val="20"/>
          <w:szCs w:val="20"/>
        </w:rPr>
        <w:t xml:space="preserve">Description </w:t>
      </w:r>
      <w:r w:rsidR="0054554E" w:rsidRPr="00AE4070">
        <w:rPr>
          <w:rFonts w:ascii="Arial" w:hAnsi="Arial" w:cs="Arial"/>
          <w:sz w:val="20"/>
          <w:szCs w:val="20"/>
        </w:rPr>
        <w:t>and</w:t>
      </w:r>
      <w:r w:rsidR="006F6726" w:rsidRPr="00AE4070">
        <w:rPr>
          <w:rFonts w:ascii="Arial" w:hAnsi="Arial" w:cs="Arial"/>
          <w:sz w:val="20"/>
          <w:szCs w:val="20"/>
        </w:rPr>
        <w:t xml:space="preserve"> interpretability of </w:t>
      </w:r>
      <w:r w:rsidR="00D562CB" w:rsidRPr="00AE4070">
        <w:rPr>
          <w:rFonts w:ascii="Arial" w:hAnsi="Arial" w:cs="Arial"/>
          <w:sz w:val="20"/>
          <w:szCs w:val="20"/>
        </w:rPr>
        <w:t xml:space="preserve">the </w:t>
      </w:r>
      <w:r w:rsidR="0054554E" w:rsidRPr="00AE4070">
        <w:rPr>
          <w:rFonts w:ascii="Arial" w:hAnsi="Arial" w:cs="Arial"/>
          <w:sz w:val="20"/>
          <w:szCs w:val="20"/>
        </w:rPr>
        <w:t>instruments used to assess</w:t>
      </w:r>
      <w:r w:rsidR="006F6726" w:rsidRPr="00AE4070">
        <w:rPr>
          <w:rFonts w:ascii="Arial" w:hAnsi="Arial" w:cs="Arial"/>
          <w:sz w:val="20"/>
          <w:szCs w:val="20"/>
        </w:rPr>
        <w:t xml:space="preserve"> measurement properties</w:t>
      </w:r>
      <w:r w:rsidR="0069700D" w:rsidRPr="00AE4070">
        <w:rPr>
          <w:rFonts w:ascii="Arial" w:hAnsi="Arial" w:cs="Arial"/>
          <w:sz w:val="20"/>
          <w:szCs w:val="20"/>
        </w:rPr>
        <w:t xml:space="preserve"> </w:t>
      </w:r>
      <w:r w:rsidR="0054554E" w:rsidRPr="00AE4070">
        <w:rPr>
          <w:rFonts w:ascii="Arial" w:hAnsi="Arial" w:cs="Arial"/>
          <w:sz w:val="20"/>
          <w:szCs w:val="20"/>
        </w:rPr>
        <w:t>of the</w:t>
      </w:r>
      <w:r w:rsidR="006F6726" w:rsidRPr="00AE4070">
        <w:rPr>
          <w:rFonts w:ascii="Arial" w:hAnsi="Arial" w:cs="Arial"/>
          <w:sz w:val="20"/>
          <w:szCs w:val="20"/>
        </w:rPr>
        <w:t xml:space="preserve"> </w:t>
      </w:r>
      <w:r w:rsidR="0073445D" w:rsidRPr="00AE4070">
        <w:rPr>
          <w:rFonts w:ascii="Arial" w:hAnsi="Arial" w:cs="Arial"/>
          <w:sz w:val="20"/>
          <w:szCs w:val="20"/>
        </w:rPr>
        <w:t>Pain Stages of Change Questionnaire (PSOCQ)</w:t>
      </w:r>
      <w:r w:rsidR="00BC3B42" w:rsidRPr="00AE4070">
        <w:rPr>
          <w:rFonts w:ascii="Arial" w:hAnsi="Arial" w:cs="Arial"/>
          <w:sz w:val="20"/>
          <w:szCs w:val="20"/>
        </w:rPr>
        <w:t>.</w:t>
      </w:r>
    </w:p>
    <w:tbl>
      <w:tblPr>
        <w:tblStyle w:val="Tabelacomgrade"/>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7546"/>
      </w:tblGrid>
      <w:tr w:rsidR="006F6726" w:rsidRPr="00AE4070" w14:paraId="3096D43E" w14:textId="77777777" w:rsidTr="0054554E">
        <w:trPr>
          <w:jc w:val="center"/>
        </w:trPr>
        <w:tc>
          <w:tcPr>
            <w:tcW w:w="2372" w:type="dxa"/>
            <w:tcBorders>
              <w:top w:val="single" w:sz="4" w:space="0" w:color="auto"/>
              <w:bottom w:val="single" w:sz="4" w:space="0" w:color="auto"/>
            </w:tcBorders>
            <w:shd w:val="clear" w:color="auto" w:fill="F2F2F2" w:themeFill="background1" w:themeFillShade="F2"/>
          </w:tcPr>
          <w:p w14:paraId="7700802E" w14:textId="109BB7E0" w:rsidR="006F6726" w:rsidRPr="00AE4070" w:rsidRDefault="0054554E" w:rsidP="00AE4070">
            <w:pPr>
              <w:spacing w:line="240" w:lineRule="auto"/>
              <w:rPr>
                <w:rFonts w:ascii="Arial" w:hAnsi="Arial" w:cs="Arial"/>
                <w:b/>
                <w:bCs/>
                <w:i/>
                <w:iCs/>
                <w:sz w:val="20"/>
                <w:szCs w:val="20"/>
              </w:rPr>
            </w:pPr>
            <w:r w:rsidRPr="00AE4070">
              <w:rPr>
                <w:rFonts w:ascii="Arial" w:hAnsi="Arial" w:cs="Arial"/>
                <w:b/>
                <w:bCs/>
                <w:i/>
                <w:iCs/>
                <w:sz w:val="20"/>
                <w:szCs w:val="20"/>
              </w:rPr>
              <w:t>Instruments and Comparators</w:t>
            </w:r>
          </w:p>
        </w:tc>
        <w:tc>
          <w:tcPr>
            <w:tcW w:w="7546" w:type="dxa"/>
            <w:tcBorders>
              <w:top w:val="single" w:sz="4" w:space="0" w:color="auto"/>
              <w:bottom w:val="single" w:sz="4" w:space="0" w:color="auto"/>
            </w:tcBorders>
            <w:shd w:val="clear" w:color="auto" w:fill="F2F2F2" w:themeFill="background1" w:themeFillShade="F2"/>
          </w:tcPr>
          <w:p w14:paraId="694253D4" w14:textId="7704BFB9" w:rsidR="006F6726" w:rsidRPr="00AE4070" w:rsidRDefault="0054554E" w:rsidP="00AE4070">
            <w:pPr>
              <w:spacing w:after="0" w:line="240" w:lineRule="auto"/>
              <w:jc w:val="both"/>
              <w:rPr>
                <w:rFonts w:ascii="Arial" w:hAnsi="Arial" w:cs="Arial"/>
                <w:b/>
                <w:bCs/>
                <w:i/>
                <w:iCs/>
                <w:color w:val="000000" w:themeColor="text1"/>
                <w:sz w:val="20"/>
                <w:szCs w:val="20"/>
              </w:rPr>
            </w:pPr>
            <w:r w:rsidRPr="00AE4070">
              <w:rPr>
                <w:rFonts w:ascii="Arial" w:hAnsi="Arial" w:cs="Arial"/>
                <w:b/>
                <w:bCs/>
                <w:i/>
                <w:iCs/>
                <w:color w:val="000000" w:themeColor="text1"/>
                <w:sz w:val="20"/>
                <w:szCs w:val="20"/>
              </w:rPr>
              <w:t>Description of interpretability and measurement properties</w:t>
            </w:r>
          </w:p>
        </w:tc>
      </w:tr>
      <w:tr w:rsidR="006F6726" w:rsidRPr="00AE4070" w14:paraId="101B7F4E" w14:textId="77777777" w:rsidTr="001B09F7">
        <w:trPr>
          <w:jc w:val="center"/>
        </w:trPr>
        <w:tc>
          <w:tcPr>
            <w:tcW w:w="2372" w:type="dxa"/>
            <w:tcBorders>
              <w:top w:val="single" w:sz="4" w:space="0" w:color="auto"/>
              <w:bottom w:val="single" w:sz="4" w:space="0" w:color="auto"/>
            </w:tcBorders>
          </w:tcPr>
          <w:p w14:paraId="2AC0E5C4" w14:textId="4A0E0C74" w:rsidR="006F6726" w:rsidRPr="00AE4070" w:rsidRDefault="006F6726" w:rsidP="00AE4070">
            <w:pPr>
              <w:spacing w:line="240" w:lineRule="auto"/>
              <w:rPr>
                <w:rFonts w:ascii="Arial" w:hAnsi="Arial" w:cs="Arial"/>
                <w:sz w:val="20"/>
                <w:szCs w:val="20"/>
              </w:rPr>
            </w:pPr>
            <w:r w:rsidRPr="00AE4070">
              <w:rPr>
                <w:rFonts w:ascii="Arial" w:hAnsi="Arial" w:cs="Arial"/>
                <w:color w:val="000000" w:themeColor="text1"/>
                <w:sz w:val="20"/>
                <w:szCs w:val="20"/>
              </w:rPr>
              <w:t>Numerical Pain Rating Scale</w:t>
            </w:r>
            <w:r w:rsidRPr="00AE4070">
              <w:rPr>
                <w:rFonts w:ascii="Arial" w:hAnsi="Arial" w:cs="Arial"/>
                <w:color w:val="0070C0"/>
                <w:sz w:val="20"/>
                <w:szCs w:val="20"/>
                <w:vertAlign w:val="superscript"/>
              </w:rPr>
              <w:t>3</w:t>
            </w:r>
            <w:r w:rsidR="0057192D">
              <w:rPr>
                <w:rFonts w:ascii="Arial" w:hAnsi="Arial" w:cs="Arial"/>
                <w:color w:val="0070C0"/>
                <w:sz w:val="20"/>
                <w:szCs w:val="20"/>
                <w:vertAlign w:val="superscript"/>
              </w:rPr>
              <w:t>3</w:t>
            </w:r>
          </w:p>
        </w:tc>
        <w:tc>
          <w:tcPr>
            <w:tcW w:w="7546" w:type="dxa"/>
            <w:tcBorders>
              <w:top w:val="single" w:sz="4" w:space="0" w:color="auto"/>
              <w:bottom w:val="single" w:sz="4" w:space="0" w:color="auto"/>
            </w:tcBorders>
          </w:tcPr>
          <w:p w14:paraId="453B543D" w14:textId="10170029" w:rsidR="006F6726" w:rsidRPr="00AE4070" w:rsidRDefault="006F6726" w:rsidP="00AE4070">
            <w:pPr>
              <w:spacing w:after="0" w:line="240" w:lineRule="auto"/>
              <w:jc w:val="both"/>
              <w:rPr>
                <w:rFonts w:ascii="Arial" w:hAnsi="Arial" w:cs="Arial"/>
                <w:bCs/>
                <w:color w:val="000000" w:themeColor="text1"/>
                <w:sz w:val="20"/>
                <w:szCs w:val="20"/>
              </w:rPr>
            </w:pPr>
            <w:r w:rsidRPr="00AE4070">
              <w:rPr>
                <w:rFonts w:ascii="Arial" w:hAnsi="Arial" w:cs="Arial"/>
                <w:color w:val="000000" w:themeColor="text1"/>
                <w:sz w:val="20"/>
                <w:szCs w:val="20"/>
              </w:rPr>
              <w:t>NPRS is a single-item scale used to assess pain intensity, ranging from 0 (no pain) to 10 (worst pain imaginable). Participants rated their current pain intensity at the time of the assessment and their average pain over the previous 7 days. The Brazilian Portuguese version demonstrated acceptable test–retest reliability (ICC</w:t>
            </w:r>
            <w:r w:rsidR="009A3899" w:rsidRPr="00AE4070">
              <w:rPr>
                <w:rFonts w:ascii="Cambria Math" w:hAnsi="Cambria Math" w:cs="Cambria Math"/>
                <w:color w:val="000000" w:themeColor="text1"/>
                <w:sz w:val="20"/>
                <w:szCs w:val="20"/>
              </w:rPr>
              <w:t>₂</w:t>
            </w:r>
            <w:r w:rsidR="009A3899" w:rsidRPr="00AE4070">
              <w:rPr>
                <w:rFonts w:ascii="Arial" w:hAnsi="Arial" w:cs="Arial"/>
                <w:color w:val="000000" w:themeColor="text1"/>
                <w:sz w:val="20"/>
                <w:szCs w:val="20"/>
              </w:rPr>
              <w:t>,</w:t>
            </w:r>
            <w:r w:rsidR="009A3899" w:rsidRPr="00AE4070">
              <w:rPr>
                <w:rFonts w:ascii="Cambria Math" w:hAnsi="Cambria Math" w:cs="Cambria Math"/>
                <w:color w:val="000000" w:themeColor="text1"/>
                <w:sz w:val="20"/>
                <w:szCs w:val="20"/>
              </w:rPr>
              <w:t xml:space="preserve"> ₁</w:t>
            </w:r>
            <w:r w:rsidRPr="00AE4070">
              <w:rPr>
                <w:rFonts w:ascii="Arial" w:hAnsi="Arial" w:cs="Arial"/>
                <w:color w:val="000000" w:themeColor="text1"/>
                <w:sz w:val="20"/>
                <w:szCs w:val="20"/>
              </w:rPr>
              <w:t xml:space="preserve"> = 0.94; 95% CI: 0.90–0.96) and responsiveness</w:t>
            </w:r>
            <w:r w:rsidRPr="00AE4070">
              <w:rPr>
                <w:rFonts w:ascii="Arial" w:hAnsi="Arial" w:cs="Arial"/>
                <w:color w:val="156082" w:themeColor="accent1"/>
                <w:sz w:val="20"/>
                <w:szCs w:val="20"/>
                <w:vertAlign w:val="superscript"/>
              </w:rPr>
              <w:t>33</w:t>
            </w:r>
            <w:r w:rsidRPr="00AE4070">
              <w:rPr>
                <w:rFonts w:ascii="Arial" w:hAnsi="Arial" w:cs="Arial"/>
                <w:color w:val="000000" w:themeColor="text1"/>
                <w:sz w:val="20"/>
                <w:szCs w:val="20"/>
              </w:rPr>
              <w:t>.</w:t>
            </w:r>
          </w:p>
        </w:tc>
      </w:tr>
      <w:tr w:rsidR="006F6726" w:rsidRPr="00AE4070" w14:paraId="01412171" w14:textId="77777777" w:rsidTr="001B09F7">
        <w:trPr>
          <w:jc w:val="center"/>
        </w:trPr>
        <w:tc>
          <w:tcPr>
            <w:tcW w:w="2372" w:type="dxa"/>
            <w:tcBorders>
              <w:top w:val="single" w:sz="4" w:space="0" w:color="auto"/>
              <w:bottom w:val="single" w:sz="4" w:space="0" w:color="auto"/>
            </w:tcBorders>
          </w:tcPr>
          <w:p w14:paraId="509FD64B" w14:textId="6363B748" w:rsidR="006F6726" w:rsidRPr="00AE4070" w:rsidRDefault="006F6726" w:rsidP="00AE4070">
            <w:pPr>
              <w:spacing w:line="240" w:lineRule="auto"/>
              <w:rPr>
                <w:rFonts w:ascii="Arial" w:hAnsi="Arial" w:cs="Arial"/>
                <w:sz w:val="20"/>
                <w:szCs w:val="20"/>
              </w:rPr>
            </w:pPr>
            <w:r w:rsidRPr="00AE4070">
              <w:rPr>
                <w:rFonts w:ascii="Arial" w:hAnsi="Arial" w:cs="Arial"/>
                <w:iCs/>
                <w:color w:val="000000" w:themeColor="text1"/>
                <w:sz w:val="20"/>
                <w:szCs w:val="20"/>
              </w:rPr>
              <w:t xml:space="preserve">The </w:t>
            </w:r>
            <w:bookmarkStart w:id="0" w:name="_Hlk204594848"/>
            <w:r w:rsidRPr="00AE4070">
              <w:rPr>
                <w:rFonts w:ascii="Arial" w:hAnsi="Arial" w:cs="Arial"/>
                <w:iCs/>
                <w:color w:val="000000" w:themeColor="text1"/>
                <w:sz w:val="20"/>
                <w:szCs w:val="20"/>
              </w:rPr>
              <w:t>Survey of Pain Attitudes</w:t>
            </w:r>
            <w:r w:rsidRPr="00AE4070">
              <w:rPr>
                <w:rFonts w:ascii="Arial" w:hAnsi="Arial" w:cs="Arial"/>
                <w:color w:val="000000" w:themeColor="text1"/>
                <w:sz w:val="20"/>
                <w:szCs w:val="20"/>
              </w:rPr>
              <w:t xml:space="preserve"> </w:t>
            </w:r>
            <w:bookmarkEnd w:id="0"/>
            <w:r w:rsidRPr="00AE4070">
              <w:rPr>
                <w:rFonts w:ascii="Arial" w:hAnsi="Arial" w:cs="Arial"/>
                <w:color w:val="000000" w:themeColor="text1"/>
                <w:sz w:val="20"/>
                <w:szCs w:val="20"/>
              </w:rPr>
              <w:t>(</w:t>
            </w:r>
            <w:bookmarkStart w:id="1" w:name="_Hlk204594844"/>
            <w:r w:rsidRPr="00AE4070">
              <w:rPr>
                <w:rFonts w:ascii="Arial" w:hAnsi="Arial" w:cs="Arial"/>
                <w:color w:val="000000" w:themeColor="text1"/>
                <w:sz w:val="20"/>
                <w:szCs w:val="20"/>
              </w:rPr>
              <w:t>SOPA</w:t>
            </w:r>
            <w:bookmarkEnd w:id="1"/>
            <w:r w:rsidRPr="00AE4070">
              <w:rPr>
                <w:rFonts w:ascii="Arial" w:hAnsi="Arial" w:cs="Arial"/>
                <w:color w:val="000000" w:themeColor="text1"/>
                <w:sz w:val="20"/>
                <w:szCs w:val="20"/>
              </w:rPr>
              <w:t>)</w:t>
            </w:r>
            <w:r w:rsidRPr="00AE4070">
              <w:rPr>
                <w:rFonts w:ascii="Arial" w:hAnsi="Arial" w:cs="Arial"/>
                <w:color w:val="0070C0"/>
                <w:sz w:val="20"/>
                <w:szCs w:val="20"/>
                <w:vertAlign w:val="superscript"/>
              </w:rPr>
              <w:t xml:space="preserve"> </w:t>
            </w:r>
            <w:r w:rsidR="00FD2FA7" w:rsidRPr="00AE4070">
              <w:rPr>
                <w:rFonts w:ascii="Arial" w:hAnsi="Arial" w:cs="Arial"/>
                <w:color w:val="0070C0"/>
                <w:sz w:val="20"/>
                <w:szCs w:val="20"/>
                <w:vertAlign w:val="superscript"/>
              </w:rPr>
              <w:t>3</w:t>
            </w:r>
            <w:r w:rsidR="0057192D">
              <w:rPr>
                <w:rFonts w:ascii="Arial" w:hAnsi="Arial" w:cs="Arial"/>
                <w:color w:val="0070C0"/>
                <w:sz w:val="20"/>
                <w:szCs w:val="20"/>
                <w:vertAlign w:val="superscript"/>
              </w:rPr>
              <w:t>4</w:t>
            </w:r>
          </w:p>
        </w:tc>
        <w:tc>
          <w:tcPr>
            <w:tcW w:w="7546" w:type="dxa"/>
            <w:tcBorders>
              <w:top w:val="single" w:sz="4" w:space="0" w:color="auto"/>
              <w:bottom w:val="single" w:sz="4" w:space="0" w:color="auto"/>
            </w:tcBorders>
          </w:tcPr>
          <w:p w14:paraId="1EECE605" w14:textId="1F7264AA" w:rsidR="006F6726" w:rsidRPr="00AE4070" w:rsidRDefault="006F6726" w:rsidP="00AE4070">
            <w:pPr>
              <w:spacing w:after="0" w:line="240" w:lineRule="auto"/>
              <w:jc w:val="both"/>
              <w:rPr>
                <w:rFonts w:ascii="Arial" w:hAnsi="Arial" w:cs="Arial"/>
                <w:bCs/>
                <w:color w:val="000000" w:themeColor="text1"/>
                <w:sz w:val="20"/>
                <w:szCs w:val="20"/>
              </w:rPr>
            </w:pPr>
            <w:r w:rsidRPr="00AE4070">
              <w:rPr>
                <w:rFonts w:ascii="Arial" w:hAnsi="Arial" w:cs="Arial"/>
                <w:color w:val="000000" w:themeColor="text1"/>
                <w:sz w:val="20"/>
                <w:szCs w:val="20"/>
              </w:rPr>
              <w:t>SOPA assesses beliefs about pain</w:t>
            </w:r>
            <w:r w:rsidRPr="00AE4070">
              <w:rPr>
                <w:rFonts w:ascii="Arial" w:hAnsi="Arial" w:cs="Arial"/>
                <w:color w:val="0070C0"/>
                <w:sz w:val="20"/>
                <w:szCs w:val="20"/>
                <w:vertAlign w:val="superscript"/>
              </w:rPr>
              <w:t>31</w:t>
            </w:r>
            <w:r w:rsidRPr="00AE4070">
              <w:rPr>
                <w:rFonts w:ascii="Arial" w:hAnsi="Arial" w:cs="Arial"/>
                <w:color w:val="000000" w:themeColor="text1"/>
                <w:sz w:val="20"/>
                <w:szCs w:val="20"/>
              </w:rPr>
              <w:t>. SOPA assesses pain-related beliefs and comprises seven subscales: Solicitude, Emotion, Medical Cure, Control, Medication, Disability, and Physical Harm. The Brazilian Portuguese version demonstrated adequate structural validity, with a seven-factor solution explaining 62.9% of the total variance, and acceptable to good internal consistency across the subscales (Cronbach's α = 0.55 to 0.89)</w:t>
            </w:r>
            <w:r w:rsidRPr="00AE4070">
              <w:rPr>
                <w:rFonts w:ascii="Arial" w:hAnsi="Arial" w:cs="Arial"/>
                <w:color w:val="0F9ED5" w:themeColor="accent4"/>
                <w:sz w:val="20"/>
                <w:szCs w:val="20"/>
                <w:vertAlign w:val="superscript"/>
              </w:rPr>
              <w:t>32</w:t>
            </w:r>
            <w:r w:rsidRPr="00AE4070">
              <w:rPr>
                <w:rFonts w:ascii="Arial" w:hAnsi="Arial" w:cs="Arial"/>
                <w:color w:val="0F9ED5" w:themeColor="accent4"/>
                <w:sz w:val="20"/>
                <w:szCs w:val="20"/>
              </w:rPr>
              <w:t xml:space="preserve"> </w:t>
            </w:r>
          </w:p>
        </w:tc>
      </w:tr>
      <w:tr w:rsidR="006F6726" w:rsidRPr="00AE4070" w14:paraId="469209DB" w14:textId="77777777" w:rsidTr="001B09F7">
        <w:trPr>
          <w:jc w:val="center"/>
        </w:trPr>
        <w:tc>
          <w:tcPr>
            <w:tcW w:w="2372" w:type="dxa"/>
            <w:tcBorders>
              <w:top w:val="single" w:sz="4" w:space="0" w:color="auto"/>
              <w:bottom w:val="single" w:sz="4" w:space="0" w:color="auto"/>
            </w:tcBorders>
          </w:tcPr>
          <w:p w14:paraId="420C3F71" w14:textId="580B4F61" w:rsidR="006F6726" w:rsidRPr="00AE4070" w:rsidRDefault="006F6726" w:rsidP="00AE4070">
            <w:pPr>
              <w:spacing w:line="240" w:lineRule="auto"/>
              <w:rPr>
                <w:rFonts w:ascii="Arial" w:hAnsi="Arial" w:cs="Arial"/>
                <w:sz w:val="20"/>
                <w:szCs w:val="20"/>
              </w:rPr>
            </w:pPr>
            <w:r w:rsidRPr="00AE4070">
              <w:rPr>
                <w:rFonts w:ascii="Arial" w:hAnsi="Arial" w:cs="Arial"/>
                <w:sz w:val="20"/>
                <w:szCs w:val="20"/>
              </w:rPr>
              <w:t>Oswestry Disability Index (ODI)</w:t>
            </w:r>
            <w:r w:rsidRPr="00AE4070">
              <w:rPr>
                <w:rFonts w:ascii="Arial" w:hAnsi="Arial" w:cs="Arial"/>
                <w:color w:val="0070C0"/>
                <w:sz w:val="20"/>
                <w:szCs w:val="20"/>
                <w:vertAlign w:val="superscript"/>
              </w:rPr>
              <w:t xml:space="preserve"> 3</w:t>
            </w:r>
            <w:r w:rsidR="0057192D">
              <w:rPr>
                <w:rFonts w:ascii="Arial" w:hAnsi="Arial" w:cs="Arial"/>
                <w:color w:val="0070C0"/>
                <w:sz w:val="20"/>
                <w:szCs w:val="20"/>
                <w:vertAlign w:val="superscript"/>
              </w:rPr>
              <w:t>5</w:t>
            </w:r>
            <w:r w:rsidR="00FD2FA7" w:rsidRPr="00AE4070">
              <w:rPr>
                <w:rFonts w:ascii="Arial" w:hAnsi="Arial" w:cs="Arial"/>
                <w:color w:val="0070C0"/>
                <w:sz w:val="20"/>
                <w:szCs w:val="20"/>
                <w:vertAlign w:val="superscript"/>
              </w:rPr>
              <w:t>, 3</w:t>
            </w:r>
            <w:r w:rsidR="0057192D">
              <w:rPr>
                <w:rFonts w:ascii="Arial" w:hAnsi="Arial" w:cs="Arial"/>
                <w:color w:val="0070C0"/>
                <w:sz w:val="20"/>
                <w:szCs w:val="20"/>
                <w:vertAlign w:val="superscript"/>
              </w:rPr>
              <w:t>6</w:t>
            </w:r>
          </w:p>
        </w:tc>
        <w:tc>
          <w:tcPr>
            <w:tcW w:w="7546" w:type="dxa"/>
            <w:tcBorders>
              <w:top w:val="single" w:sz="4" w:space="0" w:color="auto"/>
              <w:bottom w:val="single" w:sz="4" w:space="0" w:color="auto"/>
            </w:tcBorders>
          </w:tcPr>
          <w:p w14:paraId="6AEAA392" w14:textId="5A793316"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LBP-related disability was evaluated using the ODI. The questionnaire consists of 10 items with six response options. The total score (0–50) is converted into a percentage by multiplying it by two. The Brazilian Portuguese version demonstrated acceptable internal consistency (Cronbach's α = 0.87), acceptable test–retest reliability (ICC = 0.99), adequate construct validity</w:t>
            </w:r>
            <w:r w:rsidRPr="00AE4070">
              <w:rPr>
                <w:rFonts w:ascii="Arial" w:hAnsi="Arial" w:cs="Arial"/>
                <w:color w:val="0F9ED5" w:themeColor="accent4"/>
                <w:sz w:val="20"/>
                <w:szCs w:val="20"/>
                <w:vertAlign w:val="superscript"/>
              </w:rPr>
              <w:t>34</w:t>
            </w:r>
            <w:r w:rsidRPr="00AE4070">
              <w:rPr>
                <w:rFonts w:ascii="Arial" w:hAnsi="Arial" w:cs="Arial"/>
                <w:color w:val="000000" w:themeColor="text1"/>
                <w:sz w:val="20"/>
                <w:szCs w:val="20"/>
              </w:rPr>
              <w:t>, and a one-factor structure with acceptable fit indices (CFI = 0.99, TLI = 0.99, RMSEA = 0.05)</w:t>
            </w:r>
            <w:r w:rsidRPr="00AE4070">
              <w:rPr>
                <w:rFonts w:ascii="Arial" w:hAnsi="Arial" w:cs="Arial"/>
                <w:color w:val="0F9ED5" w:themeColor="accent4"/>
                <w:sz w:val="20"/>
                <w:szCs w:val="20"/>
                <w:vertAlign w:val="superscript"/>
              </w:rPr>
              <w:t>35</w:t>
            </w:r>
            <w:r w:rsidRPr="00AE4070">
              <w:rPr>
                <w:rFonts w:ascii="Arial" w:hAnsi="Arial" w:cs="Arial"/>
                <w:color w:val="000000" w:themeColor="text1"/>
                <w:sz w:val="20"/>
                <w:szCs w:val="20"/>
              </w:rPr>
              <w:t>.</w:t>
            </w:r>
          </w:p>
        </w:tc>
      </w:tr>
      <w:tr w:rsidR="006F6726" w:rsidRPr="00AE4070" w14:paraId="321C67EC" w14:textId="77777777" w:rsidTr="001B09F7">
        <w:trPr>
          <w:jc w:val="center"/>
        </w:trPr>
        <w:tc>
          <w:tcPr>
            <w:tcW w:w="2372" w:type="dxa"/>
            <w:tcBorders>
              <w:top w:val="single" w:sz="4" w:space="0" w:color="auto"/>
              <w:bottom w:val="single" w:sz="4" w:space="0" w:color="auto"/>
            </w:tcBorders>
          </w:tcPr>
          <w:p w14:paraId="6B90ED19" w14:textId="70280C17" w:rsidR="006F6726" w:rsidRPr="00AE4070" w:rsidRDefault="006F6726" w:rsidP="00AE4070">
            <w:pPr>
              <w:spacing w:line="240" w:lineRule="auto"/>
              <w:rPr>
                <w:rFonts w:ascii="Arial" w:hAnsi="Arial" w:cs="Arial"/>
                <w:sz w:val="20"/>
                <w:szCs w:val="20"/>
              </w:rPr>
            </w:pPr>
            <w:r w:rsidRPr="00AE4070">
              <w:rPr>
                <w:rFonts w:ascii="Arial" w:hAnsi="Arial" w:cs="Arial"/>
                <w:color w:val="000000" w:themeColor="text1"/>
                <w:sz w:val="20"/>
                <w:szCs w:val="20"/>
              </w:rPr>
              <w:t>The</w:t>
            </w:r>
            <w:r w:rsidRPr="00AE4070">
              <w:rPr>
                <w:rFonts w:ascii="Arial" w:hAnsi="Arial" w:cs="Arial"/>
                <w:i/>
                <w:color w:val="000000" w:themeColor="text1"/>
                <w:sz w:val="20"/>
                <w:szCs w:val="20"/>
              </w:rPr>
              <w:t xml:space="preserve"> </w:t>
            </w:r>
            <w:bookmarkStart w:id="2" w:name="_Hlk204594869"/>
            <w:r w:rsidRPr="00AE4070">
              <w:rPr>
                <w:rFonts w:ascii="Arial" w:hAnsi="Arial" w:cs="Arial"/>
                <w:iCs/>
                <w:color w:val="000000" w:themeColor="text1"/>
                <w:sz w:val="20"/>
                <w:szCs w:val="20"/>
              </w:rPr>
              <w:t xml:space="preserve">Tampa Scale for </w:t>
            </w:r>
            <w:proofErr w:type="spellStart"/>
            <w:r w:rsidRPr="00AE4070">
              <w:rPr>
                <w:rFonts w:ascii="Arial" w:hAnsi="Arial" w:cs="Arial"/>
                <w:iCs/>
                <w:color w:val="000000" w:themeColor="text1"/>
                <w:sz w:val="20"/>
                <w:szCs w:val="20"/>
              </w:rPr>
              <w:t>Kinesiophobia</w:t>
            </w:r>
            <w:proofErr w:type="spellEnd"/>
            <w:r w:rsidRPr="00AE4070">
              <w:rPr>
                <w:rFonts w:ascii="Arial" w:hAnsi="Arial" w:cs="Arial"/>
                <w:iCs/>
                <w:color w:val="000000" w:themeColor="text1"/>
                <w:sz w:val="20"/>
                <w:szCs w:val="20"/>
              </w:rPr>
              <w:t xml:space="preserve"> </w:t>
            </w:r>
            <w:bookmarkEnd w:id="2"/>
            <w:r w:rsidRPr="00AE4070">
              <w:rPr>
                <w:rFonts w:ascii="Arial" w:hAnsi="Arial" w:cs="Arial"/>
                <w:iCs/>
                <w:color w:val="000000" w:themeColor="text1"/>
                <w:sz w:val="20"/>
                <w:szCs w:val="20"/>
              </w:rPr>
              <w:t>(</w:t>
            </w:r>
            <w:bookmarkStart w:id="3" w:name="_Hlk204594865"/>
            <w:r w:rsidRPr="00AE4070">
              <w:rPr>
                <w:rFonts w:ascii="Arial" w:hAnsi="Arial" w:cs="Arial"/>
                <w:iCs/>
                <w:color w:val="000000" w:themeColor="text1"/>
                <w:sz w:val="20"/>
                <w:szCs w:val="20"/>
              </w:rPr>
              <w:t>TSK</w:t>
            </w:r>
            <w:bookmarkEnd w:id="3"/>
            <w:r w:rsidRPr="00AE4070">
              <w:rPr>
                <w:rFonts w:ascii="Arial" w:hAnsi="Arial" w:cs="Arial"/>
                <w:iCs/>
                <w:color w:val="000000" w:themeColor="text1"/>
                <w:sz w:val="20"/>
                <w:szCs w:val="20"/>
              </w:rPr>
              <w:t>)</w:t>
            </w:r>
            <w:r w:rsidRPr="00AE4070">
              <w:rPr>
                <w:rFonts w:ascii="Arial" w:hAnsi="Arial" w:cs="Arial"/>
                <w:color w:val="0070C0"/>
                <w:sz w:val="20"/>
                <w:szCs w:val="20"/>
                <w:vertAlign w:val="superscript"/>
              </w:rPr>
              <w:t xml:space="preserve"> 3</w:t>
            </w:r>
            <w:r w:rsidR="0057192D">
              <w:rPr>
                <w:rFonts w:ascii="Arial" w:hAnsi="Arial" w:cs="Arial"/>
                <w:color w:val="0070C0"/>
                <w:sz w:val="20"/>
                <w:szCs w:val="20"/>
                <w:vertAlign w:val="superscript"/>
              </w:rPr>
              <w:t>7</w:t>
            </w:r>
          </w:p>
        </w:tc>
        <w:tc>
          <w:tcPr>
            <w:tcW w:w="7546" w:type="dxa"/>
            <w:tcBorders>
              <w:top w:val="single" w:sz="4" w:space="0" w:color="auto"/>
              <w:bottom w:val="single" w:sz="4" w:space="0" w:color="auto"/>
            </w:tcBorders>
          </w:tcPr>
          <w:p w14:paraId="31E4D06B" w14:textId="04EB3905"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TSK is a self-administered questionnaire designed to assess beliefs about fear, pain, and activities in any pain condition</w:t>
            </w:r>
            <w:r w:rsidRPr="00AE4070">
              <w:rPr>
                <w:rFonts w:ascii="Arial" w:hAnsi="Arial" w:cs="Arial"/>
                <w:color w:val="0F9ED5" w:themeColor="accent4"/>
                <w:sz w:val="20"/>
                <w:szCs w:val="20"/>
                <w:vertAlign w:val="superscript"/>
              </w:rPr>
              <w:t>36</w:t>
            </w:r>
            <w:r w:rsidRPr="00AE4070">
              <w:rPr>
                <w:rFonts w:ascii="Arial" w:hAnsi="Arial" w:cs="Arial"/>
                <w:color w:val="000000" w:themeColor="text1"/>
                <w:sz w:val="20"/>
                <w:szCs w:val="20"/>
              </w:rPr>
              <w:t>. TSK consists of 17 items scored from 1 to 4 and comprises two dimensions: Activity Avoidance (8 to 32 points) and Somatic Focus (9 to 36 points). The Brazilian Portuguese version demonstrated adequate structural validity based on Rasch analysis, with acceptable item reliability (0.95) and person reliability (0.80)</w:t>
            </w:r>
            <w:r w:rsidRPr="00AE4070">
              <w:rPr>
                <w:rFonts w:ascii="Arial" w:hAnsi="Arial" w:cs="Arial"/>
                <w:color w:val="0F9ED5" w:themeColor="accent4"/>
                <w:sz w:val="20"/>
                <w:szCs w:val="20"/>
                <w:vertAlign w:val="superscript"/>
              </w:rPr>
              <w:t>37</w:t>
            </w:r>
            <w:r w:rsidRPr="00AE4070">
              <w:rPr>
                <w:rFonts w:ascii="Arial" w:hAnsi="Arial" w:cs="Arial"/>
                <w:color w:val="000000" w:themeColor="text1"/>
                <w:sz w:val="20"/>
                <w:szCs w:val="20"/>
              </w:rPr>
              <w:t>.</w:t>
            </w:r>
          </w:p>
        </w:tc>
      </w:tr>
      <w:tr w:rsidR="006F6726" w:rsidRPr="00AE4070" w14:paraId="436E8BF5" w14:textId="77777777" w:rsidTr="001B09F7">
        <w:trPr>
          <w:jc w:val="center"/>
        </w:trPr>
        <w:tc>
          <w:tcPr>
            <w:tcW w:w="2372" w:type="dxa"/>
            <w:tcBorders>
              <w:top w:val="single" w:sz="4" w:space="0" w:color="auto"/>
              <w:bottom w:val="single" w:sz="4" w:space="0" w:color="auto"/>
            </w:tcBorders>
          </w:tcPr>
          <w:p w14:paraId="06CB946A" w14:textId="0B0E9CB1" w:rsidR="006F6726" w:rsidRPr="00AE4070" w:rsidRDefault="006F6726" w:rsidP="00AE4070">
            <w:pPr>
              <w:spacing w:line="240" w:lineRule="auto"/>
              <w:rPr>
                <w:rFonts w:ascii="Arial" w:hAnsi="Arial" w:cs="Arial"/>
                <w:sz w:val="20"/>
                <w:szCs w:val="20"/>
              </w:rPr>
            </w:pPr>
            <w:r w:rsidRPr="00AE4070">
              <w:rPr>
                <w:rFonts w:ascii="Arial" w:hAnsi="Arial" w:cs="Arial"/>
                <w:iCs/>
                <w:color w:val="000000" w:themeColor="text1"/>
                <w:sz w:val="20"/>
                <w:szCs w:val="20"/>
              </w:rPr>
              <w:t xml:space="preserve">The </w:t>
            </w:r>
            <w:bookmarkStart w:id="4" w:name="_Hlk204594876"/>
            <w:r w:rsidRPr="00AE4070">
              <w:rPr>
                <w:rFonts w:ascii="Arial" w:hAnsi="Arial" w:cs="Arial"/>
                <w:iCs/>
                <w:color w:val="000000" w:themeColor="text1"/>
                <w:sz w:val="20"/>
                <w:szCs w:val="20"/>
              </w:rPr>
              <w:t>Pain Self-Efficacy</w:t>
            </w:r>
            <w:r w:rsidRPr="00AE4070">
              <w:rPr>
                <w:rFonts w:ascii="Arial" w:hAnsi="Arial" w:cs="Arial"/>
                <w:color w:val="000000" w:themeColor="text1"/>
                <w:sz w:val="20"/>
                <w:szCs w:val="20"/>
              </w:rPr>
              <w:t xml:space="preserve"> Questionnaire </w:t>
            </w:r>
            <w:bookmarkEnd w:id="4"/>
            <w:r w:rsidRPr="00AE4070">
              <w:rPr>
                <w:rFonts w:ascii="Arial" w:hAnsi="Arial" w:cs="Arial"/>
                <w:color w:val="000000" w:themeColor="text1"/>
                <w:sz w:val="20"/>
                <w:szCs w:val="20"/>
              </w:rPr>
              <w:t>(</w:t>
            </w:r>
            <w:bookmarkStart w:id="5" w:name="_Hlk204594873"/>
            <w:r w:rsidRPr="00AE4070">
              <w:rPr>
                <w:rFonts w:ascii="Arial" w:hAnsi="Arial" w:cs="Arial"/>
                <w:color w:val="000000" w:themeColor="text1"/>
                <w:sz w:val="20"/>
                <w:szCs w:val="20"/>
              </w:rPr>
              <w:t>PSEQ</w:t>
            </w:r>
            <w:bookmarkEnd w:id="5"/>
            <w:r w:rsidRPr="00AE4070">
              <w:rPr>
                <w:rFonts w:ascii="Arial" w:hAnsi="Arial" w:cs="Arial"/>
                <w:color w:val="000000" w:themeColor="text1"/>
                <w:sz w:val="20"/>
                <w:szCs w:val="20"/>
              </w:rPr>
              <w:t>)</w:t>
            </w:r>
            <w:r w:rsidRPr="00AE4070">
              <w:rPr>
                <w:rFonts w:ascii="Arial" w:hAnsi="Arial" w:cs="Arial"/>
                <w:color w:val="156082" w:themeColor="accent1"/>
                <w:sz w:val="20"/>
                <w:szCs w:val="20"/>
                <w:vertAlign w:val="superscript"/>
              </w:rPr>
              <w:t>3</w:t>
            </w:r>
            <w:r w:rsidR="0057192D">
              <w:rPr>
                <w:rFonts w:ascii="Arial" w:hAnsi="Arial" w:cs="Arial"/>
                <w:color w:val="156082" w:themeColor="accent1"/>
                <w:sz w:val="20"/>
                <w:szCs w:val="20"/>
                <w:vertAlign w:val="superscript"/>
              </w:rPr>
              <w:t>8</w:t>
            </w:r>
            <w:r w:rsidR="00FD2FA7" w:rsidRPr="00AE4070">
              <w:rPr>
                <w:rFonts w:ascii="Arial" w:hAnsi="Arial" w:cs="Arial"/>
                <w:color w:val="156082" w:themeColor="accent1"/>
                <w:sz w:val="20"/>
                <w:szCs w:val="20"/>
                <w:vertAlign w:val="superscript"/>
              </w:rPr>
              <w:t>, 3</w:t>
            </w:r>
            <w:r w:rsidR="0057192D">
              <w:rPr>
                <w:rFonts w:ascii="Arial" w:hAnsi="Arial" w:cs="Arial"/>
                <w:color w:val="156082" w:themeColor="accent1"/>
                <w:sz w:val="20"/>
                <w:szCs w:val="20"/>
                <w:vertAlign w:val="superscript"/>
              </w:rPr>
              <w:t>9</w:t>
            </w:r>
          </w:p>
        </w:tc>
        <w:tc>
          <w:tcPr>
            <w:tcW w:w="7546" w:type="dxa"/>
            <w:tcBorders>
              <w:top w:val="single" w:sz="4" w:space="0" w:color="auto"/>
              <w:bottom w:val="single" w:sz="4" w:space="0" w:color="auto"/>
            </w:tcBorders>
          </w:tcPr>
          <w:p w14:paraId="4B096B84" w14:textId="36B00920"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PSEQ</w:t>
            </w:r>
            <w:r w:rsidRPr="00AE4070">
              <w:rPr>
                <w:rFonts w:ascii="Arial" w:hAnsi="Arial" w:cs="Arial"/>
                <w:color w:val="0070C0"/>
                <w:sz w:val="20"/>
                <w:szCs w:val="20"/>
                <w:vertAlign w:val="superscript"/>
              </w:rPr>
              <w:t>38</w:t>
            </w:r>
            <w:r w:rsidRPr="00AE4070">
              <w:rPr>
                <w:rFonts w:ascii="Arial" w:hAnsi="Arial" w:cs="Arial"/>
                <w:color w:val="000000" w:themeColor="text1"/>
                <w:sz w:val="20"/>
                <w:szCs w:val="20"/>
              </w:rPr>
              <w:t xml:space="preserve"> evaluates pain self-efficacy through 10 items assessing the patient's confidence in performing activities despite pain. Scores range from 0 to 60, with higher scores indicating greater self-efficacy. The Brazilian Portuguese</w:t>
            </w:r>
            <w:r w:rsidRPr="00AE4070">
              <w:rPr>
                <w:rFonts w:ascii="Arial" w:hAnsi="Arial" w:cs="Arial"/>
                <w:color w:val="0F9ED5" w:themeColor="accent4"/>
                <w:sz w:val="20"/>
                <w:szCs w:val="20"/>
                <w:vertAlign w:val="superscript"/>
              </w:rPr>
              <w:t>39</w:t>
            </w:r>
            <w:r w:rsidRPr="00AE4070">
              <w:rPr>
                <w:rFonts w:ascii="Arial" w:hAnsi="Arial" w:cs="Arial"/>
                <w:color w:val="000000" w:themeColor="text1"/>
                <w:sz w:val="20"/>
                <w:szCs w:val="20"/>
              </w:rPr>
              <w:t xml:space="preserve"> version demonstrated adequate structural validity based on confirmatory factor analysis (CFI &gt; 0.95), good internal consistency (Cronbach's α &gt; 0.70), acceptable test–retest reliability (ICC ≥ 0.70), and adequate construct validity</w:t>
            </w:r>
            <w:r w:rsidRPr="00AE4070">
              <w:rPr>
                <w:rFonts w:ascii="Arial" w:hAnsi="Arial" w:cs="Arial"/>
                <w:color w:val="0F9ED5" w:themeColor="accent4"/>
                <w:sz w:val="20"/>
                <w:szCs w:val="20"/>
                <w:vertAlign w:val="superscript"/>
              </w:rPr>
              <w:t>40</w:t>
            </w:r>
            <w:r w:rsidRPr="00AE4070">
              <w:rPr>
                <w:rFonts w:ascii="Arial" w:hAnsi="Arial" w:cs="Arial"/>
                <w:color w:val="000000" w:themeColor="text1"/>
                <w:sz w:val="20"/>
                <w:szCs w:val="20"/>
              </w:rPr>
              <w:t>.</w:t>
            </w:r>
          </w:p>
        </w:tc>
      </w:tr>
      <w:tr w:rsidR="006F6726" w:rsidRPr="00AE4070" w14:paraId="12B005C8" w14:textId="77777777" w:rsidTr="001B09F7">
        <w:trPr>
          <w:jc w:val="center"/>
        </w:trPr>
        <w:tc>
          <w:tcPr>
            <w:tcW w:w="2372" w:type="dxa"/>
            <w:tcBorders>
              <w:top w:val="single" w:sz="4" w:space="0" w:color="auto"/>
              <w:bottom w:val="single" w:sz="4" w:space="0" w:color="auto"/>
            </w:tcBorders>
          </w:tcPr>
          <w:p w14:paraId="02FC0A27" w14:textId="1C8FD05F" w:rsidR="006F6726" w:rsidRPr="00AE4070" w:rsidRDefault="006F6726" w:rsidP="00AE4070">
            <w:pPr>
              <w:spacing w:line="240" w:lineRule="auto"/>
              <w:rPr>
                <w:rFonts w:ascii="Arial" w:hAnsi="Arial" w:cs="Arial"/>
                <w:sz w:val="20"/>
                <w:szCs w:val="20"/>
              </w:rPr>
            </w:pPr>
            <w:r w:rsidRPr="00AE4070">
              <w:rPr>
                <w:rFonts w:ascii="Arial" w:hAnsi="Arial" w:cs="Arial"/>
                <w:color w:val="000000" w:themeColor="text1"/>
                <w:sz w:val="20"/>
                <w:szCs w:val="20"/>
              </w:rPr>
              <w:t xml:space="preserve">The </w:t>
            </w:r>
            <w:bookmarkStart w:id="6" w:name="_Hlk204594890"/>
            <w:r w:rsidRPr="00AE4070">
              <w:rPr>
                <w:rFonts w:ascii="Arial" w:hAnsi="Arial" w:cs="Arial"/>
                <w:color w:val="000000" w:themeColor="text1"/>
                <w:sz w:val="20"/>
                <w:szCs w:val="20"/>
              </w:rPr>
              <w:t xml:space="preserve">Pain Catastrophizing Scale </w:t>
            </w:r>
            <w:bookmarkEnd w:id="6"/>
            <w:r w:rsidRPr="00AE4070">
              <w:rPr>
                <w:rFonts w:ascii="Arial" w:hAnsi="Arial" w:cs="Arial"/>
                <w:color w:val="000000" w:themeColor="text1"/>
                <w:sz w:val="20"/>
                <w:szCs w:val="20"/>
              </w:rPr>
              <w:t>(</w:t>
            </w:r>
            <w:bookmarkStart w:id="7" w:name="_Hlk204594882"/>
            <w:r w:rsidRPr="00AE4070">
              <w:rPr>
                <w:rFonts w:ascii="Arial" w:hAnsi="Arial" w:cs="Arial"/>
                <w:color w:val="000000" w:themeColor="text1"/>
                <w:sz w:val="20"/>
                <w:szCs w:val="20"/>
              </w:rPr>
              <w:t>PCS</w:t>
            </w:r>
            <w:bookmarkEnd w:id="7"/>
            <w:r w:rsidRPr="00AE4070">
              <w:rPr>
                <w:rFonts w:ascii="Arial" w:hAnsi="Arial" w:cs="Arial"/>
                <w:color w:val="000000" w:themeColor="text1"/>
                <w:sz w:val="20"/>
                <w:szCs w:val="20"/>
              </w:rPr>
              <w:t>)</w:t>
            </w:r>
            <w:r w:rsidR="0057192D" w:rsidRPr="0057192D">
              <w:rPr>
                <w:rFonts w:ascii="Arial" w:hAnsi="Arial" w:cs="Arial"/>
                <w:color w:val="0070C0"/>
                <w:sz w:val="20"/>
                <w:szCs w:val="20"/>
                <w:vertAlign w:val="superscript"/>
              </w:rPr>
              <w:t>40</w:t>
            </w:r>
          </w:p>
        </w:tc>
        <w:tc>
          <w:tcPr>
            <w:tcW w:w="7546" w:type="dxa"/>
            <w:tcBorders>
              <w:top w:val="single" w:sz="4" w:space="0" w:color="auto"/>
              <w:bottom w:val="single" w:sz="4" w:space="0" w:color="auto"/>
            </w:tcBorders>
          </w:tcPr>
          <w:p w14:paraId="1A1E2CF9" w14:textId="110DD17A"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PCS assesses pain catastrophizing through 13 items distributed across three subscales: Helplessness, Magnification, and Rumination. Higher scores indicate greater pain catastrophizing. The Brazilian Portuguese version demonstrated excellent internal consistency (Cronbach's α = 0.91), excellent test–retest reliability (ICC = 0.92), adequate construct validity, and structural validity supported a unidimensional model based on confirmatory factor analysis (CFI = 0.97–0.98; RMSEA = 0.075–0.09)</w:t>
            </w:r>
            <w:r w:rsidRPr="00AE4070">
              <w:rPr>
                <w:rFonts w:ascii="Arial" w:hAnsi="Arial" w:cs="Arial"/>
                <w:color w:val="0F9ED5" w:themeColor="accent4"/>
                <w:sz w:val="20"/>
                <w:szCs w:val="20"/>
                <w:vertAlign w:val="superscript"/>
              </w:rPr>
              <w:t>42</w:t>
            </w:r>
            <w:r w:rsidRPr="00AE4070">
              <w:rPr>
                <w:rFonts w:ascii="Arial" w:hAnsi="Arial" w:cs="Arial"/>
                <w:color w:val="000000" w:themeColor="text1"/>
                <w:sz w:val="20"/>
                <w:szCs w:val="20"/>
              </w:rPr>
              <w:t>.</w:t>
            </w:r>
          </w:p>
        </w:tc>
      </w:tr>
      <w:tr w:rsidR="006F6726" w:rsidRPr="00AE4070" w14:paraId="193E5F85" w14:textId="77777777" w:rsidTr="001B09F7">
        <w:trPr>
          <w:jc w:val="center"/>
        </w:trPr>
        <w:tc>
          <w:tcPr>
            <w:tcW w:w="2372" w:type="dxa"/>
            <w:tcBorders>
              <w:top w:val="single" w:sz="4" w:space="0" w:color="auto"/>
              <w:bottom w:val="single" w:sz="4" w:space="0" w:color="auto"/>
            </w:tcBorders>
          </w:tcPr>
          <w:p w14:paraId="05DA926A" w14:textId="138F76E3" w:rsidR="006F6726" w:rsidRPr="00AE4070" w:rsidRDefault="006F6726" w:rsidP="00AE4070">
            <w:pPr>
              <w:spacing w:line="240" w:lineRule="auto"/>
              <w:rPr>
                <w:rFonts w:ascii="Arial" w:hAnsi="Arial" w:cs="Arial"/>
                <w:sz w:val="20"/>
                <w:szCs w:val="20"/>
              </w:rPr>
            </w:pPr>
            <w:bookmarkStart w:id="8" w:name="_Hlk204594901"/>
            <w:r w:rsidRPr="00AE4070">
              <w:rPr>
                <w:rFonts w:ascii="Arial" w:hAnsi="Arial" w:cs="Arial"/>
                <w:color w:val="000000" w:themeColor="text1"/>
                <w:sz w:val="20"/>
                <w:szCs w:val="20"/>
              </w:rPr>
              <w:t>The</w:t>
            </w:r>
            <w:r w:rsidRPr="00AE4070">
              <w:rPr>
                <w:rFonts w:ascii="Arial" w:hAnsi="Arial" w:cs="Arial"/>
                <w:i/>
                <w:color w:val="000000" w:themeColor="text1"/>
                <w:sz w:val="20"/>
                <w:szCs w:val="20"/>
              </w:rPr>
              <w:t xml:space="preserve"> </w:t>
            </w:r>
            <w:r w:rsidRPr="00AE4070">
              <w:rPr>
                <w:rFonts w:ascii="Arial" w:hAnsi="Arial" w:cs="Arial"/>
                <w:iCs/>
                <w:color w:val="000000" w:themeColor="text1"/>
                <w:sz w:val="20"/>
                <w:szCs w:val="20"/>
              </w:rPr>
              <w:t>Patient Health Questionnaire-9</w:t>
            </w:r>
            <w:bookmarkEnd w:id="8"/>
            <w:r w:rsidRPr="00AE4070">
              <w:rPr>
                <w:rFonts w:ascii="Arial" w:hAnsi="Arial" w:cs="Arial"/>
                <w:color w:val="000000" w:themeColor="text1"/>
                <w:sz w:val="20"/>
                <w:szCs w:val="20"/>
              </w:rPr>
              <w:t xml:space="preserve"> (</w:t>
            </w:r>
            <w:bookmarkStart w:id="9" w:name="_Hlk204594895"/>
            <w:r w:rsidRPr="00AE4070">
              <w:rPr>
                <w:rFonts w:ascii="Arial" w:hAnsi="Arial" w:cs="Arial"/>
                <w:color w:val="000000" w:themeColor="text1"/>
                <w:sz w:val="20"/>
                <w:szCs w:val="20"/>
              </w:rPr>
              <w:t>PHQ-9</w:t>
            </w:r>
            <w:bookmarkEnd w:id="9"/>
            <w:r w:rsidRPr="00AE4070">
              <w:rPr>
                <w:rFonts w:ascii="Arial" w:hAnsi="Arial" w:cs="Arial"/>
                <w:color w:val="000000" w:themeColor="text1"/>
                <w:sz w:val="20"/>
                <w:szCs w:val="20"/>
              </w:rPr>
              <w:t>)</w:t>
            </w:r>
            <w:r w:rsidRPr="00AE4070">
              <w:rPr>
                <w:rFonts w:ascii="Arial" w:hAnsi="Arial" w:cs="Arial"/>
                <w:color w:val="156082" w:themeColor="accent1"/>
                <w:sz w:val="20"/>
                <w:szCs w:val="20"/>
                <w:vertAlign w:val="superscript"/>
              </w:rPr>
              <w:t>4</w:t>
            </w:r>
            <w:r w:rsidR="0057192D">
              <w:rPr>
                <w:rFonts w:ascii="Arial" w:hAnsi="Arial" w:cs="Arial"/>
                <w:color w:val="156082" w:themeColor="accent1"/>
                <w:sz w:val="20"/>
                <w:szCs w:val="20"/>
                <w:vertAlign w:val="superscript"/>
              </w:rPr>
              <w:t>1</w:t>
            </w:r>
          </w:p>
        </w:tc>
        <w:tc>
          <w:tcPr>
            <w:tcW w:w="7546" w:type="dxa"/>
            <w:tcBorders>
              <w:top w:val="single" w:sz="4" w:space="0" w:color="auto"/>
              <w:bottom w:val="single" w:sz="4" w:space="0" w:color="auto"/>
            </w:tcBorders>
          </w:tcPr>
          <w:p w14:paraId="2D2FAE4C" w14:textId="7BF0120F"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PHQ-9 consists of nine items assessing depressive symptoms according to DSM-IV criteria. Each item is scored from 0 to 3, yielding a total score ranging from 0 to 27. The Brazilian Portuguese version demonstrated adequate criterion validity for screening major depression symptoms, with a cut-off score of ≥9 showing 77.5% sensitivity, 86.7% specificity, and an area under the ROC curve of 0.86</w:t>
            </w:r>
            <w:r w:rsidRPr="00AE4070">
              <w:rPr>
                <w:rFonts w:ascii="Arial" w:hAnsi="Arial" w:cs="Arial"/>
                <w:color w:val="0F9ED5" w:themeColor="accent4"/>
                <w:sz w:val="20"/>
                <w:szCs w:val="20"/>
                <w:vertAlign w:val="superscript"/>
              </w:rPr>
              <w:t>44</w:t>
            </w:r>
            <w:r w:rsidRPr="00AE4070">
              <w:rPr>
                <w:rFonts w:ascii="Arial" w:hAnsi="Arial" w:cs="Arial"/>
                <w:color w:val="000000" w:themeColor="text1"/>
                <w:sz w:val="20"/>
                <w:szCs w:val="20"/>
              </w:rPr>
              <w:t>.</w:t>
            </w:r>
          </w:p>
        </w:tc>
      </w:tr>
      <w:tr w:rsidR="006F6726" w:rsidRPr="00AE4070" w14:paraId="3D14FEE9" w14:textId="77777777" w:rsidTr="001B09F7">
        <w:trPr>
          <w:jc w:val="center"/>
        </w:trPr>
        <w:tc>
          <w:tcPr>
            <w:tcW w:w="2372" w:type="dxa"/>
            <w:tcBorders>
              <w:top w:val="single" w:sz="4" w:space="0" w:color="auto"/>
              <w:bottom w:val="single" w:sz="4" w:space="0" w:color="auto"/>
            </w:tcBorders>
          </w:tcPr>
          <w:p w14:paraId="08E336DB" w14:textId="0A2BAF29" w:rsidR="006F6726" w:rsidRPr="00AE4070" w:rsidRDefault="006F6726" w:rsidP="00AE4070">
            <w:pPr>
              <w:spacing w:line="240" w:lineRule="auto"/>
              <w:rPr>
                <w:rFonts w:ascii="Arial" w:hAnsi="Arial" w:cs="Arial"/>
                <w:sz w:val="20"/>
                <w:szCs w:val="20"/>
              </w:rPr>
            </w:pPr>
            <w:r w:rsidRPr="00AE4070">
              <w:rPr>
                <w:rFonts w:ascii="Arial" w:hAnsi="Arial" w:cs="Arial"/>
                <w:color w:val="000000" w:themeColor="text1"/>
                <w:sz w:val="20"/>
                <w:szCs w:val="20"/>
              </w:rPr>
              <w:t>The</w:t>
            </w:r>
            <w:r w:rsidRPr="00AE4070">
              <w:rPr>
                <w:rFonts w:ascii="Arial" w:hAnsi="Arial" w:cs="Arial"/>
                <w:i/>
                <w:color w:val="000000" w:themeColor="text1"/>
                <w:sz w:val="20"/>
                <w:szCs w:val="20"/>
              </w:rPr>
              <w:t xml:space="preserve"> </w:t>
            </w:r>
            <w:bookmarkStart w:id="10" w:name="_Hlk204594916"/>
            <w:r w:rsidRPr="00AE4070">
              <w:rPr>
                <w:rFonts w:ascii="Arial" w:hAnsi="Arial" w:cs="Arial"/>
                <w:iCs/>
                <w:color w:val="000000" w:themeColor="text1"/>
                <w:sz w:val="20"/>
                <w:szCs w:val="20"/>
              </w:rPr>
              <w:t>Generalized Anxiety Disorder-7</w:t>
            </w:r>
            <w:r w:rsidRPr="00AE4070">
              <w:rPr>
                <w:rFonts w:ascii="Arial" w:hAnsi="Arial" w:cs="Arial"/>
                <w:color w:val="000000" w:themeColor="text1"/>
                <w:sz w:val="20"/>
                <w:szCs w:val="20"/>
              </w:rPr>
              <w:t xml:space="preserve"> </w:t>
            </w:r>
            <w:bookmarkEnd w:id="10"/>
            <w:r w:rsidRPr="00AE4070">
              <w:rPr>
                <w:rFonts w:ascii="Arial" w:hAnsi="Arial" w:cs="Arial"/>
                <w:color w:val="000000" w:themeColor="text1"/>
                <w:sz w:val="20"/>
                <w:szCs w:val="20"/>
              </w:rPr>
              <w:t>(</w:t>
            </w:r>
            <w:bookmarkStart w:id="11" w:name="_Hlk204594910"/>
            <w:r w:rsidRPr="00AE4070">
              <w:rPr>
                <w:rFonts w:ascii="Arial" w:hAnsi="Arial" w:cs="Arial"/>
                <w:color w:val="000000" w:themeColor="text1"/>
                <w:sz w:val="20"/>
                <w:szCs w:val="20"/>
              </w:rPr>
              <w:t>GAD-7</w:t>
            </w:r>
            <w:bookmarkEnd w:id="11"/>
            <w:r w:rsidRPr="00AE4070">
              <w:rPr>
                <w:rFonts w:ascii="Arial" w:hAnsi="Arial" w:cs="Arial"/>
                <w:color w:val="000000" w:themeColor="text1"/>
                <w:sz w:val="20"/>
                <w:szCs w:val="20"/>
              </w:rPr>
              <w:t>)</w:t>
            </w:r>
            <w:r w:rsidRPr="00AE4070">
              <w:rPr>
                <w:rFonts w:ascii="Arial" w:hAnsi="Arial" w:cs="Arial"/>
                <w:color w:val="156082" w:themeColor="accent1"/>
                <w:sz w:val="20"/>
                <w:szCs w:val="20"/>
                <w:vertAlign w:val="superscript"/>
              </w:rPr>
              <w:t xml:space="preserve"> 4</w:t>
            </w:r>
            <w:r w:rsidR="0057192D">
              <w:rPr>
                <w:rFonts w:ascii="Arial" w:hAnsi="Arial" w:cs="Arial"/>
                <w:color w:val="156082" w:themeColor="accent1"/>
                <w:sz w:val="20"/>
                <w:szCs w:val="20"/>
                <w:vertAlign w:val="superscript"/>
              </w:rPr>
              <w:t>2</w:t>
            </w:r>
          </w:p>
        </w:tc>
        <w:tc>
          <w:tcPr>
            <w:tcW w:w="7546" w:type="dxa"/>
            <w:tcBorders>
              <w:top w:val="single" w:sz="4" w:space="0" w:color="auto"/>
              <w:bottom w:val="single" w:sz="4" w:space="0" w:color="auto"/>
            </w:tcBorders>
          </w:tcPr>
          <w:p w14:paraId="0FBC1241" w14:textId="2B1F6E72" w:rsidR="006F6726" w:rsidRPr="00AE4070" w:rsidRDefault="006F6726" w:rsidP="00AE4070">
            <w:pPr>
              <w:spacing w:after="0" w:line="240" w:lineRule="auto"/>
              <w:jc w:val="both"/>
              <w:rPr>
                <w:rFonts w:ascii="Arial" w:hAnsi="Arial" w:cs="Arial"/>
                <w:color w:val="000000" w:themeColor="text1"/>
                <w:sz w:val="20"/>
                <w:szCs w:val="20"/>
              </w:rPr>
            </w:pPr>
            <w:r w:rsidRPr="00AE4070">
              <w:rPr>
                <w:rFonts w:ascii="Arial" w:hAnsi="Arial" w:cs="Arial"/>
                <w:color w:val="000000" w:themeColor="text1"/>
                <w:sz w:val="20"/>
                <w:szCs w:val="20"/>
              </w:rPr>
              <w:t>GAD-7 is a seven-item self-report questionnaire used to assess symptoms of generalized anxiety disorder</w:t>
            </w:r>
            <w:r w:rsidRPr="00AE4070">
              <w:rPr>
                <w:rFonts w:ascii="Arial" w:hAnsi="Arial" w:cs="Arial"/>
                <w:color w:val="0F9ED5" w:themeColor="accent4"/>
                <w:sz w:val="20"/>
                <w:szCs w:val="20"/>
                <w:vertAlign w:val="superscript"/>
              </w:rPr>
              <w:t>45</w:t>
            </w:r>
            <w:r w:rsidRPr="00AE4070">
              <w:rPr>
                <w:rFonts w:ascii="Arial" w:hAnsi="Arial" w:cs="Arial"/>
                <w:color w:val="000000" w:themeColor="text1"/>
                <w:sz w:val="20"/>
                <w:szCs w:val="20"/>
              </w:rPr>
              <w:t>. Scores range from 0 to 21, with higher scores indicating greater anxiety symptom severity. The Brazilian Portuguese version showed a unidimensional model based on confirmatory factor analysis, acceptable internal consistency (Cronbach's α = 0.916), and composite reliability (ρ = 0.909)</w:t>
            </w:r>
            <w:r w:rsidRPr="00AE4070">
              <w:rPr>
                <w:rFonts w:ascii="Arial" w:hAnsi="Arial" w:cs="Arial"/>
                <w:color w:val="0F9ED5" w:themeColor="accent4"/>
                <w:sz w:val="20"/>
                <w:szCs w:val="20"/>
                <w:vertAlign w:val="superscript"/>
              </w:rPr>
              <w:t>46</w:t>
            </w:r>
            <w:r w:rsidRPr="00AE4070">
              <w:rPr>
                <w:rFonts w:ascii="Arial" w:hAnsi="Arial" w:cs="Arial"/>
                <w:color w:val="000000" w:themeColor="text1"/>
                <w:sz w:val="20"/>
                <w:szCs w:val="20"/>
              </w:rPr>
              <w:t>.</w:t>
            </w:r>
          </w:p>
        </w:tc>
      </w:tr>
    </w:tbl>
    <w:p w14:paraId="2F5F4963" w14:textId="77777777" w:rsidR="0054554E" w:rsidRPr="00AE4070" w:rsidRDefault="0054554E" w:rsidP="00AE4070">
      <w:pPr>
        <w:rPr>
          <w:rFonts w:ascii="Arial" w:hAnsi="Arial" w:cs="Arial"/>
          <w:sz w:val="20"/>
          <w:szCs w:val="20"/>
        </w:rPr>
      </w:pPr>
    </w:p>
    <w:p w14:paraId="63D16681" w14:textId="77777777" w:rsidR="006F6726" w:rsidRPr="00AE4070" w:rsidRDefault="006F6726" w:rsidP="00AE4070">
      <w:pPr>
        <w:rPr>
          <w:rFonts w:ascii="Arial" w:hAnsi="Arial" w:cs="Arial"/>
          <w:sz w:val="20"/>
          <w:szCs w:val="20"/>
        </w:rPr>
      </w:pPr>
    </w:p>
    <w:p w14:paraId="74AE1060" w14:textId="2CA32698" w:rsidR="009E18C7" w:rsidRPr="00AE4070" w:rsidRDefault="009E18C7" w:rsidP="00AE4070">
      <w:pPr>
        <w:jc w:val="both"/>
        <w:rPr>
          <w:rFonts w:ascii="Arial" w:hAnsi="Arial" w:cs="Arial"/>
          <w:b/>
          <w:bCs/>
          <w:sz w:val="20"/>
          <w:szCs w:val="20"/>
          <w:lang w:val="pt-BR"/>
        </w:rPr>
      </w:pPr>
      <w:proofErr w:type="spellStart"/>
      <w:r w:rsidRPr="00AE4070">
        <w:rPr>
          <w:rFonts w:ascii="Arial" w:hAnsi="Arial" w:cs="Arial"/>
          <w:b/>
          <w:bCs/>
          <w:sz w:val="20"/>
          <w:szCs w:val="20"/>
          <w:lang w:val="pt-BR"/>
        </w:rPr>
        <w:t>References</w:t>
      </w:r>
      <w:proofErr w:type="spellEnd"/>
    </w:p>
    <w:p w14:paraId="0C537BDA" w14:textId="77777777" w:rsidR="009E18C7" w:rsidRPr="00AE4070" w:rsidRDefault="009E18C7" w:rsidP="00AE4070">
      <w:pPr>
        <w:spacing w:after="0" w:line="240" w:lineRule="auto"/>
        <w:jc w:val="both"/>
        <w:rPr>
          <w:rFonts w:ascii="Arial" w:hAnsi="Arial" w:cs="Arial"/>
          <w:sz w:val="20"/>
          <w:szCs w:val="20"/>
          <w:lang w:val="pt-BR"/>
        </w:rPr>
      </w:pPr>
    </w:p>
    <w:p w14:paraId="79C324BF" w14:textId="0B494443" w:rsidR="009E18C7" w:rsidRPr="00AE4070" w:rsidRDefault="009E18C7" w:rsidP="00AE4070">
      <w:pPr>
        <w:spacing w:after="0" w:line="240" w:lineRule="auto"/>
        <w:jc w:val="both"/>
        <w:rPr>
          <w:rFonts w:ascii="Arial" w:hAnsi="Arial" w:cs="Arial"/>
          <w:color w:val="212121"/>
          <w:sz w:val="20"/>
          <w:szCs w:val="20"/>
          <w:shd w:val="clear" w:color="auto" w:fill="FFFFFF"/>
          <w:lang w:val="pt-BR"/>
        </w:rPr>
      </w:pPr>
      <w:r w:rsidRPr="00AE4070">
        <w:rPr>
          <w:rFonts w:ascii="Arial" w:hAnsi="Arial" w:cs="Arial"/>
          <w:color w:val="212121"/>
          <w:sz w:val="20"/>
          <w:szCs w:val="20"/>
          <w:shd w:val="clear" w:color="auto" w:fill="FFFFFF"/>
          <w:lang w:val="pt-BR"/>
        </w:rPr>
        <w:lastRenderedPageBreak/>
        <w:t>3</w:t>
      </w:r>
      <w:r w:rsidR="0057192D">
        <w:rPr>
          <w:rFonts w:ascii="Arial" w:hAnsi="Arial" w:cs="Arial"/>
          <w:color w:val="212121"/>
          <w:sz w:val="20"/>
          <w:szCs w:val="20"/>
          <w:shd w:val="clear" w:color="auto" w:fill="FFFFFF"/>
          <w:lang w:val="pt-BR"/>
        </w:rPr>
        <w:t>3</w:t>
      </w:r>
      <w:r w:rsidRPr="00AE4070">
        <w:rPr>
          <w:rFonts w:ascii="Arial" w:hAnsi="Arial" w:cs="Arial"/>
          <w:color w:val="212121"/>
          <w:sz w:val="20"/>
          <w:szCs w:val="20"/>
          <w:shd w:val="clear" w:color="auto" w:fill="FFFFFF"/>
          <w:lang w:val="pt-BR"/>
        </w:rPr>
        <w:t xml:space="preserve">. Costa LO, Maher CG, </w:t>
      </w:r>
      <w:proofErr w:type="spellStart"/>
      <w:r w:rsidRPr="00AE4070">
        <w:rPr>
          <w:rFonts w:ascii="Arial" w:hAnsi="Arial" w:cs="Arial"/>
          <w:color w:val="212121"/>
          <w:sz w:val="20"/>
          <w:szCs w:val="20"/>
          <w:shd w:val="clear" w:color="auto" w:fill="FFFFFF"/>
          <w:lang w:val="pt-BR"/>
        </w:rPr>
        <w:t>Latimer</w:t>
      </w:r>
      <w:proofErr w:type="spellEnd"/>
      <w:r w:rsidRPr="00AE4070">
        <w:rPr>
          <w:rFonts w:ascii="Arial" w:hAnsi="Arial" w:cs="Arial"/>
          <w:color w:val="212121"/>
          <w:sz w:val="20"/>
          <w:szCs w:val="20"/>
          <w:shd w:val="clear" w:color="auto" w:fill="FFFFFF"/>
          <w:lang w:val="pt-BR"/>
        </w:rPr>
        <w:t xml:space="preserve"> J, et al. </w:t>
      </w:r>
      <w:proofErr w:type="spellStart"/>
      <w:r w:rsidRPr="00AE4070">
        <w:rPr>
          <w:rFonts w:ascii="Arial" w:hAnsi="Arial" w:cs="Arial"/>
          <w:color w:val="212121"/>
          <w:sz w:val="20"/>
          <w:szCs w:val="20"/>
          <w:shd w:val="clear" w:color="auto" w:fill="FFFFFF"/>
        </w:rPr>
        <w:t>Clinimetric</w:t>
      </w:r>
      <w:proofErr w:type="spellEnd"/>
      <w:r w:rsidRPr="00AE4070">
        <w:rPr>
          <w:rFonts w:ascii="Arial" w:hAnsi="Arial" w:cs="Arial"/>
          <w:color w:val="212121"/>
          <w:sz w:val="20"/>
          <w:szCs w:val="20"/>
          <w:shd w:val="clear" w:color="auto" w:fill="FFFFFF"/>
        </w:rPr>
        <w:t xml:space="preserve"> testing of three self-report outcome measures for low back pain patients in Brazil: which one is the </w:t>
      </w:r>
      <w:proofErr w:type="gramStart"/>
      <w:r w:rsidRPr="00AE4070">
        <w:rPr>
          <w:rFonts w:ascii="Arial" w:hAnsi="Arial" w:cs="Arial"/>
          <w:color w:val="212121"/>
          <w:sz w:val="20"/>
          <w:szCs w:val="20"/>
          <w:shd w:val="clear" w:color="auto" w:fill="FFFFFF"/>
        </w:rPr>
        <w:t>best?.</w:t>
      </w:r>
      <w:proofErr w:type="gramEnd"/>
      <w:r w:rsidRPr="00AE4070">
        <w:rPr>
          <w:rFonts w:ascii="Arial" w:hAnsi="Arial" w:cs="Arial"/>
          <w:color w:val="212121"/>
          <w:sz w:val="20"/>
          <w:szCs w:val="20"/>
          <w:shd w:val="clear" w:color="auto" w:fill="FFFFFF"/>
        </w:rPr>
        <w:t> </w:t>
      </w:r>
      <w:proofErr w:type="spellStart"/>
      <w:r w:rsidRPr="00AE4070">
        <w:rPr>
          <w:rFonts w:ascii="Arial" w:hAnsi="Arial" w:cs="Arial"/>
          <w:i/>
          <w:iCs/>
          <w:color w:val="212121"/>
          <w:sz w:val="20"/>
          <w:szCs w:val="20"/>
          <w:shd w:val="clear" w:color="auto" w:fill="FFFFFF"/>
          <w:lang w:val="pt-BR"/>
        </w:rPr>
        <w:t>Spine</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Phila</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Pa</w:t>
      </w:r>
      <w:proofErr w:type="spellEnd"/>
      <w:r w:rsidRPr="00AE4070">
        <w:rPr>
          <w:rFonts w:ascii="Arial" w:hAnsi="Arial" w:cs="Arial"/>
          <w:i/>
          <w:iCs/>
          <w:color w:val="212121"/>
          <w:sz w:val="20"/>
          <w:szCs w:val="20"/>
          <w:shd w:val="clear" w:color="auto" w:fill="FFFFFF"/>
          <w:lang w:val="pt-BR"/>
        </w:rPr>
        <w:t xml:space="preserve"> 1976)</w:t>
      </w:r>
      <w:r w:rsidRPr="00AE4070">
        <w:rPr>
          <w:rFonts w:ascii="Arial" w:hAnsi="Arial" w:cs="Arial"/>
          <w:color w:val="212121"/>
          <w:sz w:val="20"/>
          <w:szCs w:val="20"/>
          <w:shd w:val="clear" w:color="auto" w:fill="FFFFFF"/>
          <w:lang w:val="pt-BR"/>
        </w:rPr>
        <w:t>. 2008;33(22):2459-2463. doi:10.1097/BRS.0b013e3181849dbe</w:t>
      </w:r>
    </w:p>
    <w:p w14:paraId="66451E27" w14:textId="77777777" w:rsidR="009E18C7" w:rsidRPr="00AE4070" w:rsidRDefault="009E18C7" w:rsidP="00AE4070">
      <w:pPr>
        <w:spacing w:after="0" w:line="240" w:lineRule="auto"/>
        <w:jc w:val="both"/>
        <w:rPr>
          <w:rFonts w:ascii="Arial" w:hAnsi="Arial" w:cs="Arial"/>
          <w:sz w:val="20"/>
          <w:szCs w:val="20"/>
          <w:lang w:val="pt-BR"/>
        </w:rPr>
      </w:pPr>
    </w:p>
    <w:p w14:paraId="04A29D8E" w14:textId="05872A73" w:rsidR="009E18C7" w:rsidRPr="00AE4070" w:rsidRDefault="009E18C7" w:rsidP="00AE4070">
      <w:pPr>
        <w:spacing w:after="0" w:line="240" w:lineRule="auto"/>
        <w:jc w:val="both"/>
        <w:rPr>
          <w:rFonts w:ascii="Arial" w:hAnsi="Arial" w:cs="Arial"/>
          <w:sz w:val="20"/>
          <w:szCs w:val="20"/>
          <w:lang w:val="pt-BR"/>
        </w:rPr>
      </w:pPr>
      <w:r w:rsidRPr="00AE4070">
        <w:rPr>
          <w:rFonts w:ascii="Arial" w:hAnsi="Arial" w:cs="Arial"/>
          <w:sz w:val="20"/>
          <w:szCs w:val="20"/>
          <w:lang w:val="pt-BR"/>
        </w:rPr>
        <w:t>3</w:t>
      </w:r>
      <w:r w:rsidR="0057192D">
        <w:rPr>
          <w:rFonts w:ascii="Arial" w:hAnsi="Arial" w:cs="Arial"/>
          <w:sz w:val="20"/>
          <w:szCs w:val="20"/>
          <w:lang w:val="pt-BR"/>
        </w:rPr>
        <w:t>4</w:t>
      </w:r>
      <w:r w:rsidRPr="00AE4070">
        <w:rPr>
          <w:rFonts w:ascii="Arial" w:hAnsi="Arial" w:cs="Arial"/>
          <w:sz w:val="20"/>
          <w:szCs w:val="20"/>
          <w:lang w:val="pt-BR"/>
        </w:rPr>
        <w:t xml:space="preserve">. Pimenta CAM, Cruz DALM. Crenças em dor crônica: validação do Inventário de Atitudes frente à Dor para a língua portuguesa. </w:t>
      </w:r>
      <w:proofErr w:type="spellStart"/>
      <w:r w:rsidRPr="00AE4070">
        <w:rPr>
          <w:rStyle w:val="nfase"/>
          <w:rFonts w:ascii="Arial" w:hAnsi="Arial" w:cs="Arial"/>
          <w:sz w:val="20"/>
          <w:szCs w:val="20"/>
          <w:lang w:val="pt-BR"/>
        </w:rPr>
        <w:t>Rev</w:t>
      </w:r>
      <w:proofErr w:type="spellEnd"/>
      <w:r w:rsidRPr="00AE4070">
        <w:rPr>
          <w:rStyle w:val="nfase"/>
          <w:rFonts w:ascii="Arial" w:hAnsi="Arial" w:cs="Arial"/>
          <w:sz w:val="20"/>
          <w:szCs w:val="20"/>
          <w:lang w:val="pt-BR"/>
        </w:rPr>
        <w:t xml:space="preserve"> </w:t>
      </w:r>
      <w:proofErr w:type="spellStart"/>
      <w:r w:rsidRPr="00AE4070">
        <w:rPr>
          <w:rStyle w:val="nfase"/>
          <w:rFonts w:ascii="Arial" w:hAnsi="Arial" w:cs="Arial"/>
          <w:sz w:val="20"/>
          <w:szCs w:val="20"/>
          <w:lang w:val="pt-BR"/>
        </w:rPr>
        <w:t>Esc</w:t>
      </w:r>
      <w:proofErr w:type="spellEnd"/>
      <w:r w:rsidRPr="00AE4070">
        <w:rPr>
          <w:rStyle w:val="nfase"/>
          <w:rFonts w:ascii="Arial" w:hAnsi="Arial" w:cs="Arial"/>
          <w:sz w:val="20"/>
          <w:szCs w:val="20"/>
          <w:lang w:val="pt-BR"/>
        </w:rPr>
        <w:t xml:space="preserve"> </w:t>
      </w:r>
      <w:proofErr w:type="spellStart"/>
      <w:r w:rsidRPr="00AE4070">
        <w:rPr>
          <w:rStyle w:val="nfase"/>
          <w:rFonts w:ascii="Arial" w:hAnsi="Arial" w:cs="Arial"/>
          <w:sz w:val="20"/>
          <w:szCs w:val="20"/>
          <w:lang w:val="pt-BR"/>
        </w:rPr>
        <w:t>Enferm</w:t>
      </w:r>
      <w:proofErr w:type="spellEnd"/>
      <w:r w:rsidRPr="00AE4070">
        <w:rPr>
          <w:rStyle w:val="nfase"/>
          <w:rFonts w:ascii="Arial" w:hAnsi="Arial" w:cs="Arial"/>
          <w:sz w:val="20"/>
          <w:szCs w:val="20"/>
          <w:lang w:val="pt-BR"/>
        </w:rPr>
        <w:t xml:space="preserve"> USP</w:t>
      </w:r>
      <w:r w:rsidRPr="00AE4070">
        <w:rPr>
          <w:rFonts w:ascii="Arial" w:hAnsi="Arial" w:cs="Arial"/>
          <w:sz w:val="20"/>
          <w:szCs w:val="20"/>
          <w:lang w:val="pt-BR"/>
        </w:rPr>
        <w:t xml:space="preserve">. </w:t>
      </w:r>
      <w:proofErr w:type="gramStart"/>
      <w:r w:rsidRPr="00AE4070">
        <w:rPr>
          <w:rFonts w:ascii="Arial" w:hAnsi="Arial" w:cs="Arial"/>
          <w:sz w:val="20"/>
          <w:szCs w:val="20"/>
          <w:lang w:val="pt-BR"/>
        </w:rPr>
        <w:t>2006;40:365</w:t>
      </w:r>
      <w:proofErr w:type="gramEnd"/>
      <w:r w:rsidRPr="00AE4070">
        <w:rPr>
          <w:rFonts w:ascii="Arial" w:hAnsi="Arial" w:cs="Arial"/>
          <w:sz w:val="20"/>
          <w:szCs w:val="20"/>
          <w:lang w:val="pt-BR"/>
        </w:rPr>
        <w:t>-373.</w:t>
      </w:r>
    </w:p>
    <w:p w14:paraId="6D830CD3" w14:textId="77777777" w:rsidR="009E18C7" w:rsidRPr="00AE4070" w:rsidRDefault="009E18C7" w:rsidP="00AE4070">
      <w:pPr>
        <w:spacing w:after="0" w:line="240" w:lineRule="auto"/>
        <w:jc w:val="both"/>
        <w:rPr>
          <w:rFonts w:ascii="Arial" w:hAnsi="Arial" w:cs="Arial"/>
          <w:sz w:val="20"/>
          <w:szCs w:val="20"/>
          <w:lang w:val="pt-BR"/>
        </w:rPr>
      </w:pPr>
    </w:p>
    <w:p w14:paraId="578FFC5A" w14:textId="5F4A287F" w:rsidR="009E18C7" w:rsidRPr="00AE4070" w:rsidRDefault="009E18C7" w:rsidP="00AE4070">
      <w:pPr>
        <w:spacing w:after="0" w:line="240" w:lineRule="auto"/>
        <w:jc w:val="both"/>
        <w:rPr>
          <w:rFonts w:ascii="Arial" w:hAnsi="Arial" w:cs="Arial"/>
          <w:color w:val="212121"/>
          <w:sz w:val="20"/>
          <w:szCs w:val="20"/>
          <w:shd w:val="clear" w:color="auto" w:fill="FFFFFF"/>
          <w:lang w:val="pt-BR"/>
        </w:rPr>
      </w:pPr>
      <w:r w:rsidRPr="00AE4070">
        <w:rPr>
          <w:rFonts w:ascii="Arial" w:hAnsi="Arial" w:cs="Arial"/>
          <w:color w:val="212121"/>
          <w:sz w:val="20"/>
          <w:szCs w:val="20"/>
          <w:shd w:val="clear" w:color="auto" w:fill="FFFFFF"/>
          <w:lang w:val="pt-BR"/>
        </w:rPr>
        <w:t>3</w:t>
      </w:r>
      <w:r w:rsidR="0057192D">
        <w:rPr>
          <w:rFonts w:ascii="Arial" w:hAnsi="Arial" w:cs="Arial"/>
          <w:color w:val="212121"/>
          <w:sz w:val="20"/>
          <w:szCs w:val="20"/>
          <w:shd w:val="clear" w:color="auto" w:fill="FFFFFF"/>
          <w:lang w:val="pt-BR"/>
        </w:rPr>
        <w:t>5</w:t>
      </w:r>
      <w:r w:rsidRPr="00AE4070">
        <w:rPr>
          <w:rFonts w:ascii="Arial" w:hAnsi="Arial" w:cs="Arial"/>
          <w:color w:val="212121"/>
          <w:sz w:val="20"/>
          <w:szCs w:val="20"/>
          <w:shd w:val="clear" w:color="auto" w:fill="FFFFFF"/>
          <w:lang w:val="pt-BR"/>
        </w:rPr>
        <w:t xml:space="preserve">. </w:t>
      </w:r>
      <w:proofErr w:type="spellStart"/>
      <w:r w:rsidRPr="00AE4070">
        <w:rPr>
          <w:rFonts w:ascii="Arial" w:hAnsi="Arial" w:cs="Arial"/>
          <w:color w:val="212121"/>
          <w:sz w:val="20"/>
          <w:szCs w:val="20"/>
          <w:shd w:val="clear" w:color="auto" w:fill="FFFFFF"/>
          <w:lang w:val="pt-BR"/>
        </w:rPr>
        <w:t>Vigatto</w:t>
      </w:r>
      <w:proofErr w:type="spellEnd"/>
      <w:r w:rsidRPr="00AE4070">
        <w:rPr>
          <w:rFonts w:ascii="Arial" w:hAnsi="Arial" w:cs="Arial"/>
          <w:color w:val="212121"/>
          <w:sz w:val="20"/>
          <w:szCs w:val="20"/>
          <w:shd w:val="clear" w:color="auto" w:fill="FFFFFF"/>
          <w:lang w:val="pt-BR"/>
        </w:rPr>
        <w:t xml:space="preserve"> R, Alexandre NM, Correa Filho HR. </w:t>
      </w:r>
      <w:r w:rsidRPr="00AE4070">
        <w:rPr>
          <w:rFonts w:ascii="Arial" w:hAnsi="Arial" w:cs="Arial"/>
          <w:color w:val="212121"/>
          <w:sz w:val="20"/>
          <w:szCs w:val="20"/>
          <w:shd w:val="clear" w:color="auto" w:fill="FFFFFF"/>
        </w:rPr>
        <w:t>Development of a Brazilian Portuguese version of the Oswestry Disability Index: cross-cultural adaptation, reliability, and validity. </w:t>
      </w:r>
      <w:proofErr w:type="spellStart"/>
      <w:r w:rsidRPr="00AE4070">
        <w:rPr>
          <w:rFonts w:ascii="Arial" w:hAnsi="Arial" w:cs="Arial"/>
          <w:i/>
          <w:iCs/>
          <w:color w:val="212121"/>
          <w:sz w:val="20"/>
          <w:szCs w:val="20"/>
          <w:shd w:val="clear" w:color="auto" w:fill="FFFFFF"/>
          <w:lang w:val="pt-BR"/>
        </w:rPr>
        <w:t>Spine</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Phila</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Pa</w:t>
      </w:r>
      <w:proofErr w:type="spellEnd"/>
      <w:r w:rsidRPr="00AE4070">
        <w:rPr>
          <w:rFonts w:ascii="Arial" w:hAnsi="Arial" w:cs="Arial"/>
          <w:i/>
          <w:iCs/>
          <w:color w:val="212121"/>
          <w:sz w:val="20"/>
          <w:szCs w:val="20"/>
          <w:shd w:val="clear" w:color="auto" w:fill="FFFFFF"/>
          <w:lang w:val="pt-BR"/>
        </w:rPr>
        <w:t xml:space="preserve"> 1976)</w:t>
      </w:r>
      <w:r w:rsidRPr="00AE4070">
        <w:rPr>
          <w:rFonts w:ascii="Arial" w:hAnsi="Arial" w:cs="Arial"/>
          <w:color w:val="212121"/>
          <w:sz w:val="20"/>
          <w:szCs w:val="20"/>
          <w:shd w:val="clear" w:color="auto" w:fill="FFFFFF"/>
          <w:lang w:val="pt-BR"/>
        </w:rPr>
        <w:t>. 2007;32(4):481-486. doi:10.1097/01.brs.0000255075.11496.47</w:t>
      </w:r>
    </w:p>
    <w:p w14:paraId="49D0F2B8" w14:textId="77777777" w:rsidR="009E18C7" w:rsidRPr="00AE4070" w:rsidRDefault="009E18C7" w:rsidP="00AE4070">
      <w:pPr>
        <w:spacing w:after="0" w:line="240" w:lineRule="auto"/>
        <w:jc w:val="both"/>
        <w:rPr>
          <w:rFonts w:ascii="Arial" w:hAnsi="Arial" w:cs="Arial"/>
          <w:sz w:val="20"/>
          <w:szCs w:val="20"/>
          <w:lang w:val="pt-BR"/>
        </w:rPr>
      </w:pPr>
    </w:p>
    <w:p w14:paraId="6FFC5781" w14:textId="1D1BE8E5" w:rsidR="009E18C7" w:rsidRPr="00AE4070" w:rsidRDefault="009E18C7" w:rsidP="00AE4070">
      <w:pPr>
        <w:spacing w:after="0" w:line="240" w:lineRule="auto"/>
        <w:jc w:val="both"/>
        <w:rPr>
          <w:rFonts w:ascii="Arial" w:hAnsi="Arial" w:cs="Arial"/>
          <w:color w:val="212121"/>
          <w:sz w:val="20"/>
          <w:szCs w:val="20"/>
          <w:shd w:val="clear" w:color="auto" w:fill="FFFFFF"/>
          <w:lang w:val="pt-BR"/>
        </w:rPr>
      </w:pPr>
      <w:bookmarkStart w:id="12" w:name="_Hlk220318261"/>
      <w:r w:rsidRPr="00AE4070">
        <w:rPr>
          <w:rFonts w:ascii="Arial" w:hAnsi="Arial" w:cs="Arial"/>
          <w:color w:val="212121"/>
          <w:sz w:val="20"/>
          <w:szCs w:val="20"/>
          <w:shd w:val="clear" w:color="auto" w:fill="FFFFFF"/>
          <w:lang w:val="pt-BR"/>
        </w:rPr>
        <w:t>3</w:t>
      </w:r>
      <w:r w:rsidR="0057192D">
        <w:rPr>
          <w:rFonts w:ascii="Arial" w:hAnsi="Arial" w:cs="Arial"/>
          <w:color w:val="212121"/>
          <w:sz w:val="20"/>
          <w:szCs w:val="20"/>
          <w:shd w:val="clear" w:color="auto" w:fill="FFFFFF"/>
          <w:lang w:val="pt-BR"/>
        </w:rPr>
        <w:t>6</w:t>
      </w:r>
      <w:r w:rsidRPr="00AE4070">
        <w:rPr>
          <w:rFonts w:ascii="Arial" w:hAnsi="Arial" w:cs="Arial"/>
          <w:color w:val="212121"/>
          <w:sz w:val="20"/>
          <w:szCs w:val="20"/>
          <w:shd w:val="clear" w:color="auto" w:fill="FFFFFF"/>
          <w:lang w:val="pt-BR"/>
        </w:rPr>
        <w:t xml:space="preserve">. Pontes-Silva A, Avila MA, Penha TFC, Gomes CAFP, </w:t>
      </w:r>
      <w:proofErr w:type="spellStart"/>
      <w:r w:rsidRPr="00AE4070">
        <w:rPr>
          <w:rFonts w:ascii="Arial" w:hAnsi="Arial" w:cs="Arial"/>
          <w:color w:val="212121"/>
          <w:sz w:val="20"/>
          <w:szCs w:val="20"/>
          <w:shd w:val="clear" w:color="auto" w:fill="FFFFFF"/>
          <w:lang w:val="pt-BR"/>
        </w:rPr>
        <w:t>Dibai</w:t>
      </w:r>
      <w:proofErr w:type="spellEnd"/>
      <w:r w:rsidRPr="00AE4070">
        <w:rPr>
          <w:rFonts w:ascii="Arial" w:hAnsi="Arial" w:cs="Arial"/>
          <w:color w:val="212121"/>
          <w:sz w:val="20"/>
          <w:szCs w:val="20"/>
          <w:shd w:val="clear" w:color="auto" w:fill="FFFFFF"/>
          <w:lang w:val="pt-BR"/>
        </w:rPr>
        <w:t xml:space="preserve">-Filho AV. </w:t>
      </w:r>
      <w:r w:rsidRPr="00AE4070">
        <w:rPr>
          <w:rFonts w:ascii="Arial" w:hAnsi="Arial" w:cs="Arial"/>
          <w:color w:val="212121"/>
          <w:sz w:val="20"/>
          <w:szCs w:val="20"/>
          <w:shd w:val="clear" w:color="auto" w:fill="FFFFFF"/>
        </w:rPr>
        <w:t>The internal structure of Brazilian versions of disability questionnaires in patients with chronic low back pain: A cross-sectional study. </w:t>
      </w:r>
      <w:proofErr w:type="spellStart"/>
      <w:r w:rsidRPr="00AE4070">
        <w:rPr>
          <w:rFonts w:ascii="Arial" w:hAnsi="Arial" w:cs="Arial"/>
          <w:i/>
          <w:iCs/>
          <w:color w:val="212121"/>
          <w:sz w:val="20"/>
          <w:szCs w:val="20"/>
          <w:shd w:val="clear" w:color="auto" w:fill="FFFFFF"/>
          <w:lang w:val="pt-BR"/>
        </w:rPr>
        <w:t>Musculoskelet</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Sci</w:t>
      </w:r>
      <w:proofErr w:type="spellEnd"/>
      <w:r w:rsidRPr="00AE4070">
        <w:rPr>
          <w:rFonts w:ascii="Arial" w:hAnsi="Arial" w:cs="Arial"/>
          <w:i/>
          <w:iCs/>
          <w:color w:val="212121"/>
          <w:sz w:val="20"/>
          <w:szCs w:val="20"/>
          <w:shd w:val="clear" w:color="auto" w:fill="FFFFFF"/>
          <w:lang w:val="pt-BR"/>
        </w:rPr>
        <w:t xml:space="preserve"> </w:t>
      </w:r>
      <w:proofErr w:type="spellStart"/>
      <w:r w:rsidRPr="00AE4070">
        <w:rPr>
          <w:rFonts w:ascii="Arial" w:hAnsi="Arial" w:cs="Arial"/>
          <w:i/>
          <w:iCs/>
          <w:color w:val="212121"/>
          <w:sz w:val="20"/>
          <w:szCs w:val="20"/>
          <w:shd w:val="clear" w:color="auto" w:fill="FFFFFF"/>
          <w:lang w:val="pt-BR"/>
        </w:rPr>
        <w:t>Pract</w:t>
      </w:r>
      <w:proofErr w:type="spellEnd"/>
      <w:r w:rsidRPr="00AE4070">
        <w:rPr>
          <w:rFonts w:ascii="Arial" w:hAnsi="Arial" w:cs="Arial"/>
          <w:color w:val="212121"/>
          <w:sz w:val="20"/>
          <w:szCs w:val="20"/>
          <w:shd w:val="clear" w:color="auto" w:fill="FFFFFF"/>
          <w:lang w:val="pt-BR"/>
        </w:rPr>
        <w:t xml:space="preserve">. </w:t>
      </w:r>
      <w:proofErr w:type="gramStart"/>
      <w:r w:rsidRPr="00AE4070">
        <w:rPr>
          <w:rFonts w:ascii="Arial" w:hAnsi="Arial" w:cs="Arial"/>
          <w:color w:val="212121"/>
          <w:sz w:val="20"/>
          <w:szCs w:val="20"/>
          <w:shd w:val="clear" w:color="auto" w:fill="FFFFFF"/>
          <w:lang w:val="pt-BR"/>
        </w:rPr>
        <w:t>2022;60:102587</w:t>
      </w:r>
      <w:proofErr w:type="gramEnd"/>
      <w:r w:rsidRPr="00AE4070">
        <w:rPr>
          <w:rFonts w:ascii="Arial" w:hAnsi="Arial" w:cs="Arial"/>
          <w:color w:val="212121"/>
          <w:sz w:val="20"/>
          <w:szCs w:val="20"/>
          <w:shd w:val="clear" w:color="auto" w:fill="FFFFFF"/>
          <w:lang w:val="pt-BR"/>
        </w:rPr>
        <w:t>. doi:10.1016/j.msksp.2022.102587</w:t>
      </w:r>
    </w:p>
    <w:p w14:paraId="60C72784" w14:textId="77777777" w:rsidR="009E18C7" w:rsidRPr="00AE4070" w:rsidRDefault="009E18C7" w:rsidP="00AE4070">
      <w:pPr>
        <w:spacing w:after="0" w:line="240" w:lineRule="auto"/>
        <w:jc w:val="both"/>
        <w:rPr>
          <w:rFonts w:ascii="Arial" w:hAnsi="Arial" w:cs="Arial"/>
          <w:sz w:val="20"/>
          <w:szCs w:val="20"/>
          <w:lang w:val="pt-BR"/>
        </w:rPr>
      </w:pPr>
    </w:p>
    <w:p w14:paraId="5343E944" w14:textId="066546DF" w:rsidR="009E18C7" w:rsidRPr="00AE4070" w:rsidRDefault="009E18C7" w:rsidP="00AE4070">
      <w:pPr>
        <w:spacing w:after="0" w:line="240" w:lineRule="auto"/>
        <w:jc w:val="both"/>
        <w:rPr>
          <w:rFonts w:ascii="Arial" w:hAnsi="Arial" w:cs="Arial"/>
          <w:sz w:val="20"/>
          <w:szCs w:val="20"/>
        </w:rPr>
      </w:pPr>
      <w:r w:rsidRPr="00AE4070">
        <w:rPr>
          <w:rFonts w:ascii="Arial" w:hAnsi="Arial" w:cs="Arial"/>
          <w:sz w:val="20"/>
          <w:szCs w:val="20"/>
          <w:lang w:val="pt-BR"/>
        </w:rPr>
        <w:t>3</w:t>
      </w:r>
      <w:r w:rsidR="0057192D">
        <w:rPr>
          <w:rFonts w:ascii="Arial" w:hAnsi="Arial" w:cs="Arial"/>
          <w:sz w:val="20"/>
          <w:szCs w:val="20"/>
          <w:lang w:val="pt-BR"/>
        </w:rPr>
        <w:t>7</w:t>
      </w:r>
      <w:r w:rsidRPr="00AE4070">
        <w:rPr>
          <w:rFonts w:ascii="Arial" w:hAnsi="Arial" w:cs="Arial"/>
          <w:sz w:val="20"/>
          <w:szCs w:val="20"/>
          <w:lang w:val="pt-BR"/>
        </w:rPr>
        <w:t>. Siqueira FB, Teixeira-</w:t>
      </w:r>
      <w:proofErr w:type="spellStart"/>
      <w:r w:rsidRPr="00AE4070">
        <w:rPr>
          <w:rFonts w:ascii="Arial" w:hAnsi="Arial" w:cs="Arial"/>
          <w:sz w:val="20"/>
          <w:szCs w:val="20"/>
          <w:lang w:val="pt-BR"/>
        </w:rPr>
        <w:t>Salmela</w:t>
      </w:r>
      <w:proofErr w:type="spellEnd"/>
      <w:r w:rsidRPr="00AE4070">
        <w:rPr>
          <w:rFonts w:ascii="Arial" w:hAnsi="Arial" w:cs="Arial"/>
          <w:sz w:val="20"/>
          <w:szCs w:val="20"/>
          <w:lang w:val="pt-BR"/>
        </w:rPr>
        <w:t xml:space="preserve"> LF, Magalhães LC. Análise das propriedades psicométricas da versão brasileira da escala Tampa de </w:t>
      </w:r>
      <w:proofErr w:type="spellStart"/>
      <w:r w:rsidRPr="00AE4070">
        <w:rPr>
          <w:rFonts w:ascii="Arial" w:hAnsi="Arial" w:cs="Arial"/>
          <w:sz w:val="20"/>
          <w:szCs w:val="20"/>
          <w:lang w:val="pt-BR"/>
        </w:rPr>
        <w:t>cinesiofobia</w:t>
      </w:r>
      <w:proofErr w:type="spellEnd"/>
      <w:r w:rsidRPr="00AE4070">
        <w:rPr>
          <w:rFonts w:ascii="Arial" w:hAnsi="Arial" w:cs="Arial"/>
          <w:sz w:val="20"/>
          <w:szCs w:val="20"/>
          <w:lang w:val="pt-BR"/>
        </w:rPr>
        <w:t xml:space="preserve">. </w:t>
      </w:r>
      <w:r w:rsidRPr="00AE4070">
        <w:rPr>
          <w:rStyle w:val="nfase"/>
          <w:rFonts w:ascii="Arial" w:hAnsi="Arial" w:cs="Arial"/>
          <w:sz w:val="20"/>
          <w:szCs w:val="20"/>
        </w:rPr>
        <w:t xml:space="preserve">Acta </w:t>
      </w:r>
      <w:proofErr w:type="spellStart"/>
      <w:r w:rsidRPr="00AE4070">
        <w:rPr>
          <w:rStyle w:val="nfase"/>
          <w:rFonts w:ascii="Arial" w:hAnsi="Arial" w:cs="Arial"/>
          <w:sz w:val="20"/>
          <w:szCs w:val="20"/>
        </w:rPr>
        <w:t>Ortop</w:t>
      </w:r>
      <w:proofErr w:type="spellEnd"/>
      <w:r w:rsidRPr="00AE4070">
        <w:rPr>
          <w:rStyle w:val="nfase"/>
          <w:rFonts w:ascii="Arial" w:hAnsi="Arial" w:cs="Arial"/>
          <w:sz w:val="20"/>
          <w:szCs w:val="20"/>
        </w:rPr>
        <w:t xml:space="preserve"> Bras</w:t>
      </w:r>
      <w:r w:rsidRPr="00AE4070">
        <w:rPr>
          <w:rFonts w:ascii="Arial" w:hAnsi="Arial" w:cs="Arial"/>
          <w:sz w:val="20"/>
          <w:szCs w:val="20"/>
        </w:rPr>
        <w:t xml:space="preserve">. </w:t>
      </w:r>
      <w:proofErr w:type="gramStart"/>
      <w:r w:rsidRPr="00AE4070">
        <w:rPr>
          <w:rFonts w:ascii="Arial" w:hAnsi="Arial" w:cs="Arial"/>
          <w:sz w:val="20"/>
          <w:szCs w:val="20"/>
        </w:rPr>
        <w:t>2007;15:19</w:t>
      </w:r>
      <w:proofErr w:type="gramEnd"/>
      <w:r w:rsidRPr="00AE4070">
        <w:rPr>
          <w:rFonts w:ascii="Arial" w:hAnsi="Arial" w:cs="Arial"/>
          <w:sz w:val="20"/>
          <w:szCs w:val="20"/>
        </w:rPr>
        <w:t>-24.</w:t>
      </w:r>
    </w:p>
    <w:p w14:paraId="2316E0B1" w14:textId="77777777" w:rsidR="009E18C7" w:rsidRPr="00AE4070" w:rsidRDefault="009E18C7" w:rsidP="00AE4070">
      <w:pPr>
        <w:spacing w:after="0" w:line="240" w:lineRule="auto"/>
        <w:jc w:val="both"/>
        <w:rPr>
          <w:rFonts w:ascii="Arial" w:hAnsi="Arial" w:cs="Arial"/>
          <w:sz w:val="20"/>
          <w:szCs w:val="20"/>
        </w:rPr>
      </w:pPr>
    </w:p>
    <w:p w14:paraId="3FB6BD85" w14:textId="55899FF9" w:rsidR="009E18C7" w:rsidRPr="00AE4070" w:rsidRDefault="009E18C7" w:rsidP="00AE4070">
      <w:pPr>
        <w:spacing w:after="0" w:line="240" w:lineRule="auto"/>
        <w:jc w:val="both"/>
        <w:rPr>
          <w:rFonts w:ascii="Arial" w:hAnsi="Arial" w:cs="Arial"/>
          <w:sz w:val="20"/>
          <w:szCs w:val="20"/>
        </w:rPr>
      </w:pPr>
      <w:r w:rsidRPr="00AE4070">
        <w:rPr>
          <w:rFonts w:ascii="Arial" w:hAnsi="Arial" w:cs="Arial"/>
          <w:sz w:val="20"/>
          <w:szCs w:val="20"/>
        </w:rPr>
        <w:t>3</w:t>
      </w:r>
      <w:r w:rsidR="0057192D">
        <w:rPr>
          <w:rFonts w:ascii="Arial" w:hAnsi="Arial" w:cs="Arial"/>
          <w:sz w:val="20"/>
          <w:szCs w:val="20"/>
        </w:rPr>
        <w:t>8</w:t>
      </w:r>
      <w:r w:rsidRPr="00AE4070">
        <w:rPr>
          <w:rFonts w:ascii="Arial" w:hAnsi="Arial" w:cs="Arial"/>
          <w:sz w:val="20"/>
          <w:szCs w:val="20"/>
        </w:rPr>
        <w:t xml:space="preserve">. </w:t>
      </w:r>
      <w:proofErr w:type="spellStart"/>
      <w:r w:rsidRPr="00AE4070">
        <w:rPr>
          <w:rFonts w:ascii="Arial" w:hAnsi="Arial" w:cs="Arial"/>
          <w:sz w:val="20"/>
          <w:szCs w:val="20"/>
        </w:rPr>
        <w:t>Sardá</w:t>
      </w:r>
      <w:proofErr w:type="spellEnd"/>
      <w:r w:rsidRPr="00AE4070">
        <w:rPr>
          <w:rFonts w:ascii="Arial" w:hAnsi="Arial" w:cs="Arial"/>
          <w:sz w:val="20"/>
          <w:szCs w:val="20"/>
        </w:rPr>
        <w:t xml:space="preserve"> J, Nicholas MK, Pimenta CAM, Asghari A. Pain-related self-efficacy beliefs in a Brazilian chronic pain patient sample: a psychometric analysis. </w:t>
      </w:r>
      <w:r w:rsidRPr="00AE4070">
        <w:rPr>
          <w:rStyle w:val="nfase"/>
          <w:rFonts w:ascii="Arial" w:hAnsi="Arial" w:cs="Arial"/>
          <w:sz w:val="20"/>
          <w:szCs w:val="20"/>
        </w:rPr>
        <w:t>Stress Health</w:t>
      </w:r>
      <w:r w:rsidRPr="00AE4070">
        <w:rPr>
          <w:rFonts w:ascii="Arial" w:hAnsi="Arial" w:cs="Arial"/>
          <w:sz w:val="20"/>
          <w:szCs w:val="20"/>
        </w:rPr>
        <w:t>. 2007;23(3):185-190.</w:t>
      </w:r>
    </w:p>
    <w:p w14:paraId="60915B46" w14:textId="77777777" w:rsidR="009E18C7" w:rsidRPr="00AE4070" w:rsidRDefault="009E18C7" w:rsidP="00AE4070">
      <w:pPr>
        <w:spacing w:after="0" w:line="240" w:lineRule="auto"/>
        <w:jc w:val="both"/>
        <w:rPr>
          <w:rFonts w:ascii="Arial" w:hAnsi="Arial" w:cs="Arial"/>
          <w:sz w:val="20"/>
          <w:szCs w:val="20"/>
        </w:rPr>
      </w:pPr>
    </w:p>
    <w:p w14:paraId="436782F7" w14:textId="13C0A7B8" w:rsidR="009E18C7" w:rsidRPr="00AE4070" w:rsidRDefault="00965174" w:rsidP="00AE4070">
      <w:pPr>
        <w:spacing w:after="0" w:line="240" w:lineRule="auto"/>
        <w:jc w:val="both"/>
        <w:rPr>
          <w:rFonts w:ascii="Arial" w:hAnsi="Arial" w:cs="Arial"/>
          <w:color w:val="212121"/>
          <w:sz w:val="20"/>
          <w:szCs w:val="20"/>
          <w:shd w:val="clear" w:color="auto" w:fill="FFFFFF"/>
          <w:lang w:val="pt-BR"/>
        </w:rPr>
      </w:pPr>
      <w:r w:rsidRPr="00AE4070">
        <w:rPr>
          <w:rFonts w:ascii="Arial" w:hAnsi="Arial" w:cs="Arial"/>
          <w:color w:val="212121"/>
          <w:sz w:val="20"/>
          <w:szCs w:val="20"/>
          <w:shd w:val="clear" w:color="auto" w:fill="FFFFFF"/>
        </w:rPr>
        <w:t>3</w:t>
      </w:r>
      <w:r w:rsidR="0057192D">
        <w:rPr>
          <w:rFonts w:ascii="Arial" w:hAnsi="Arial" w:cs="Arial"/>
          <w:color w:val="212121"/>
          <w:sz w:val="20"/>
          <w:szCs w:val="20"/>
          <w:shd w:val="clear" w:color="auto" w:fill="FFFFFF"/>
        </w:rPr>
        <w:t>9</w:t>
      </w:r>
      <w:r w:rsidR="009E18C7" w:rsidRPr="00AE4070">
        <w:rPr>
          <w:rFonts w:ascii="Arial" w:hAnsi="Arial" w:cs="Arial"/>
          <w:color w:val="212121"/>
          <w:sz w:val="20"/>
          <w:szCs w:val="20"/>
          <w:shd w:val="clear" w:color="auto" w:fill="FFFFFF"/>
        </w:rPr>
        <w:t xml:space="preserve">. Turci AM, </w:t>
      </w:r>
      <w:proofErr w:type="spellStart"/>
      <w:r w:rsidR="009E18C7" w:rsidRPr="00AE4070">
        <w:rPr>
          <w:rFonts w:ascii="Arial" w:hAnsi="Arial" w:cs="Arial"/>
          <w:color w:val="212121"/>
          <w:sz w:val="20"/>
          <w:szCs w:val="20"/>
          <w:shd w:val="clear" w:color="auto" w:fill="FFFFFF"/>
        </w:rPr>
        <w:t>Spavieri</w:t>
      </w:r>
      <w:proofErr w:type="spellEnd"/>
      <w:r w:rsidR="009E18C7" w:rsidRPr="00AE4070">
        <w:rPr>
          <w:rFonts w:ascii="Arial" w:hAnsi="Arial" w:cs="Arial"/>
          <w:color w:val="212121"/>
          <w:sz w:val="20"/>
          <w:szCs w:val="20"/>
          <w:shd w:val="clear" w:color="auto" w:fill="FFFFFF"/>
        </w:rPr>
        <w:t xml:space="preserve"> JHP, Lima TC, Silva APD, </w:t>
      </w:r>
      <w:proofErr w:type="spellStart"/>
      <w:r w:rsidR="009E18C7" w:rsidRPr="00AE4070">
        <w:rPr>
          <w:rFonts w:ascii="Arial" w:hAnsi="Arial" w:cs="Arial"/>
          <w:color w:val="212121"/>
          <w:sz w:val="20"/>
          <w:szCs w:val="20"/>
          <w:shd w:val="clear" w:color="auto" w:fill="FFFFFF"/>
        </w:rPr>
        <w:t>Cristofolletti</w:t>
      </w:r>
      <w:proofErr w:type="spellEnd"/>
      <w:r w:rsidR="009E18C7" w:rsidRPr="00AE4070">
        <w:rPr>
          <w:rFonts w:ascii="Arial" w:hAnsi="Arial" w:cs="Arial"/>
          <w:color w:val="212121"/>
          <w:sz w:val="20"/>
          <w:szCs w:val="20"/>
          <w:shd w:val="clear" w:color="auto" w:fill="FFFFFF"/>
        </w:rPr>
        <w:t xml:space="preserve"> A, Chaves TC. Which Scale to Assess Pain Self-</w:t>
      </w:r>
      <w:proofErr w:type="gramStart"/>
      <w:r w:rsidR="009E18C7" w:rsidRPr="00AE4070">
        <w:rPr>
          <w:rFonts w:ascii="Arial" w:hAnsi="Arial" w:cs="Arial"/>
          <w:color w:val="212121"/>
          <w:sz w:val="20"/>
          <w:szCs w:val="20"/>
          <w:shd w:val="clear" w:color="auto" w:fill="FFFFFF"/>
        </w:rPr>
        <w:t>efficacy</w:t>
      </w:r>
      <w:proofErr w:type="gramEnd"/>
      <w:r w:rsidR="009E18C7" w:rsidRPr="00AE4070">
        <w:rPr>
          <w:rFonts w:ascii="Arial" w:hAnsi="Arial" w:cs="Arial"/>
          <w:color w:val="212121"/>
          <w:sz w:val="20"/>
          <w:szCs w:val="20"/>
          <w:shd w:val="clear" w:color="auto" w:fill="FFFFFF"/>
        </w:rPr>
        <w:t xml:space="preserve"> Shows Better Measurement Properties in Chronic Low Back Pain? A Head-To-Head Comparison Study. </w:t>
      </w:r>
      <w:r w:rsidR="009E18C7" w:rsidRPr="00AE4070">
        <w:rPr>
          <w:rFonts w:ascii="Arial" w:hAnsi="Arial" w:cs="Arial"/>
          <w:i/>
          <w:iCs/>
          <w:color w:val="212121"/>
          <w:sz w:val="20"/>
          <w:szCs w:val="20"/>
          <w:shd w:val="clear" w:color="auto" w:fill="FFFFFF"/>
        </w:rPr>
        <w:t xml:space="preserve">Arch Phys Med </w:t>
      </w:r>
      <w:proofErr w:type="spellStart"/>
      <w:r w:rsidR="009E18C7" w:rsidRPr="00AE4070">
        <w:rPr>
          <w:rFonts w:ascii="Arial" w:hAnsi="Arial" w:cs="Arial"/>
          <w:i/>
          <w:iCs/>
          <w:color w:val="212121"/>
          <w:sz w:val="20"/>
          <w:szCs w:val="20"/>
          <w:shd w:val="clear" w:color="auto" w:fill="FFFFFF"/>
        </w:rPr>
        <w:t>Rehabil</w:t>
      </w:r>
      <w:proofErr w:type="spellEnd"/>
      <w:r w:rsidR="009E18C7" w:rsidRPr="00AE4070">
        <w:rPr>
          <w:rFonts w:ascii="Arial" w:hAnsi="Arial" w:cs="Arial"/>
          <w:color w:val="212121"/>
          <w:sz w:val="20"/>
          <w:szCs w:val="20"/>
          <w:shd w:val="clear" w:color="auto" w:fill="FFFFFF"/>
        </w:rPr>
        <w:t xml:space="preserve">. </w:t>
      </w:r>
      <w:r w:rsidR="009E18C7" w:rsidRPr="00AE4070">
        <w:rPr>
          <w:rFonts w:ascii="Arial" w:hAnsi="Arial" w:cs="Arial"/>
          <w:color w:val="212121"/>
          <w:sz w:val="20"/>
          <w:szCs w:val="20"/>
          <w:shd w:val="clear" w:color="auto" w:fill="FFFFFF"/>
          <w:lang w:val="pt-BR"/>
        </w:rPr>
        <w:t>2024;105(11):2077-2088. doi:10.1016/j.apmr.2024.05.014</w:t>
      </w:r>
    </w:p>
    <w:p w14:paraId="6523209B" w14:textId="77777777" w:rsidR="009E18C7" w:rsidRPr="00AE4070" w:rsidRDefault="009E18C7" w:rsidP="00AE4070">
      <w:pPr>
        <w:spacing w:after="0" w:line="240" w:lineRule="auto"/>
        <w:jc w:val="both"/>
        <w:rPr>
          <w:rFonts w:ascii="Arial" w:hAnsi="Arial" w:cs="Arial"/>
          <w:sz w:val="20"/>
          <w:szCs w:val="20"/>
          <w:lang w:val="pt-BR"/>
        </w:rPr>
      </w:pPr>
    </w:p>
    <w:p w14:paraId="0FA6C65C" w14:textId="1618A919" w:rsidR="009E18C7" w:rsidRPr="00AE4070" w:rsidRDefault="0057192D" w:rsidP="00AE4070">
      <w:pPr>
        <w:spacing w:after="0" w:line="240" w:lineRule="auto"/>
        <w:jc w:val="both"/>
        <w:rPr>
          <w:rFonts w:ascii="Arial" w:hAnsi="Arial" w:cs="Arial"/>
          <w:color w:val="212121"/>
          <w:sz w:val="20"/>
          <w:szCs w:val="20"/>
          <w:shd w:val="clear" w:color="auto" w:fill="FFFFFF"/>
        </w:rPr>
      </w:pPr>
      <w:r>
        <w:rPr>
          <w:rFonts w:ascii="Arial" w:hAnsi="Arial" w:cs="Arial"/>
          <w:color w:val="212121"/>
          <w:sz w:val="20"/>
          <w:szCs w:val="20"/>
          <w:shd w:val="clear" w:color="auto" w:fill="FFFFFF"/>
          <w:lang w:val="pt-BR"/>
        </w:rPr>
        <w:t>40</w:t>
      </w:r>
      <w:r w:rsidR="00FD2FA7" w:rsidRPr="00AE4070">
        <w:rPr>
          <w:rFonts w:ascii="Arial" w:hAnsi="Arial" w:cs="Arial"/>
          <w:color w:val="212121"/>
          <w:sz w:val="20"/>
          <w:szCs w:val="20"/>
          <w:shd w:val="clear" w:color="auto" w:fill="FFFFFF"/>
          <w:lang w:val="pt-BR"/>
        </w:rPr>
        <w:t>.</w:t>
      </w:r>
      <w:r w:rsidR="009E18C7" w:rsidRPr="00AE4070">
        <w:rPr>
          <w:rFonts w:ascii="Arial" w:hAnsi="Arial" w:cs="Arial"/>
          <w:color w:val="212121"/>
          <w:sz w:val="20"/>
          <w:szCs w:val="20"/>
          <w:shd w:val="clear" w:color="auto" w:fill="FFFFFF"/>
          <w:lang w:val="pt-BR"/>
        </w:rPr>
        <w:t xml:space="preserve"> Sehn F, </w:t>
      </w:r>
      <w:proofErr w:type="spellStart"/>
      <w:r w:rsidR="009E18C7" w:rsidRPr="00AE4070">
        <w:rPr>
          <w:rFonts w:ascii="Arial" w:hAnsi="Arial" w:cs="Arial"/>
          <w:color w:val="212121"/>
          <w:sz w:val="20"/>
          <w:szCs w:val="20"/>
          <w:shd w:val="clear" w:color="auto" w:fill="FFFFFF"/>
          <w:lang w:val="pt-BR"/>
        </w:rPr>
        <w:t>Chachamovich</w:t>
      </w:r>
      <w:proofErr w:type="spellEnd"/>
      <w:r w:rsidR="009E18C7" w:rsidRPr="00AE4070">
        <w:rPr>
          <w:rFonts w:ascii="Arial" w:hAnsi="Arial" w:cs="Arial"/>
          <w:color w:val="212121"/>
          <w:sz w:val="20"/>
          <w:szCs w:val="20"/>
          <w:shd w:val="clear" w:color="auto" w:fill="FFFFFF"/>
          <w:lang w:val="pt-BR"/>
        </w:rPr>
        <w:t xml:space="preserve"> E, Vidor LP, et al. </w:t>
      </w:r>
      <w:r w:rsidR="009E18C7" w:rsidRPr="00AE4070">
        <w:rPr>
          <w:rFonts w:ascii="Arial" w:hAnsi="Arial" w:cs="Arial"/>
          <w:color w:val="212121"/>
          <w:sz w:val="20"/>
          <w:szCs w:val="20"/>
          <w:shd w:val="clear" w:color="auto" w:fill="FFFFFF"/>
        </w:rPr>
        <w:t>Cross-cultural adaptation and validation of the Brazilian Portuguese version of the pain catastrophizing scale. </w:t>
      </w:r>
      <w:r w:rsidR="009E18C7" w:rsidRPr="00AE4070">
        <w:rPr>
          <w:rFonts w:ascii="Arial" w:hAnsi="Arial" w:cs="Arial"/>
          <w:i/>
          <w:iCs/>
          <w:color w:val="212121"/>
          <w:sz w:val="20"/>
          <w:szCs w:val="20"/>
          <w:shd w:val="clear" w:color="auto" w:fill="FFFFFF"/>
        </w:rPr>
        <w:t>Pain Med</w:t>
      </w:r>
      <w:r w:rsidR="009E18C7" w:rsidRPr="00AE4070">
        <w:rPr>
          <w:rFonts w:ascii="Arial" w:hAnsi="Arial" w:cs="Arial"/>
          <w:color w:val="212121"/>
          <w:sz w:val="20"/>
          <w:szCs w:val="20"/>
          <w:shd w:val="clear" w:color="auto" w:fill="FFFFFF"/>
        </w:rPr>
        <w:t>. 2012;13(11):1425-1435. doi:10.1111/j.1526-4637.</w:t>
      </w:r>
      <w:proofErr w:type="gramStart"/>
      <w:r w:rsidR="009E18C7" w:rsidRPr="00AE4070">
        <w:rPr>
          <w:rFonts w:ascii="Arial" w:hAnsi="Arial" w:cs="Arial"/>
          <w:color w:val="212121"/>
          <w:sz w:val="20"/>
          <w:szCs w:val="20"/>
          <w:shd w:val="clear" w:color="auto" w:fill="FFFFFF"/>
        </w:rPr>
        <w:t>2012.01492.x</w:t>
      </w:r>
      <w:proofErr w:type="gramEnd"/>
    </w:p>
    <w:p w14:paraId="45EE919D" w14:textId="77777777" w:rsidR="009E18C7" w:rsidRPr="00AE4070" w:rsidRDefault="009E18C7" w:rsidP="00AE4070">
      <w:pPr>
        <w:spacing w:after="0" w:line="240" w:lineRule="auto"/>
        <w:jc w:val="both"/>
        <w:rPr>
          <w:rFonts w:ascii="Arial" w:hAnsi="Arial" w:cs="Arial"/>
          <w:sz w:val="20"/>
          <w:szCs w:val="20"/>
        </w:rPr>
      </w:pPr>
    </w:p>
    <w:p w14:paraId="6C551A63" w14:textId="091A78BE" w:rsidR="009E18C7" w:rsidRPr="0057192D" w:rsidRDefault="009E18C7" w:rsidP="00AE4070">
      <w:pPr>
        <w:spacing w:after="0" w:line="240" w:lineRule="auto"/>
        <w:jc w:val="both"/>
        <w:rPr>
          <w:rFonts w:ascii="Arial" w:hAnsi="Arial" w:cs="Arial"/>
          <w:sz w:val="20"/>
          <w:szCs w:val="20"/>
          <w:lang w:val="pt-BR"/>
        </w:rPr>
      </w:pPr>
      <w:r w:rsidRPr="0057192D">
        <w:rPr>
          <w:rFonts w:ascii="Arial" w:hAnsi="Arial" w:cs="Arial"/>
          <w:sz w:val="20"/>
          <w:szCs w:val="20"/>
          <w:lang w:val="pt-BR"/>
        </w:rPr>
        <w:t>4</w:t>
      </w:r>
      <w:r w:rsidR="0057192D" w:rsidRPr="0057192D">
        <w:rPr>
          <w:rFonts w:ascii="Arial" w:hAnsi="Arial" w:cs="Arial"/>
          <w:sz w:val="20"/>
          <w:szCs w:val="20"/>
          <w:lang w:val="pt-BR"/>
        </w:rPr>
        <w:t>1</w:t>
      </w:r>
      <w:r w:rsidRPr="0057192D">
        <w:rPr>
          <w:rFonts w:ascii="Arial" w:hAnsi="Arial" w:cs="Arial"/>
          <w:sz w:val="20"/>
          <w:szCs w:val="20"/>
          <w:lang w:val="pt-BR"/>
        </w:rPr>
        <w:t xml:space="preserve">. Santos IS, Tavares BF, Munhoz TN, et al. </w:t>
      </w:r>
      <w:r w:rsidRPr="00AE4070">
        <w:rPr>
          <w:rFonts w:ascii="Arial" w:hAnsi="Arial" w:cs="Arial"/>
          <w:sz w:val="20"/>
          <w:szCs w:val="20"/>
        </w:rPr>
        <w:t xml:space="preserve">Sensitivity and specificity of the Patient Health Questionnaire-9 (PHQ-9) among adults from the general population. </w:t>
      </w:r>
      <w:proofErr w:type="spellStart"/>
      <w:r w:rsidRPr="0057192D">
        <w:rPr>
          <w:rStyle w:val="nfase"/>
          <w:rFonts w:ascii="Arial" w:hAnsi="Arial" w:cs="Arial"/>
          <w:sz w:val="20"/>
          <w:szCs w:val="20"/>
          <w:lang w:val="pt-BR"/>
        </w:rPr>
        <w:t>Cad</w:t>
      </w:r>
      <w:proofErr w:type="spellEnd"/>
      <w:r w:rsidRPr="0057192D">
        <w:rPr>
          <w:rStyle w:val="nfase"/>
          <w:rFonts w:ascii="Arial" w:hAnsi="Arial" w:cs="Arial"/>
          <w:sz w:val="20"/>
          <w:szCs w:val="20"/>
          <w:lang w:val="pt-BR"/>
        </w:rPr>
        <w:t xml:space="preserve"> </w:t>
      </w:r>
      <w:proofErr w:type="spellStart"/>
      <w:r w:rsidRPr="0057192D">
        <w:rPr>
          <w:rStyle w:val="nfase"/>
          <w:rFonts w:ascii="Arial" w:hAnsi="Arial" w:cs="Arial"/>
          <w:sz w:val="20"/>
          <w:szCs w:val="20"/>
          <w:lang w:val="pt-BR"/>
        </w:rPr>
        <w:t>Saude</w:t>
      </w:r>
      <w:proofErr w:type="spellEnd"/>
      <w:r w:rsidRPr="0057192D">
        <w:rPr>
          <w:rStyle w:val="nfase"/>
          <w:rFonts w:ascii="Arial" w:hAnsi="Arial" w:cs="Arial"/>
          <w:sz w:val="20"/>
          <w:szCs w:val="20"/>
          <w:lang w:val="pt-BR"/>
        </w:rPr>
        <w:t xml:space="preserve"> Publica</w:t>
      </w:r>
      <w:r w:rsidRPr="0057192D">
        <w:rPr>
          <w:rFonts w:ascii="Arial" w:hAnsi="Arial" w:cs="Arial"/>
          <w:sz w:val="20"/>
          <w:szCs w:val="20"/>
          <w:lang w:val="pt-BR"/>
        </w:rPr>
        <w:t xml:space="preserve">. </w:t>
      </w:r>
      <w:proofErr w:type="gramStart"/>
      <w:r w:rsidRPr="0057192D">
        <w:rPr>
          <w:rFonts w:ascii="Arial" w:hAnsi="Arial" w:cs="Arial"/>
          <w:sz w:val="20"/>
          <w:szCs w:val="20"/>
          <w:lang w:val="pt-BR"/>
        </w:rPr>
        <w:t>2013;29:1533</w:t>
      </w:r>
      <w:proofErr w:type="gramEnd"/>
      <w:r w:rsidRPr="0057192D">
        <w:rPr>
          <w:rFonts w:ascii="Arial" w:hAnsi="Arial" w:cs="Arial"/>
          <w:sz w:val="20"/>
          <w:szCs w:val="20"/>
          <w:lang w:val="pt-BR"/>
        </w:rPr>
        <w:t>-1543.</w:t>
      </w:r>
    </w:p>
    <w:p w14:paraId="7D18B2B4" w14:textId="77777777" w:rsidR="009E18C7" w:rsidRPr="00AE4070" w:rsidRDefault="009E18C7" w:rsidP="00AE4070">
      <w:pPr>
        <w:spacing w:after="0" w:line="240" w:lineRule="auto"/>
        <w:jc w:val="both"/>
        <w:rPr>
          <w:rFonts w:ascii="Arial" w:hAnsi="Arial" w:cs="Arial"/>
          <w:sz w:val="20"/>
          <w:szCs w:val="20"/>
          <w:lang w:val="pt-BR"/>
        </w:rPr>
      </w:pPr>
    </w:p>
    <w:p w14:paraId="378CAB16" w14:textId="4D173E84" w:rsidR="009E18C7" w:rsidRPr="00B621CF" w:rsidRDefault="009E18C7" w:rsidP="00AE4070">
      <w:pPr>
        <w:spacing w:after="0" w:line="240" w:lineRule="auto"/>
        <w:jc w:val="both"/>
        <w:rPr>
          <w:rFonts w:ascii="Arial" w:hAnsi="Arial" w:cs="Arial"/>
          <w:sz w:val="20"/>
          <w:szCs w:val="20"/>
          <w:lang w:val="pt-BR"/>
        </w:rPr>
      </w:pPr>
      <w:r w:rsidRPr="00AE4070">
        <w:rPr>
          <w:rFonts w:ascii="Arial" w:hAnsi="Arial" w:cs="Arial"/>
          <w:sz w:val="20"/>
          <w:szCs w:val="20"/>
          <w:lang w:val="pt-BR"/>
        </w:rPr>
        <w:t>4</w:t>
      </w:r>
      <w:r w:rsidR="0057192D">
        <w:rPr>
          <w:rFonts w:ascii="Arial" w:hAnsi="Arial" w:cs="Arial"/>
          <w:sz w:val="20"/>
          <w:szCs w:val="20"/>
          <w:lang w:val="pt-BR"/>
        </w:rPr>
        <w:t>2</w:t>
      </w:r>
      <w:r w:rsidRPr="00AE4070">
        <w:rPr>
          <w:rFonts w:ascii="Arial" w:hAnsi="Arial" w:cs="Arial"/>
          <w:sz w:val="20"/>
          <w:szCs w:val="20"/>
          <w:lang w:val="pt-BR"/>
        </w:rPr>
        <w:t xml:space="preserve">. Moreno AL, </w:t>
      </w:r>
      <w:proofErr w:type="spellStart"/>
      <w:r w:rsidRPr="00AE4070">
        <w:rPr>
          <w:rFonts w:ascii="Arial" w:hAnsi="Arial" w:cs="Arial"/>
          <w:sz w:val="20"/>
          <w:szCs w:val="20"/>
          <w:lang w:val="pt-BR"/>
        </w:rPr>
        <w:t>DeSousa</w:t>
      </w:r>
      <w:proofErr w:type="spellEnd"/>
      <w:r w:rsidRPr="00AE4070">
        <w:rPr>
          <w:rFonts w:ascii="Arial" w:hAnsi="Arial" w:cs="Arial"/>
          <w:sz w:val="20"/>
          <w:szCs w:val="20"/>
          <w:lang w:val="pt-BR"/>
        </w:rPr>
        <w:t xml:space="preserve"> DA, Souza AMFLP, </w:t>
      </w:r>
      <w:proofErr w:type="spellStart"/>
      <w:r w:rsidRPr="00AE4070">
        <w:rPr>
          <w:rFonts w:ascii="Arial" w:hAnsi="Arial" w:cs="Arial"/>
          <w:sz w:val="20"/>
          <w:szCs w:val="20"/>
          <w:lang w:val="pt-BR"/>
        </w:rPr>
        <w:t>Manfro</w:t>
      </w:r>
      <w:proofErr w:type="spellEnd"/>
      <w:r w:rsidRPr="00AE4070">
        <w:rPr>
          <w:rFonts w:ascii="Arial" w:hAnsi="Arial" w:cs="Arial"/>
          <w:sz w:val="20"/>
          <w:szCs w:val="20"/>
          <w:lang w:val="pt-BR"/>
        </w:rPr>
        <w:t xml:space="preserve"> GG, Salum GA, Koller SH, Osório FL, Crippa JAS. </w:t>
      </w:r>
      <w:r w:rsidRPr="00AE4070">
        <w:rPr>
          <w:rFonts w:ascii="Arial" w:hAnsi="Arial" w:cs="Arial"/>
          <w:sz w:val="20"/>
          <w:szCs w:val="20"/>
        </w:rPr>
        <w:t xml:space="preserve">Factor structure, reliability, and item parameters of the </w:t>
      </w:r>
      <w:proofErr w:type="gramStart"/>
      <w:r w:rsidRPr="00AE4070">
        <w:rPr>
          <w:rFonts w:ascii="Arial" w:hAnsi="Arial" w:cs="Arial"/>
          <w:sz w:val="20"/>
          <w:szCs w:val="20"/>
        </w:rPr>
        <w:t>Brazilian-Portuguese</w:t>
      </w:r>
      <w:proofErr w:type="gramEnd"/>
      <w:r w:rsidRPr="00AE4070">
        <w:rPr>
          <w:rFonts w:ascii="Arial" w:hAnsi="Arial" w:cs="Arial"/>
          <w:sz w:val="20"/>
          <w:szCs w:val="20"/>
        </w:rPr>
        <w:t xml:space="preserve"> version of the GAD-7 questionnaire. </w:t>
      </w:r>
      <w:r w:rsidRPr="00AE4070">
        <w:rPr>
          <w:rStyle w:val="nfase"/>
          <w:rFonts w:ascii="Arial" w:hAnsi="Arial" w:cs="Arial"/>
          <w:sz w:val="20"/>
          <w:szCs w:val="20"/>
        </w:rPr>
        <w:t xml:space="preserve">Temas </w:t>
      </w:r>
      <w:proofErr w:type="spellStart"/>
      <w:r w:rsidRPr="00AE4070">
        <w:rPr>
          <w:rStyle w:val="nfase"/>
          <w:rFonts w:ascii="Arial" w:hAnsi="Arial" w:cs="Arial"/>
          <w:sz w:val="20"/>
          <w:szCs w:val="20"/>
        </w:rPr>
        <w:t>Psicol</w:t>
      </w:r>
      <w:proofErr w:type="spellEnd"/>
      <w:r w:rsidRPr="00AE4070">
        <w:rPr>
          <w:rFonts w:ascii="Arial" w:hAnsi="Arial" w:cs="Arial"/>
          <w:sz w:val="20"/>
          <w:szCs w:val="20"/>
        </w:rPr>
        <w:t>. 2016;24(1):367-376. doi:10.9788/TP2016.1-25</w:t>
      </w:r>
    </w:p>
    <w:bookmarkEnd w:id="12"/>
    <w:p w14:paraId="2A8C4309" w14:textId="77777777" w:rsidR="009E18C7" w:rsidRPr="00B621CF" w:rsidRDefault="009E18C7" w:rsidP="00AE4070">
      <w:pPr>
        <w:spacing w:after="0"/>
        <w:jc w:val="both"/>
        <w:rPr>
          <w:rFonts w:ascii="Arial" w:hAnsi="Arial" w:cs="Arial"/>
          <w:sz w:val="20"/>
          <w:szCs w:val="20"/>
          <w:lang w:val="pt-BR"/>
        </w:rPr>
      </w:pPr>
    </w:p>
    <w:p w14:paraId="0A0C5BF4" w14:textId="77777777" w:rsidR="009E18C7" w:rsidRPr="00B621CF" w:rsidRDefault="009E18C7" w:rsidP="00AE4070">
      <w:pPr>
        <w:jc w:val="both"/>
        <w:rPr>
          <w:rFonts w:ascii="Arial" w:hAnsi="Arial" w:cs="Arial"/>
          <w:sz w:val="20"/>
          <w:szCs w:val="20"/>
        </w:rPr>
      </w:pPr>
    </w:p>
    <w:sectPr w:rsidR="009E18C7" w:rsidRPr="00B621CF" w:rsidSect="007A73DE">
      <w:pgSz w:w="11900" w:h="16840"/>
      <w:pgMar w:top="1417" w:right="1701" w:bottom="1417" w:left="1701"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51B3B"/>
    <w:multiLevelType w:val="hybridMultilevel"/>
    <w:tmpl w:val="A7FE560E"/>
    <w:lvl w:ilvl="0" w:tplc="E3061C2A">
      <w:start w:val="1"/>
      <w:numFmt w:val="decimal"/>
      <w:lvlText w:val="%1."/>
      <w:lvlJc w:val="left"/>
      <w:pPr>
        <w:ind w:left="720" w:hanging="360"/>
      </w:pPr>
      <w:rPr>
        <w:rFonts w:ascii="Arial" w:hAnsi="Arial" w:hint="default"/>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9220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mirrorMargins/>
  <w:proofState w:spelling="clean" w:grammar="clean"/>
  <w:defaultTabStop w:val="708"/>
  <w:hyphenationZone w:val="425"/>
  <w:evenAndOddHeaders/>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5D"/>
    <w:rsid w:val="00020C51"/>
    <w:rsid w:val="000817AF"/>
    <w:rsid w:val="000B15B4"/>
    <w:rsid w:val="000C1AB5"/>
    <w:rsid w:val="001A0E1C"/>
    <w:rsid w:val="001B09F7"/>
    <w:rsid w:val="00267CF4"/>
    <w:rsid w:val="003E36E6"/>
    <w:rsid w:val="004237DA"/>
    <w:rsid w:val="00503616"/>
    <w:rsid w:val="0054554E"/>
    <w:rsid w:val="00555386"/>
    <w:rsid w:val="0057192D"/>
    <w:rsid w:val="00587CBD"/>
    <w:rsid w:val="0062637D"/>
    <w:rsid w:val="006824F2"/>
    <w:rsid w:val="0069700D"/>
    <w:rsid w:val="006B35ED"/>
    <w:rsid w:val="006B49BA"/>
    <w:rsid w:val="006E6538"/>
    <w:rsid w:val="006F6726"/>
    <w:rsid w:val="0071254E"/>
    <w:rsid w:val="0073445D"/>
    <w:rsid w:val="00756F3E"/>
    <w:rsid w:val="00764951"/>
    <w:rsid w:val="007A73DE"/>
    <w:rsid w:val="007C7A55"/>
    <w:rsid w:val="008A2978"/>
    <w:rsid w:val="0090459B"/>
    <w:rsid w:val="00965174"/>
    <w:rsid w:val="009A3899"/>
    <w:rsid w:val="009E18C7"/>
    <w:rsid w:val="00AE4070"/>
    <w:rsid w:val="00AF629D"/>
    <w:rsid w:val="00B1717E"/>
    <w:rsid w:val="00B621CF"/>
    <w:rsid w:val="00B86854"/>
    <w:rsid w:val="00BC3B42"/>
    <w:rsid w:val="00C53A4A"/>
    <w:rsid w:val="00CB1C96"/>
    <w:rsid w:val="00D26EF9"/>
    <w:rsid w:val="00D30DA7"/>
    <w:rsid w:val="00D35C35"/>
    <w:rsid w:val="00D562CB"/>
    <w:rsid w:val="00D71FA7"/>
    <w:rsid w:val="00DB2DE8"/>
    <w:rsid w:val="00E615A5"/>
    <w:rsid w:val="00E633EC"/>
    <w:rsid w:val="00E85551"/>
    <w:rsid w:val="00ED1AFD"/>
    <w:rsid w:val="00F12460"/>
    <w:rsid w:val="00F32671"/>
    <w:rsid w:val="00F62B0D"/>
    <w:rsid w:val="00FD2FA7"/>
    <w:rsid w:val="00FD4EB0"/>
    <w:rsid w:val="00FE51EB"/>
    <w:rsid w:val="00FE79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92A83"/>
  <w14:defaultImageDpi w14:val="32767"/>
  <w15:chartTrackingRefBased/>
  <w15:docId w15:val="{2A1FDFA7-A68E-6148-B877-2654188D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3445D"/>
    <w:pPr>
      <w:spacing w:after="160" w:line="259" w:lineRule="auto"/>
    </w:pPr>
    <w:rPr>
      <w:rFonts w:eastAsiaTheme="minorHAnsi"/>
      <w:sz w:val="22"/>
      <w:szCs w:val="22"/>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73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73445D"/>
    <w:rPr>
      <w:sz w:val="16"/>
      <w:szCs w:val="16"/>
    </w:rPr>
  </w:style>
  <w:style w:type="paragraph" w:styleId="Textodecomentrio">
    <w:name w:val="annotation text"/>
    <w:basedOn w:val="Normal"/>
    <w:link w:val="TextodecomentrioChar"/>
    <w:uiPriority w:val="99"/>
    <w:unhideWhenUsed/>
    <w:rsid w:val="0073445D"/>
    <w:pPr>
      <w:spacing w:line="240" w:lineRule="auto"/>
    </w:pPr>
    <w:rPr>
      <w:sz w:val="20"/>
      <w:szCs w:val="20"/>
    </w:rPr>
  </w:style>
  <w:style w:type="character" w:customStyle="1" w:styleId="TextodecomentrioChar">
    <w:name w:val="Texto de comentário Char"/>
    <w:basedOn w:val="Fontepargpadro"/>
    <w:link w:val="Textodecomentrio"/>
    <w:uiPriority w:val="99"/>
    <w:rsid w:val="0073445D"/>
    <w:rPr>
      <w:rFonts w:eastAsiaTheme="minorHAnsi"/>
      <w:sz w:val="20"/>
      <w:szCs w:val="20"/>
      <w:lang w:val="en-US"/>
    </w:rPr>
  </w:style>
  <w:style w:type="paragraph" w:styleId="Reviso">
    <w:name w:val="Revision"/>
    <w:hidden/>
    <w:uiPriority w:val="99"/>
    <w:semiHidden/>
    <w:rsid w:val="0073445D"/>
    <w:rPr>
      <w:rFonts w:eastAsiaTheme="minorHAnsi"/>
      <w:sz w:val="22"/>
      <w:szCs w:val="22"/>
      <w:lang w:val="en-US"/>
    </w:rPr>
  </w:style>
  <w:style w:type="character" w:styleId="nfase">
    <w:name w:val="Emphasis"/>
    <w:basedOn w:val="Fontepargpadro"/>
    <w:uiPriority w:val="20"/>
    <w:qFormat/>
    <w:rsid w:val="009E18C7"/>
    <w:rPr>
      <w:i/>
      <w:iCs/>
    </w:rPr>
  </w:style>
  <w:style w:type="paragraph" w:styleId="Assuntodocomentrio">
    <w:name w:val="annotation subject"/>
    <w:basedOn w:val="Textodecomentrio"/>
    <w:next w:val="Textodecomentrio"/>
    <w:link w:val="AssuntodocomentrioChar"/>
    <w:uiPriority w:val="99"/>
    <w:semiHidden/>
    <w:unhideWhenUsed/>
    <w:rsid w:val="000817AF"/>
    <w:rPr>
      <w:b/>
      <w:bCs/>
    </w:rPr>
  </w:style>
  <w:style w:type="character" w:customStyle="1" w:styleId="AssuntodocomentrioChar">
    <w:name w:val="Assunto do comentário Char"/>
    <w:basedOn w:val="TextodecomentrioChar"/>
    <w:link w:val="Assuntodocomentrio"/>
    <w:uiPriority w:val="99"/>
    <w:semiHidden/>
    <w:rsid w:val="000817AF"/>
    <w:rPr>
      <w:rFonts w:eastAsiaTheme="minorHAnsi"/>
      <w:b/>
      <w:bCs/>
      <w:sz w:val="20"/>
      <w:szCs w:val="20"/>
      <w:lang w:val="en-US"/>
    </w:rPr>
  </w:style>
  <w:style w:type="paragraph" w:styleId="PargrafodaLista">
    <w:name w:val="List Paragraph"/>
    <w:basedOn w:val="Normal"/>
    <w:uiPriority w:val="34"/>
    <w:qFormat/>
    <w:rsid w:val="00CB1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876</Words>
  <Characters>5537</Characters>
  <Application>Microsoft Office Word</Application>
  <DocSecurity>0</DocSecurity>
  <Lines>115</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Thais Chaves</dc:creator>
  <cp:keywords/>
  <dc:description/>
  <cp:lastModifiedBy>Thais Chaves</cp:lastModifiedBy>
  <cp:revision>16</cp:revision>
  <dcterms:created xsi:type="dcterms:W3CDTF">2026-07-30T13:35:00Z</dcterms:created>
  <dcterms:modified xsi:type="dcterms:W3CDTF">2026-09-01T15:20:00Z</dcterms:modified>
</cp:coreProperties>
</file>