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3567E0" w14:textId="412BB0BB" w:rsidR="00410543" w:rsidRDefault="00410543" w:rsidP="00410543">
      <w:pPr>
        <w:pStyle w:val="Heading1"/>
        <w:jc w:val="center"/>
        <w:rPr>
          <w:sz w:val="22"/>
          <w:szCs w:val="22"/>
          <w:lang w:val="en-AT"/>
        </w:rPr>
      </w:pPr>
      <w:r w:rsidRPr="00410543">
        <w:rPr>
          <w:sz w:val="22"/>
          <w:szCs w:val="22"/>
          <w:lang w:val="en-AT"/>
        </w:rPr>
        <w:t>Thermal ablation with configurable shapes: a comprehensive, automated model for bespoke tumor treatment</w:t>
      </w:r>
    </w:p>
    <w:p w14:paraId="0DB7A77C" w14:textId="77777777" w:rsidR="00410543" w:rsidRPr="00410543" w:rsidRDefault="00410543" w:rsidP="00410543">
      <w:pPr>
        <w:rPr>
          <w:lang w:val="en-AT"/>
        </w:rPr>
      </w:pPr>
    </w:p>
    <w:p w14:paraId="4BB4B171" w14:textId="4930C6FF" w:rsidR="00410543" w:rsidRPr="00410543" w:rsidRDefault="00410543" w:rsidP="00410543">
      <w:pPr>
        <w:jc w:val="center"/>
        <w:rPr>
          <w:b/>
          <w:bCs/>
          <w:sz w:val="22"/>
          <w:lang w:val="en-AT"/>
        </w:rPr>
      </w:pPr>
      <w:r w:rsidRPr="00410543">
        <w:rPr>
          <w:b/>
          <w:bCs/>
          <w:sz w:val="22"/>
          <w:lang w:val="en-AT"/>
        </w:rPr>
        <w:t>ELECTRONIC SUPPLEMENTARY MATERIAL</w:t>
      </w:r>
    </w:p>
    <w:p w14:paraId="38BA92EB" w14:textId="642F1B41" w:rsidR="0064765F" w:rsidRPr="00410543" w:rsidRDefault="0064765F" w:rsidP="0064765F">
      <w:pPr>
        <w:pStyle w:val="Heading1"/>
        <w:rPr>
          <w:sz w:val="22"/>
          <w:szCs w:val="22"/>
          <w:lang w:val="en-GB"/>
        </w:rPr>
      </w:pPr>
      <w:r w:rsidRPr="00410543">
        <w:rPr>
          <w:sz w:val="22"/>
          <w:szCs w:val="22"/>
          <w:lang w:val="en-GB"/>
        </w:rPr>
        <w:t>Appendix 1</w:t>
      </w:r>
    </w:p>
    <w:p w14:paraId="68A30B40" w14:textId="77777777" w:rsidR="0064765F" w:rsidRPr="00410543" w:rsidRDefault="0064765F" w:rsidP="0064765F">
      <w:pPr>
        <w:pStyle w:val="Heading2"/>
        <w:rPr>
          <w:sz w:val="22"/>
          <w:szCs w:val="22"/>
          <w:lang w:val="en-GB"/>
        </w:rPr>
      </w:pPr>
      <w:r w:rsidRPr="00410543">
        <w:rPr>
          <w:sz w:val="22"/>
          <w:szCs w:val="22"/>
          <w:lang w:val="en-GB"/>
        </w:rPr>
        <w:t>Code and technical details of calibration of ablation profiles</w:t>
      </w:r>
    </w:p>
    <w:p w14:paraId="51F373D6" w14:textId="77777777" w:rsidR="0064765F" w:rsidRPr="00410543" w:rsidRDefault="0064765F" w:rsidP="0064765F">
      <w:pPr>
        <w:rPr>
          <w:sz w:val="22"/>
          <w:lang w:val="en-GB"/>
        </w:rPr>
      </w:pPr>
      <w:r w:rsidRPr="00410543">
        <w:rPr>
          <w:sz w:val="22"/>
          <w:lang w:val="en-GB"/>
        </w:rPr>
        <w:t xml:space="preserve">To calibrate individual ablation systems and estimate the accuracy of predicted ablation shapes, a set of cylindrical ablation shapes were produced in a tissue mimicking phantom, applying ablation powers between 60 W and 120 W and velocities between 0.05 mm/s and 0.12 mm/s over </w:t>
      </w:r>
      <w:proofErr w:type="gramStart"/>
      <w:r w:rsidRPr="00410543">
        <w:rPr>
          <w:sz w:val="22"/>
          <w:lang w:val="en-GB"/>
        </w:rPr>
        <w:t>a distance of 35</w:t>
      </w:r>
      <w:proofErr w:type="gramEnd"/>
      <w:r w:rsidRPr="00410543">
        <w:rPr>
          <w:sz w:val="22"/>
          <w:lang w:val="en-GB"/>
        </w:rPr>
        <w:t xml:space="preserve"> mm. The coefficients </w:t>
      </w:r>
      <m:oMath>
        <m:r>
          <w:rPr>
            <w:rFonts w:ascii="Cambria Math" w:eastAsiaTheme="minorEastAsia" w:hAnsi="Cambria Math"/>
            <w:sz w:val="22"/>
            <w:lang w:val="en-GB"/>
          </w:rPr>
          <m:t xml:space="preserve">α,  </m:t>
        </m:r>
        <m:sSub>
          <m:sSubPr>
            <m:ctrlPr>
              <w:rPr>
                <w:rFonts w:ascii="Cambria Math" w:eastAsiaTheme="minorEastAsia" w:hAnsi="Cambria Math"/>
                <w:i/>
                <w:sz w:val="22"/>
                <w:lang w:val="en-GB"/>
              </w:rPr>
            </m:ctrlPr>
          </m:sSubPr>
          <m:e>
            <m:r>
              <w:rPr>
                <w:rFonts w:ascii="Cambria Math" w:eastAsiaTheme="minorEastAsia" w:hAnsi="Cambria Math"/>
                <w:sz w:val="22"/>
                <w:lang w:val="en-GB"/>
              </w:rPr>
              <m:t>β</m:t>
            </m:r>
          </m:e>
          <m:sub>
            <m:r>
              <w:rPr>
                <w:rFonts w:ascii="Cambria Math" w:eastAsiaTheme="minorEastAsia" w:hAnsi="Cambria Math"/>
                <w:sz w:val="22"/>
                <w:lang w:val="en-GB"/>
              </w:rPr>
              <m:t>power</m:t>
            </m:r>
          </m:sub>
        </m:sSub>
        <m:r>
          <w:rPr>
            <w:rFonts w:ascii="Cambria Math" w:eastAsiaTheme="minorEastAsia" w:hAnsi="Cambria Math"/>
            <w:sz w:val="22"/>
            <w:lang w:val="en-GB"/>
          </w:rPr>
          <m:t xml:space="preserve">, </m:t>
        </m:r>
        <m:sSub>
          <m:sSubPr>
            <m:ctrlPr>
              <w:rPr>
                <w:rFonts w:ascii="Cambria Math" w:eastAsiaTheme="minorEastAsia" w:hAnsi="Cambria Math"/>
                <w:i/>
                <w:sz w:val="22"/>
                <w:lang w:val="en-GB"/>
              </w:rPr>
            </m:ctrlPr>
          </m:sSubPr>
          <m:e>
            <m:r>
              <w:rPr>
                <w:rFonts w:ascii="Cambria Math" w:eastAsiaTheme="minorEastAsia" w:hAnsi="Cambria Math"/>
                <w:sz w:val="22"/>
                <w:lang w:val="en-GB"/>
              </w:rPr>
              <m:t>β</m:t>
            </m:r>
          </m:e>
          <m:sub>
            <m:r>
              <w:rPr>
                <w:rFonts w:ascii="Cambria Math" w:eastAsiaTheme="minorEastAsia" w:hAnsi="Cambria Math"/>
                <w:sz w:val="22"/>
                <w:lang w:val="en-GB"/>
              </w:rPr>
              <m:t>velocity</m:t>
            </m:r>
          </m:sub>
        </m:sSub>
      </m:oMath>
      <w:r w:rsidRPr="00410543">
        <w:rPr>
          <w:sz w:val="22"/>
          <w:lang w:val="en-GB"/>
        </w:rPr>
        <w:t xml:space="preserve"> from equation (2) were estimated using the Markov Chain Monte Carlo method</w:t>
      </w:r>
      <w:sdt>
        <w:sdtPr>
          <w:rPr>
            <w:color w:val="000000"/>
            <w:sz w:val="22"/>
            <w:vertAlign w:val="superscript"/>
            <w:lang w:val="en-GB"/>
          </w:rPr>
          <w:tag w:val="MENDELEY_CITATION_v3_eyJjaXRhdGlvbklEIjoiTUVOREVMRVlfQ0lUQVRJT05fYTc5MTBhYmMtNzIwZS00YWM3LTk5YjctMzU4YjI0OTkyN2M1IiwicHJvcGVydGllcyI6eyJub3RlSW5kZXgiOjB9LCJpc0VkaXRlZCI6ZmFsc2UsIm1hbnVhbE92ZXJyaWRlIjp7ImlzTWFudWFsbHlPdmVycmlkZGVuIjpmYWxzZSwiY2l0ZXByb2NUZXh0IjoiPHN1cD4zNTwvc3VwPiIsIm1hbnVhbE92ZXJyaWRlVGV4dCI6IiJ9LCJjaXRhdGlvbkl0ZW1zIjpbeyJpZCI6Ijc2Yzg0MTY1LThkM2YtMzE4Mi04NTRkLTQ2MDc4YTBmNzQ2NCIsIml0ZW1EYXRhIjp7InR5cGUiOiJhcnRpY2xlLWpvdXJuYWwiLCJpZCI6Ijc2Yzg0MTY1LThkM2YtMzE4Mi04NTRkLTQ2MDc4YTBmNzQ2NCIsInRpdGxlIjoiUHJvYmFiaWxpc3RpYyBwcm9ncmFtbWluZyBpbiBQeXRob24gdXNpbmcgUHlNQzMiLCJhdXRob3IiOlt7ImZhbWlseSI6IlNhbHZhdGllciIsImdpdmVuIjoiSm9obiIsInBhcnNlLW5hbWVzIjpmYWxzZSwiZHJvcHBpbmctcGFydGljbGUiOiIiLCJub24tZHJvcHBpbmctcGFydGljbGUiOiIifSx7ImZhbWlseSI6IldpZWNraSIsImdpdmVuIjoiVGhvbWFzIiwicGFyc2UtbmFtZXMiOmZhbHNlLCJkcm9wcGluZy1wYXJ0aWNsZSI6InYuIiwibm9uLWRyb3BwaW5nLXBhcnRpY2xlIjoiIn0seyJmYW1pbHkiOiJGb25uZXNiZWNrIiwiZ2l2ZW4iOiJDaHJpc3RvcGhlciIsInBhcnNlLW5hbWVzIjpmYWxzZSwiZHJvcHBpbmctcGFydGljbGUiOiIiLCJub24tZHJvcHBpbmctcGFydGljbGUiOiIifV0sImNvbnRhaW5lci10aXRsZSI6IlBlZXJKIENvbXB1dGVyIFNjaWVuY2UiLCJET0kiOiIxMC43NzE3L3BlZXJqLWNzLjU1IiwiSVNTTiI6IjIzNzYtNTk5MiIsImlzc3VlZCI6eyJkYXRlLXBhcnRzIjpbWzIwMTYsNCw2XV19LCJwYWdlIjoiZTU1IiwiYWJzdHJhY3QiOiI8cD5Qcm9iYWJpbGlzdGljIHByb2dyYW1taW5nIGFsbG93cyBmb3IgYXV0b21hdGljIEJheWVzaWFuIGluZmVyZW5jZSBvbiB1c2VyLWRlZmluZWQgcHJvYmFiaWxpc3RpYyBtb2RlbHMuIFJlY2VudCBhZHZhbmNlcyBpbiBNYXJrb3YgY2hhaW4gTW9udGUgQ2FybG8gKE1DTUMpIHNhbXBsaW5nIGFsbG93IGluZmVyZW5jZSBvbiBpbmNyZWFzaW5nbHkgY29tcGxleCBtb2RlbHMuIFRoaXMgY2xhc3Mgb2YgTUNNQywga25vd24gYXMgSGFtaWx0b25pYW4gTW9udGUgQ2FybG8sIHJlcXVpcmVzIGdyYWRpZW50IGluZm9ybWF0aW9uIHdoaWNoIGlzIG9mdGVuIG5vdCByZWFkaWx5IGF2YWlsYWJsZS4gUHlNQzMgaXMgYSBuZXcgb3BlbiBzb3VyY2UgcHJvYmFiaWxpc3RpYyBwcm9ncmFtbWluZyBmcmFtZXdvcmsgd3JpdHRlbiBpbiBQeXRob24gdGhhdCB1c2VzIFRoZWFubyB0byBjb21wdXRlIGdyYWRpZW50cyB2aWEgYXV0b21hdGljIGRpZmZlcmVudGlhdGlvbiBhcyB3ZWxsIGFzIGNvbXBpbGUgcHJvYmFiaWxpc3RpYyBwcm9ncmFtcyBvbi10aGUtZmx5IHRvIEMgZm9yIGluY3JlYXNlZCBzcGVlZC4gQ29udHJhcnkgdG8gb3RoZXIgcHJvYmFiaWxpc3RpYyBwcm9ncmFtbWluZyBsYW5ndWFnZXMsIFB5TUMzIGFsbG93cyBtb2RlbCBzcGVjaWZpY2F0aW9uIGRpcmVjdGx5IGluIFB5dGhvbiBjb2RlLiBUaGUgbGFjayBvZiBhIGRvbWFpbiBzcGVjaWZpYyBsYW5ndWFnZSBhbGxvd3MgZm9yIGdyZWF0IGZsZXhpYmlsaXR5IGFuZCBkaXJlY3QgaW50ZXJhY3Rpb24gd2l0aCB0aGUgbW9kZWwuIFRoaXMgcGFwZXIgaXMgYSB0dXRvcmlhbC1zdHlsZSBpbnRyb2R1Y3Rpb24gdG8gdGhpcyBzb2Z0d2FyZSBwYWNrYWdlLjwvcD4iLCJ2b2x1bWUiOiIyIiwiY29udGFpbmVyLXRpdGxlLXNob3J0IjoiUGVlckogQ29tcHV0IFNjaSJ9LCJpc1RlbXBvcmFyeSI6ZmFsc2V9XX0="/>
          <w:id w:val="1551654782"/>
          <w:placeholder>
            <w:docPart w:val="A2B612B775464F4785D2E2913E395C6D"/>
          </w:placeholder>
        </w:sdtPr>
        <w:sdtContent>
          <w:r w:rsidRPr="00410543">
            <w:rPr>
              <w:color w:val="000000"/>
              <w:sz w:val="22"/>
              <w:vertAlign w:val="superscript"/>
              <w:lang w:val="en-GB"/>
            </w:rPr>
            <w:t>35</w:t>
          </w:r>
        </w:sdtContent>
      </w:sdt>
      <w:r w:rsidRPr="00410543">
        <w:rPr>
          <w:i/>
          <w:iCs/>
          <w:sz w:val="22"/>
          <w:lang w:val="en-GB"/>
        </w:rPr>
        <w:t>.</w:t>
      </w:r>
      <w:r w:rsidRPr="00410543">
        <w:rPr>
          <w:sz w:val="22"/>
          <w:lang w:val="en-GB"/>
        </w:rPr>
        <w:t xml:space="preserve"> </w:t>
      </w:r>
      <w:r w:rsidRPr="00410543">
        <w:rPr>
          <w:sz w:val="22"/>
          <w:lang w:val="en-GB"/>
        </w:rPr>
        <w:fldChar w:fldCharType="begin"/>
      </w:r>
      <w:r w:rsidRPr="00410543">
        <w:rPr>
          <w:sz w:val="22"/>
          <w:lang w:val="en-GB"/>
        </w:rPr>
        <w:instrText xml:space="preserve"> REF _Ref121490650 \h  \* MERGEFORMAT </w:instrText>
      </w:r>
      <w:r w:rsidRPr="00410543">
        <w:rPr>
          <w:sz w:val="22"/>
          <w:lang w:val="en-GB"/>
        </w:rPr>
      </w:r>
      <w:r w:rsidRPr="00410543">
        <w:rPr>
          <w:sz w:val="22"/>
          <w:lang w:val="en-GB"/>
        </w:rPr>
        <w:fldChar w:fldCharType="separate"/>
      </w:r>
      <w:r w:rsidRPr="00410543">
        <w:rPr>
          <w:sz w:val="22"/>
        </w:rPr>
        <w:t xml:space="preserve">Supplementary Figure </w:t>
      </w:r>
      <w:r w:rsidRPr="00410543">
        <w:rPr>
          <w:noProof/>
          <w:sz w:val="22"/>
        </w:rPr>
        <w:t>1</w:t>
      </w:r>
      <w:r w:rsidRPr="00410543">
        <w:rPr>
          <w:sz w:val="22"/>
          <w:lang w:val="en-GB"/>
        </w:rPr>
        <w:fldChar w:fldCharType="end"/>
      </w:r>
      <w:r w:rsidRPr="00410543">
        <w:rPr>
          <w:sz w:val="22"/>
          <w:lang w:val="en-GB"/>
        </w:rPr>
        <w:t xml:space="preserve"> shows the predicted widths depending as functions of power and velocity, confirming the logarithmic relationship between ablation width and power and velocity, within the applied ranges. The uncertainty (standard deviation) of the ablation width increases with increasing power by </w:t>
      </w:r>
      <w:r w:rsidRPr="00410543">
        <w:rPr>
          <w:rFonts w:cs="Arial"/>
          <w:sz w:val="22"/>
          <w:lang w:val="en-GB"/>
        </w:rPr>
        <w:t>±</w:t>
      </w:r>
      <w:r w:rsidRPr="00410543">
        <w:rPr>
          <w:sz w:val="22"/>
          <w:lang w:val="en-GB"/>
        </w:rPr>
        <w:t>0.03 mm (CI</w:t>
      </w:r>
      <w:r w:rsidRPr="00410543">
        <w:rPr>
          <w:sz w:val="22"/>
          <w:vertAlign w:val="subscript"/>
          <w:lang w:val="en-GB"/>
        </w:rPr>
        <w:t>95%</w:t>
      </w:r>
      <w:r w:rsidRPr="00410543">
        <w:rPr>
          <w:sz w:val="22"/>
          <w:lang w:val="en-GB"/>
        </w:rPr>
        <w:t xml:space="preserve"> [0.02, 0.043]) per Watt increase in power and by </w:t>
      </w:r>
      <w:r w:rsidRPr="00410543">
        <w:rPr>
          <w:rFonts w:cs="Arial"/>
          <w:sz w:val="22"/>
          <w:lang w:val="en-GB"/>
        </w:rPr>
        <w:t>±</w:t>
      </w:r>
      <w:r w:rsidRPr="00410543">
        <w:rPr>
          <w:sz w:val="22"/>
          <w:lang w:val="en-GB"/>
        </w:rPr>
        <w:t>0.85 mm (CI</w:t>
      </w:r>
      <w:r w:rsidRPr="00410543">
        <w:rPr>
          <w:sz w:val="22"/>
          <w:vertAlign w:val="subscript"/>
          <w:lang w:val="en-GB"/>
        </w:rPr>
        <w:t>95%</w:t>
      </w:r>
      <w:r w:rsidRPr="00410543">
        <w:rPr>
          <w:sz w:val="22"/>
          <w:lang w:val="en-GB"/>
        </w:rPr>
        <w:t xml:space="preserve"> [0, 2.5]) per mm/s increase in velocity. For other ablation modalities and devices, the relationship and the coefficients are likely different, and the calibration step should be performed for each device that will be used.</w:t>
      </w:r>
    </w:p>
    <w:p w14:paraId="03AFAD91" w14:textId="77777777" w:rsidR="0064765F" w:rsidRPr="00410543" w:rsidRDefault="0064765F" w:rsidP="0064765F">
      <w:pPr>
        <w:spacing w:after="0" w:line="240" w:lineRule="auto"/>
        <w:jc w:val="left"/>
        <w:rPr>
          <w:rFonts w:ascii="Times New Roman" w:eastAsia="Times New Roman" w:hAnsi="Times New Roman" w:cs="Times New Roman"/>
          <w:sz w:val="22"/>
          <w:lang w:eastAsia="ja-JP"/>
        </w:rPr>
      </w:pPr>
      <w:r w:rsidRPr="00410543">
        <w:rPr>
          <w:noProof/>
          <w:sz w:val="22"/>
          <w:lang w:eastAsia="ja-JP"/>
        </w:rPr>
        <w:drawing>
          <wp:inline distT="0" distB="0" distL="0" distR="0" wp14:anchorId="2CA6AF9F" wp14:editId="11AC3238">
            <wp:extent cx="5943600" cy="3109595"/>
            <wp:effectExtent l="0" t="0" r="0" b="0"/>
            <wp:docPr id="1" name="Picture 1" descr="C:\Users\ipaolucci\AppData\Local\Microsoft\Windows\INetCache\Content.MSO\AF8FF92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paolucci\AppData\Local\Microsoft\Windows\INetCache\Content.MSO\AF8FF928.tmp"/>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3109595"/>
                    </a:xfrm>
                    <a:prstGeom prst="rect">
                      <a:avLst/>
                    </a:prstGeom>
                    <a:noFill/>
                    <a:ln>
                      <a:noFill/>
                    </a:ln>
                  </pic:spPr>
                </pic:pic>
              </a:graphicData>
            </a:graphic>
          </wp:inline>
        </w:drawing>
      </w:r>
    </w:p>
    <w:p w14:paraId="05A23878" w14:textId="77777777" w:rsidR="0064765F" w:rsidRPr="00410543" w:rsidRDefault="0064765F" w:rsidP="0064765F">
      <w:pPr>
        <w:spacing w:after="0" w:line="276" w:lineRule="auto"/>
        <w:jc w:val="center"/>
        <w:rPr>
          <w:rFonts w:ascii="Times New Roman" w:eastAsia="Times New Roman" w:hAnsi="Times New Roman" w:cs="Times New Roman"/>
          <w:sz w:val="22"/>
          <w:lang w:val="en-GB" w:eastAsia="ja-JP"/>
        </w:rPr>
      </w:pPr>
    </w:p>
    <w:p w14:paraId="3B5D0E30" w14:textId="77777777" w:rsidR="0064765F" w:rsidRPr="00410543" w:rsidRDefault="0064765F" w:rsidP="0064765F">
      <w:pPr>
        <w:pStyle w:val="Caption"/>
        <w:rPr>
          <w:sz w:val="22"/>
          <w:szCs w:val="22"/>
        </w:rPr>
      </w:pPr>
      <w:bookmarkStart w:id="0" w:name="_Ref121490650"/>
      <w:r w:rsidRPr="00410543">
        <w:rPr>
          <w:b/>
          <w:bCs/>
          <w:sz w:val="22"/>
          <w:szCs w:val="22"/>
        </w:rPr>
        <w:lastRenderedPageBreak/>
        <w:t xml:space="preserve">Supplementary Figure </w:t>
      </w:r>
      <w:r w:rsidRPr="00410543">
        <w:rPr>
          <w:b/>
          <w:bCs/>
          <w:sz w:val="22"/>
          <w:szCs w:val="22"/>
        </w:rPr>
        <w:fldChar w:fldCharType="begin"/>
      </w:r>
      <w:r w:rsidRPr="00410543">
        <w:rPr>
          <w:b/>
          <w:bCs/>
          <w:sz w:val="22"/>
          <w:szCs w:val="22"/>
        </w:rPr>
        <w:instrText xml:space="preserve"> SEQ Supplementary_Figure \* ARABIC </w:instrText>
      </w:r>
      <w:r w:rsidRPr="00410543">
        <w:rPr>
          <w:b/>
          <w:bCs/>
          <w:sz w:val="22"/>
          <w:szCs w:val="22"/>
        </w:rPr>
        <w:fldChar w:fldCharType="separate"/>
      </w:r>
      <w:r w:rsidRPr="00410543">
        <w:rPr>
          <w:b/>
          <w:bCs/>
          <w:noProof/>
          <w:sz w:val="22"/>
          <w:szCs w:val="22"/>
        </w:rPr>
        <w:t>1</w:t>
      </w:r>
      <w:r w:rsidRPr="00410543">
        <w:rPr>
          <w:b/>
          <w:bCs/>
          <w:sz w:val="22"/>
          <w:szCs w:val="22"/>
        </w:rPr>
        <w:fldChar w:fldCharType="end"/>
      </w:r>
      <w:bookmarkEnd w:id="0"/>
      <w:r w:rsidRPr="00410543">
        <w:rPr>
          <w:b/>
          <w:bCs/>
          <w:sz w:val="22"/>
          <w:szCs w:val="22"/>
        </w:rPr>
        <w:t xml:space="preserve"> | </w:t>
      </w:r>
      <w:r w:rsidRPr="00410543">
        <w:rPr>
          <w:b/>
          <w:bCs/>
          <w:sz w:val="22"/>
          <w:szCs w:val="22"/>
          <w:lang w:val="en-GB"/>
        </w:rPr>
        <w:t xml:space="preserve">Calibration of ablation profiles. </w:t>
      </w:r>
      <w:r w:rsidRPr="00410543">
        <w:rPr>
          <w:sz w:val="22"/>
          <w:szCs w:val="22"/>
          <w:lang w:val="en-GB"/>
        </w:rPr>
        <w:t xml:space="preserve">Predicted ablation widths with standard deviations (shadowed areas) as a function of power (left) and velocity (right) </w:t>
      </w:r>
    </w:p>
    <w:p w14:paraId="1C67C48D" w14:textId="2E9EA812" w:rsidR="00000000" w:rsidRPr="00410543" w:rsidRDefault="0064765F">
      <w:pPr>
        <w:rPr>
          <w:i/>
          <w:iCs/>
          <w:sz w:val="22"/>
          <w:lang w:val="en-GB"/>
        </w:rPr>
      </w:pPr>
      <w:r w:rsidRPr="00410543">
        <w:rPr>
          <w:i/>
          <w:iCs/>
          <w:sz w:val="22"/>
          <w:lang w:val="en-GB"/>
        </w:rPr>
        <w:t>Code available in the code supplement.</w:t>
      </w:r>
    </w:p>
    <w:sectPr w:rsidR="000C72A5" w:rsidRPr="00410543" w:rsidSect="00AA3464">
      <w:footerReference w:type="default" r:id="rId7"/>
      <w:foot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051579" w14:textId="77777777" w:rsidR="001B59B8" w:rsidRDefault="001B59B8">
      <w:pPr>
        <w:spacing w:after="0" w:line="240" w:lineRule="auto"/>
      </w:pPr>
      <w:r>
        <w:separator/>
      </w:r>
    </w:p>
  </w:endnote>
  <w:endnote w:type="continuationSeparator" w:id="0">
    <w:p w14:paraId="04E5B58C" w14:textId="77777777" w:rsidR="001B59B8" w:rsidRDefault="001B59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06827496"/>
      <w:docPartObj>
        <w:docPartGallery w:val="Page Numbers (Bottom of Page)"/>
        <w:docPartUnique/>
      </w:docPartObj>
    </w:sdtPr>
    <w:sdtEndPr>
      <w:rPr>
        <w:noProof/>
      </w:rPr>
    </w:sdtEndPr>
    <w:sdtContent>
      <w:p w14:paraId="160F3E73" w14:textId="77777777" w:rsidR="00000000" w:rsidRDefault="006476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1DB8CC7" w14:textId="77777777" w:rsidR="00000000" w:rsidRDefault="000000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97C258" w14:textId="16F00430" w:rsidR="00410543" w:rsidRPr="00410543" w:rsidRDefault="00410543">
    <w:pPr>
      <w:pStyle w:val="Footer"/>
      <w:rPr>
        <w:sz w:val="18"/>
        <w:szCs w:val="18"/>
      </w:rPr>
    </w:pPr>
    <w:proofErr w:type="spellStart"/>
    <w:r w:rsidRPr="00410543">
      <w:rPr>
        <w:sz w:val="18"/>
        <w:szCs w:val="18"/>
      </w:rPr>
      <w:t>Eur</w:t>
    </w:r>
    <w:proofErr w:type="spellEnd"/>
    <w:r w:rsidRPr="00410543">
      <w:rPr>
        <w:sz w:val="18"/>
        <w:szCs w:val="18"/>
      </w:rPr>
      <w:t xml:space="preserve"> </w:t>
    </w:r>
    <w:proofErr w:type="spellStart"/>
    <w:r w:rsidRPr="00410543">
      <w:rPr>
        <w:sz w:val="18"/>
        <w:szCs w:val="18"/>
      </w:rPr>
      <w:t>Radiol</w:t>
    </w:r>
    <w:proofErr w:type="spellEnd"/>
    <w:r w:rsidRPr="00410543">
      <w:rPr>
        <w:sz w:val="18"/>
        <w:szCs w:val="18"/>
      </w:rPr>
      <w:t xml:space="preserve"> Exp (2023) </w:t>
    </w:r>
    <w:proofErr w:type="spellStart"/>
    <w:r w:rsidRPr="00410543">
      <w:rPr>
        <w:sz w:val="18"/>
        <w:szCs w:val="18"/>
      </w:rPr>
      <w:t>Paolucci</w:t>
    </w:r>
    <w:proofErr w:type="spellEnd"/>
    <w:r w:rsidRPr="00410543">
      <w:rPr>
        <w:sz w:val="18"/>
        <w:szCs w:val="18"/>
      </w:rPr>
      <w:t xml:space="preserve"> I, </w:t>
    </w:r>
    <w:proofErr w:type="spellStart"/>
    <w:r w:rsidRPr="00410543">
      <w:rPr>
        <w:sz w:val="18"/>
        <w:szCs w:val="18"/>
      </w:rPr>
      <w:t>Bulatović</w:t>
    </w:r>
    <w:proofErr w:type="spellEnd"/>
    <w:r w:rsidRPr="00410543">
      <w:rPr>
        <w:sz w:val="18"/>
        <w:szCs w:val="18"/>
      </w:rPr>
      <w:t xml:space="preserve"> M, Weber S, </w:t>
    </w:r>
    <w:proofErr w:type="spellStart"/>
    <w:r w:rsidRPr="00410543">
      <w:rPr>
        <w:sz w:val="18"/>
        <w:szCs w:val="18"/>
      </w:rPr>
      <w:t>Tinguely</w:t>
    </w:r>
    <w:proofErr w:type="spellEnd"/>
    <w:r w:rsidRPr="00410543">
      <w:rPr>
        <w:sz w:val="18"/>
        <w:szCs w:val="18"/>
      </w:rPr>
      <w:t xml:space="preserve"> P</w:t>
    </w:r>
  </w:p>
  <w:p w14:paraId="7F2F3882" w14:textId="77777777" w:rsidR="00410543" w:rsidRDefault="004105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557D1D" w14:textId="77777777" w:rsidR="001B59B8" w:rsidRDefault="001B59B8">
      <w:pPr>
        <w:spacing w:after="0" w:line="240" w:lineRule="auto"/>
      </w:pPr>
      <w:r>
        <w:separator/>
      </w:r>
    </w:p>
  </w:footnote>
  <w:footnote w:type="continuationSeparator" w:id="0">
    <w:p w14:paraId="2959CD1E" w14:textId="77777777" w:rsidR="001B59B8" w:rsidRDefault="001B59B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2577"/>
    <w:rsid w:val="00054DB6"/>
    <w:rsid w:val="000F6A27"/>
    <w:rsid w:val="001B59B8"/>
    <w:rsid w:val="00323A16"/>
    <w:rsid w:val="00410543"/>
    <w:rsid w:val="004A73F2"/>
    <w:rsid w:val="00522439"/>
    <w:rsid w:val="00563EE4"/>
    <w:rsid w:val="00584600"/>
    <w:rsid w:val="005A3D77"/>
    <w:rsid w:val="0064765F"/>
    <w:rsid w:val="006944AE"/>
    <w:rsid w:val="007E512C"/>
    <w:rsid w:val="0096248C"/>
    <w:rsid w:val="00B555C0"/>
    <w:rsid w:val="00B72F5E"/>
    <w:rsid w:val="00B770C8"/>
    <w:rsid w:val="00C12284"/>
    <w:rsid w:val="00EB2577"/>
    <w:rsid w:val="00F50738"/>
    <w:rsid w:val="00FB4F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6F87E4"/>
  <w15:chartTrackingRefBased/>
  <w15:docId w15:val="{FEAF9CC1-3A97-45B4-8296-5881C9D4A9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765F"/>
    <w:pPr>
      <w:spacing w:line="360" w:lineRule="auto"/>
      <w:jc w:val="both"/>
    </w:pPr>
    <w:rPr>
      <w:rFonts w:ascii="Arial" w:hAnsi="Arial"/>
      <w:sz w:val="24"/>
    </w:rPr>
  </w:style>
  <w:style w:type="paragraph" w:styleId="Heading1">
    <w:name w:val="heading 1"/>
    <w:basedOn w:val="Normal"/>
    <w:next w:val="Normal"/>
    <w:link w:val="Heading1Char"/>
    <w:uiPriority w:val="9"/>
    <w:qFormat/>
    <w:rsid w:val="0064765F"/>
    <w:pPr>
      <w:keepNext/>
      <w:keepLines/>
      <w:spacing w:before="240" w:after="0"/>
      <w:outlineLvl w:val="0"/>
    </w:pPr>
    <w:rPr>
      <w:rFonts w:eastAsiaTheme="majorEastAsia" w:cstheme="majorBidi"/>
      <w:b/>
      <w:sz w:val="28"/>
      <w:szCs w:val="32"/>
    </w:rPr>
  </w:style>
  <w:style w:type="paragraph" w:styleId="Heading2">
    <w:name w:val="heading 2"/>
    <w:basedOn w:val="Normal"/>
    <w:next w:val="Normal"/>
    <w:link w:val="Heading2Char"/>
    <w:uiPriority w:val="9"/>
    <w:unhideWhenUsed/>
    <w:qFormat/>
    <w:rsid w:val="0064765F"/>
    <w:pPr>
      <w:keepNext/>
      <w:keepLines/>
      <w:spacing w:before="40" w:after="0"/>
      <w:outlineLvl w:val="1"/>
    </w:pPr>
    <w:rPr>
      <w:rFonts w:eastAsiaTheme="majorEastAsia" w:cstheme="majorBidi"/>
      <w:b/>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765F"/>
    <w:rPr>
      <w:rFonts w:ascii="Arial" w:eastAsiaTheme="majorEastAsia" w:hAnsi="Arial" w:cstheme="majorBidi"/>
      <w:b/>
      <w:sz w:val="28"/>
      <w:szCs w:val="32"/>
    </w:rPr>
  </w:style>
  <w:style w:type="character" w:customStyle="1" w:styleId="Heading2Char">
    <w:name w:val="Heading 2 Char"/>
    <w:basedOn w:val="DefaultParagraphFont"/>
    <w:link w:val="Heading2"/>
    <w:uiPriority w:val="9"/>
    <w:rsid w:val="0064765F"/>
    <w:rPr>
      <w:rFonts w:ascii="Arial" w:eastAsiaTheme="majorEastAsia" w:hAnsi="Arial" w:cstheme="majorBidi"/>
      <w:b/>
      <w:sz w:val="24"/>
      <w:szCs w:val="26"/>
    </w:rPr>
  </w:style>
  <w:style w:type="paragraph" w:styleId="Footer">
    <w:name w:val="footer"/>
    <w:basedOn w:val="Normal"/>
    <w:link w:val="FooterChar"/>
    <w:uiPriority w:val="99"/>
    <w:unhideWhenUsed/>
    <w:rsid w:val="006476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765F"/>
    <w:rPr>
      <w:rFonts w:ascii="Arial" w:hAnsi="Arial"/>
      <w:sz w:val="24"/>
    </w:rPr>
  </w:style>
  <w:style w:type="paragraph" w:styleId="Caption">
    <w:name w:val="caption"/>
    <w:basedOn w:val="Normal"/>
    <w:next w:val="Normal"/>
    <w:uiPriority w:val="35"/>
    <w:unhideWhenUsed/>
    <w:qFormat/>
    <w:rsid w:val="0064765F"/>
    <w:pPr>
      <w:spacing w:after="200" w:line="240" w:lineRule="auto"/>
      <w:jc w:val="left"/>
    </w:pPr>
    <w:rPr>
      <w:iCs/>
      <w:szCs w:val="18"/>
    </w:rPr>
  </w:style>
  <w:style w:type="paragraph" w:styleId="Header">
    <w:name w:val="header"/>
    <w:basedOn w:val="Normal"/>
    <w:link w:val="HeaderChar"/>
    <w:uiPriority w:val="99"/>
    <w:unhideWhenUsed/>
    <w:rsid w:val="00410543"/>
    <w:pPr>
      <w:tabs>
        <w:tab w:val="center" w:pos="4513"/>
        <w:tab w:val="right" w:pos="9026"/>
      </w:tabs>
      <w:spacing w:after="0" w:line="240" w:lineRule="auto"/>
    </w:pPr>
  </w:style>
  <w:style w:type="character" w:customStyle="1" w:styleId="HeaderChar">
    <w:name w:val="Header Char"/>
    <w:basedOn w:val="DefaultParagraphFont"/>
    <w:link w:val="Header"/>
    <w:uiPriority w:val="99"/>
    <w:rsid w:val="00410543"/>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9800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glossaryDocument" Target="glossary/document.xml"/><Relationship Id="rId4" Type="http://schemas.openxmlformats.org/officeDocument/2006/relationships/footnotes" Target="footnote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2B612B775464F4785D2E2913E395C6D"/>
        <w:category>
          <w:name w:val="General"/>
          <w:gallery w:val="placeholder"/>
        </w:category>
        <w:types>
          <w:type w:val="bbPlcHdr"/>
        </w:types>
        <w:behaviors>
          <w:behavior w:val="content"/>
        </w:behaviors>
        <w:guid w:val="{C75A0DB0-89F7-416C-AD2F-AC99C7CC52C6}"/>
      </w:docPartPr>
      <w:docPartBody>
        <w:p w:rsidR="00241BEF" w:rsidRDefault="00202BD5" w:rsidP="00202BD5">
          <w:pPr>
            <w:pStyle w:val="A2B612B775464F4785D2E2913E395C6D"/>
          </w:pPr>
          <w:r w:rsidRPr="001E7DE4">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2BD5"/>
    <w:rsid w:val="00202BD5"/>
    <w:rsid w:val="00241BEF"/>
    <w:rsid w:val="007172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02BD5"/>
    <w:rPr>
      <w:color w:val="808080"/>
    </w:rPr>
  </w:style>
  <w:style w:type="paragraph" w:customStyle="1" w:styleId="A2B612B775464F4785D2E2913E395C6D">
    <w:name w:val="A2B612B775464F4785D2E2913E395C6D"/>
    <w:rsid w:val="00202BD5"/>
  </w:style>
  <w:style w:type="paragraph" w:customStyle="1" w:styleId="41980E6598E84F48B4E492C21D27D9BF">
    <w:name w:val="41980E6598E84F48B4E492C21D27D9BF"/>
    <w:rsid w:val="00241BEF"/>
    <w:pPr>
      <w:spacing w:after="0" w:line="240" w:lineRule="auto"/>
    </w:pPr>
    <w:rPr>
      <w:kern w:val="2"/>
      <w:sz w:val="24"/>
      <w:szCs w:val="24"/>
      <w:lang w:val="en-AT" w:eastAsia="en-GB"/>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233</Words>
  <Characters>1332</Characters>
  <Application>Microsoft Office Word</Application>
  <DocSecurity>0</DocSecurity>
  <Lines>11</Lines>
  <Paragraphs>3</Paragraphs>
  <ScaleCrop>false</ScaleCrop>
  <Company>M.D. Anderson Cancer Center</Company>
  <LinksUpToDate>false</LinksUpToDate>
  <CharactersWithSpaces>1562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Paolucci,Iwan</dc:creator>
  <cp:keywords/>
  <dc:description/>
  <cp:lastModifiedBy>ESR - Christoffel Irene</cp:lastModifiedBy>
  <cp:revision>3</cp:revision>
  <dcterms:created xsi:type="dcterms:W3CDTF">2023-09-05T14:55:00Z</dcterms:created>
  <dcterms:modified xsi:type="dcterms:W3CDTF">2023-09-05T14:56:00Z</dcterms:modified>
</cp:coreProperties>
</file>