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528" w:rsidRDefault="005E40C1">
      <w:r w:rsidRPr="007305A6">
        <w:rPr>
          <w:b/>
        </w:rPr>
        <w:t xml:space="preserve">Table </w:t>
      </w:r>
      <w:r w:rsidR="00225BCD">
        <w:rPr>
          <w:b/>
        </w:rPr>
        <w:t>S</w:t>
      </w:r>
      <w:bookmarkStart w:id="0" w:name="_GoBack"/>
      <w:bookmarkEnd w:id="0"/>
      <w:r w:rsidRPr="007305A6">
        <w:rPr>
          <w:b/>
        </w:rPr>
        <w:t>3: Compariso</w:t>
      </w:r>
      <w:r>
        <w:rPr>
          <w:b/>
        </w:rPr>
        <w:t>n of PET- and MRI-parameters in lesions with response vs. no change or progression.</w:t>
      </w:r>
      <w:r>
        <w:t xml:space="preserve"> Note that no T-sites had progression, and no N-sites had no change, therefore analyses of T-sites are performed as lesions with response vs. lesions with no change, and analyses of N-sites are performed as lesions with response vs. lesions with progression. Mean difference and p-value from independent t-test. S</w:t>
      </w:r>
      <w:r w:rsidRPr="00C10526">
        <w:t>ignificant results</w:t>
      </w:r>
      <w:r>
        <w:t xml:space="preserve"> are marked with </w:t>
      </w:r>
      <w:r w:rsidRPr="00C10526">
        <w:t>*</w:t>
      </w:r>
      <w:r>
        <w:t>.</w:t>
      </w:r>
    </w:p>
    <w:p w:rsidR="005E40C1" w:rsidRDefault="005E40C1"/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907"/>
        <w:gridCol w:w="1102"/>
        <w:gridCol w:w="1414"/>
        <w:gridCol w:w="1726"/>
        <w:gridCol w:w="1887"/>
        <w:gridCol w:w="1887"/>
        <w:gridCol w:w="941"/>
        <w:gridCol w:w="324"/>
      </w:tblGrid>
      <w:tr w:rsidR="005E40C1" w:rsidRPr="005E40C1" w:rsidTr="005E40C1">
        <w:trPr>
          <w:trHeight w:val="113"/>
        </w:trPr>
        <w:tc>
          <w:tcPr>
            <w:tcW w:w="445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  <w:tc>
          <w:tcPr>
            <w:tcW w:w="541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b/>
                <w:color w:val="000000" w:themeColor="dark1"/>
                <w:kern w:val="24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b/>
                <w:color w:val="000000" w:themeColor="dark1"/>
                <w:kern w:val="24"/>
                <w:sz w:val="20"/>
                <w:szCs w:val="20"/>
              </w:rPr>
              <w:t>Imaging modality</w:t>
            </w:r>
          </w:p>
        </w:tc>
        <w:tc>
          <w:tcPr>
            <w:tcW w:w="694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b/>
                <w:color w:val="000000" w:themeColor="dark1"/>
                <w:kern w:val="24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b/>
                <w:color w:val="000000" w:themeColor="dark1"/>
                <w:kern w:val="24"/>
                <w:sz w:val="20"/>
                <w:szCs w:val="20"/>
              </w:rPr>
              <w:t>Parameter</w:t>
            </w:r>
          </w:p>
        </w:tc>
        <w:tc>
          <w:tcPr>
            <w:tcW w:w="847" w:type="pct"/>
          </w:tcPr>
          <w:p w:rsidR="005E40C1" w:rsidRPr="005E40C1" w:rsidRDefault="005E40C1" w:rsidP="00107F1F">
            <w:pPr>
              <w:jc w:val="center"/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  <w:t>n (lesion with response + lesions with no change / progression)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  <w:t xml:space="preserve">Mean (range) </w:t>
            </w:r>
          </w:p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  <w:t>of lesions with response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  <w:t xml:space="preserve">Mean (range) </w:t>
            </w:r>
          </w:p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  <w:t>of lesions with no change/progression</w:t>
            </w:r>
          </w:p>
        </w:tc>
        <w:tc>
          <w:tcPr>
            <w:tcW w:w="462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  <w:t>p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b/>
                <w:bCs/>
                <w:kern w:val="24"/>
                <w:sz w:val="20"/>
                <w:szCs w:val="20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 w:val="restar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T-sites</w:t>
            </w:r>
          </w:p>
        </w:tc>
        <w:tc>
          <w:tcPr>
            <w:tcW w:w="541" w:type="pct"/>
            <w:vMerge w:val="restar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FDG-PET</w:t>
            </w: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FDG-SUV</w:t>
            </w: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vertAlign w:val="subscript"/>
              </w:rPr>
              <w:t>peak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9+2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8.0 (2.0-16.5)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17.3 (11.8-22.7)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0.063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MTV41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8+2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41 (0.7-126)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208 (191-225)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0.002*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TLG41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8+2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312 (2-1067)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2410 (1583-3237)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 xml:space="preserve">0.006* 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#</w:t>
            </w: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 w:val="restar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FLT-PET</w:t>
            </w: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FLT-SUV</w:t>
            </w: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vertAlign w:val="subscript"/>
                <w:lang w:val="da-DK"/>
              </w:rPr>
              <w:t>peak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11+3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1.5 (0.6-2.8)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5.7 (2.6-11.5)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 w:rsidRPr="005E40C1">
              <w:rPr>
                <w:rFonts w:eastAsia="Times New Roman" w:cs="Arial"/>
                <w:color w:val="000000" w:themeColor="dark1"/>
                <w:kern w:val="24"/>
                <w:sz w:val="20"/>
                <w:szCs w:val="20"/>
                <w:lang w:val="da-DK"/>
              </w:rPr>
              <w:t xml:space="preserve">0.007* 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eastAsia="Times New Roman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  <w:r w:rsidRPr="005E40C1">
              <w:rPr>
                <w:rFonts w:eastAsia="Times New Roman" w:cs="Arial"/>
                <w:color w:val="000000" w:themeColor="dark1"/>
                <w:kern w:val="24"/>
                <w:sz w:val="20"/>
                <w:szCs w:val="20"/>
                <w:lang w:val="da-DK"/>
              </w:rPr>
              <w:t>#</w:t>
            </w: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PTV50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8+3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21.1 (0.5-91.2)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36.9 (17.6-74.3)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0.472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TLP50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9+3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35.5 (0-119)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120 (37-171)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0.029*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 w:val="restar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DW-MRI</w:t>
            </w: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DWTV25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8+3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41.7 (3.2-137)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126 (17.0-193)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0.067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ADC</w:t>
            </w: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vertAlign w:val="subscript"/>
              </w:rPr>
              <w:t>median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8+3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1.22 (0.82-1.74)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1.44 (1.15-1.74)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0.315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 w:val="restar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N-sites</w:t>
            </w:r>
          </w:p>
        </w:tc>
        <w:tc>
          <w:tcPr>
            <w:tcW w:w="541" w:type="pct"/>
            <w:vMerge w:val="restar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FDG-PET</w:t>
            </w: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FDG</w:t>
            </w: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-SUV</w:t>
            </w: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vertAlign w:val="subscript"/>
                <w:lang w:val="da-DK"/>
              </w:rPr>
              <w:t>peak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8+3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10.8 (5.5-17.3)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11.8 (10.2-13.7)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0.585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MTV41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8+3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17.3 (7.2-27.8)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19.5 (12.3-24.8)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0.684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TLG41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8+3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140 (38-275)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168 (107-203)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0.644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 w:val="restar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FLT-PET</w:t>
            </w: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FLT-SUV</w:t>
            </w: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vertAlign w:val="subscript"/>
                <w:lang w:val="da-DK"/>
              </w:rPr>
              <w:t>peak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9+3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1.6 (1.2-2.1)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2.2 (1.9-2.4)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0.013*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PTV50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3.1 (3.1-3.1)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17.2 (11.1-20.9)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0.148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TLP50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1+3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3.4 (3.4-3.4)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28.6 (21-36)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0.095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 w:val="restar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DW-MRI</w:t>
            </w: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DWTV25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lang w:val="da-DK"/>
              </w:rPr>
              <w:t>9+3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27.5 (9.0-105)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17.0 (14.5-18.4)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0.573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</w:tr>
      <w:tr w:rsidR="005E40C1" w:rsidRPr="005E40C1" w:rsidTr="005E40C1">
        <w:trPr>
          <w:trHeight w:val="113"/>
        </w:trPr>
        <w:tc>
          <w:tcPr>
            <w:tcW w:w="445" w:type="pct"/>
            <w:vMerge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  <w:tc>
          <w:tcPr>
            <w:tcW w:w="694" w:type="pct"/>
            <w:hideMark/>
          </w:tcPr>
          <w:p w:rsidR="005E40C1" w:rsidRPr="005E40C1" w:rsidRDefault="005E40C1" w:rsidP="00107F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ADC</w:t>
            </w: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  <w:vertAlign w:val="subscript"/>
              </w:rPr>
              <w:t>median</w:t>
            </w:r>
          </w:p>
        </w:tc>
        <w:tc>
          <w:tcPr>
            <w:tcW w:w="847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9+3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1.44 (0.88-2.09)</w:t>
            </w:r>
          </w:p>
        </w:tc>
        <w:tc>
          <w:tcPr>
            <w:tcW w:w="926" w:type="pct"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1.67 (1.56-1.85)</w:t>
            </w:r>
          </w:p>
        </w:tc>
        <w:tc>
          <w:tcPr>
            <w:tcW w:w="462" w:type="pct"/>
            <w:hideMark/>
          </w:tcPr>
          <w:p w:rsidR="005E40C1" w:rsidRPr="005E40C1" w:rsidRDefault="005E40C1" w:rsidP="00107F1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E40C1"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  <w:t>0.416</w:t>
            </w:r>
          </w:p>
        </w:tc>
        <w:tc>
          <w:tcPr>
            <w:tcW w:w="159" w:type="pct"/>
          </w:tcPr>
          <w:p w:rsidR="005E40C1" w:rsidRPr="005E40C1" w:rsidRDefault="005E40C1" w:rsidP="00107F1F">
            <w:pPr>
              <w:rPr>
                <w:rFonts w:ascii="Calibri" w:eastAsia="Times New Roman" w:hAnsi="Calibri" w:cs="Arial"/>
                <w:color w:val="000000" w:themeColor="dark1"/>
                <w:kern w:val="24"/>
                <w:sz w:val="20"/>
                <w:szCs w:val="20"/>
              </w:rPr>
            </w:pPr>
          </w:p>
        </w:tc>
      </w:tr>
    </w:tbl>
    <w:p w:rsidR="005E40C1" w:rsidRDefault="005E40C1" w:rsidP="005E40C1">
      <w:r w:rsidRPr="0019097F">
        <w:rPr>
          <w:rFonts w:ascii="Calibri" w:eastAsia="Times New Roman" w:hAnsi="Calibri" w:cs="Arial"/>
          <w:color w:val="000000" w:themeColor="dark1"/>
          <w:kern w:val="24"/>
          <w:sz w:val="20"/>
          <w:szCs w:val="20"/>
        </w:rPr>
        <w:t xml:space="preserve"># </w:t>
      </w:r>
      <w:r>
        <w:rPr>
          <w:rFonts w:ascii="Calibri" w:eastAsia="Times New Roman" w:hAnsi="Calibri" w:cs="Arial"/>
          <w:color w:val="000000" w:themeColor="dark1"/>
          <w:kern w:val="24"/>
          <w:sz w:val="20"/>
          <w:szCs w:val="20"/>
        </w:rPr>
        <w:t>V</w:t>
      </w:r>
      <w:r w:rsidRPr="0019097F">
        <w:rPr>
          <w:rFonts w:ascii="Calibri" w:eastAsia="Times New Roman" w:hAnsi="Calibri" w:cs="Arial"/>
          <w:color w:val="000000" w:themeColor="dark1"/>
          <w:kern w:val="24"/>
          <w:sz w:val="20"/>
          <w:szCs w:val="20"/>
        </w:rPr>
        <w:t>alue</w:t>
      </w:r>
      <w:r>
        <w:rPr>
          <w:rFonts w:ascii="Calibri" w:eastAsia="Times New Roman" w:hAnsi="Calibri" w:cs="Arial"/>
          <w:color w:val="000000" w:themeColor="dark1"/>
          <w:kern w:val="24"/>
          <w:sz w:val="20"/>
          <w:szCs w:val="20"/>
        </w:rPr>
        <w:t>s</w:t>
      </w:r>
      <w:r w:rsidRPr="0019097F">
        <w:rPr>
          <w:rFonts w:ascii="Calibri" w:eastAsia="Times New Roman" w:hAnsi="Calibri" w:cs="Arial"/>
          <w:color w:val="000000" w:themeColor="dark1"/>
          <w:kern w:val="24"/>
          <w:sz w:val="20"/>
          <w:szCs w:val="20"/>
        </w:rPr>
        <w:t xml:space="preserve"> </w:t>
      </w:r>
      <w:r>
        <w:rPr>
          <w:rFonts w:ascii="Calibri" w:eastAsia="Times New Roman" w:hAnsi="Calibri" w:cs="Arial"/>
          <w:color w:val="000000" w:themeColor="dark1"/>
          <w:kern w:val="24"/>
          <w:sz w:val="20"/>
          <w:szCs w:val="20"/>
        </w:rPr>
        <w:t xml:space="preserve">are </w:t>
      </w:r>
      <w:r w:rsidRPr="0019097F">
        <w:rPr>
          <w:rFonts w:ascii="Calibri" w:eastAsia="Times New Roman" w:hAnsi="Calibri" w:cs="Arial"/>
          <w:color w:val="000000" w:themeColor="dark1"/>
          <w:kern w:val="24"/>
          <w:sz w:val="20"/>
          <w:szCs w:val="20"/>
        </w:rPr>
        <w:t>estimated from log-transformed data</w:t>
      </w:r>
      <w:r>
        <w:rPr>
          <w:rFonts w:ascii="Calibri" w:eastAsia="Times New Roman" w:hAnsi="Calibri" w:cs="Arial"/>
          <w:color w:val="000000" w:themeColor="dark1"/>
          <w:kern w:val="24"/>
          <w:sz w:val="20"/>
          <w:szCs w:val="20"/>
        </w:rPr>
        <w:t>.</w:t>
      </w:r>
    </w:p>
    <w:p w:rsidR="005E40C1" w:rsidRDefault="005E40C1"/>
    <w:p w:rsidR="005E40C1" w:rsidRDefault="005E40C1"/>
    <w:sectPr w:rsidR="005E40C1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33E12"/>
    <w:rsid w:val="00033E12"/>
    <w:rsid w:val="00225BCD"/>
    <w:rsid w:val="003379AA"/>
    <w:rsid w:val="005E40C1"/>
    <w:rsid w:val="007E2500"/>
    <w:rsid w:val="00B6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1362</Characters>
  <Application>Microsoft Office Word</Application>
  <DocSecurity>0</DocSecurity>
  <Lines>170</Lines>
  <Paragraphs>114</Paragraphs>
  <ScaleCrop>false</ScaleCrop>
  <Company>Region Hovedstaden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Nøhr Christensen</dc:creator>
  <cp:keywords/>
  <dc:description/>
  <cp:lastModifiedBy>MPACANA</cp:lastModifiedBy>
  <cp:revision>3</cp:revision>
  <dcterms:created xsi:type="dcterms:W3CDTF">2019-08-28T10:00:00Z</dcterms:created>
  <dcterms:modified xsi:type="dcterms:W3CDTF">2019-12-27T23:38:00Z</dcterms:modified>
</cp:coreProperties>
</file>