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9740" w14:textId="77777777" w:rsidR="00C300B6" w:rsidRDefault="00C300B6" w:rsidP="0026385F">
      <w:pPr>
        <w:spacing w:line="480" w:lineRule="auto"/>
        <w:rPr>
          <w:rFonts w:asciiTheme="majorHAnsi" w:hAnsiTheme="majorHAnsi" w:cstheme="majorHAnsi"/>
        </w:rPr>
      </w:pPr>
    </w:p>
    <w:p w14:paraId="7531AE32" w14:textId="77777777" w:rsidR="00C300B6" w:rsidRDefault="00C300B6" w:rsidP="0026385F">
      <w:pPr>
        <w:spacing w:line="480" w:lineRule="auto"/>
        <w:rPr>
          <w:rFonts w:asciiTheme="majorHAnsi" w:hAnsiTheme="majorHAnsi" w:cstheme="majorHAnsi"/>
        </w:rPr>
      </w:pPr>
    </w:p>
    <w:p w14:paraId="6869DCC2" w14:textId="7303FF01" w:rsidR="0026385F" w:rsidRPr="00DE366B" w:rsidRDefault="00640E10" w:rsidP="0026385F">
      <w:pPr>
        <w:spacing w:line="48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Supplementary t</w:t>
      </w:r>
      <w:r w:rsidR="0026385F">
        <w:rPr>
          <w:rFonts w:asciiTheme="majorHAnsi" w:hAnsiTheme="majorHAnsi" w:cstheme="majorHAnsi"/>
        </w:rPr>
        <w:t>able</w:t>
      </w:r>
      <w:r>
        <w:rPr>
          <w:rFonts w:asciiTheme="majorHAnsi" w:hAnsiTheme="majorHAnsi" w:cstheme="majorHAnsi"/>
        </w:rPr>
        <w:t xml:space="preserve"> 1</w:t>
      </w:r>
      <w:r w:rsidR="0026385F">
        <w:rPr>
          <w:rFonts w:asciiTheme="majorHAnsi" w:hAnsiTheme="majorHAnsi" w:cstheme="majorHAnsi"/>
        </w:rPr>
        <w:t>: Hazard ratios and 95% confidence intervals for overall survival including all patients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6385F" w14:paraId="3F0C9F74" w14:textId="77777777" w:rsidTr="00586AAF">
        <w:tc>
          <w:tcPr>
            <w:tcW w:w="1812" w:type="dxa"/>
          </w:tcPr>
          <w:p w14:paraId="4046F6A9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 xml:space="preserve"> </w:t>
            </w:r>
          </w:p>
        </w:tc>
        <w:tc>
          <w:tcPr>
            <w:tcW w:w="3624" w:type="dxa"/>
            <w:gridSpan w:val="2"/>
          </w:tcPr>
          <w:p w14:paraId="7D7198B8" w14:textId="77777777" w:rsidR="0026385F" w:rsidRDefault="0026385F" w:rsidP="00586AAF">
            <w:pPr>
              <w:spacing w:after="160" w:line="259" w:lineRule="auto"/>
              <w:jc w:val="center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Unadjusted</w:t>
            </w:r>
          </w:p>
        </w:tc>
        <w:tc>
          <w:tcPr>
            <w:tcW w:w="3626" w:type="dxa"/>
            <w:gridSpan w:val="2"/>
          </w:tcPr>
          <w:p w14:paraId="09FCB732" w14:textId="77777777" w:rsidR="0026385F" w:rsidRDefault="0026385F" w:rsidP="00586AAF">
            <w:pPr>
              <w:spacing w:after="160" w:line="259" w:lineRule="auto"/>
              <w:jc w:val="center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Adjusted</w:t>
            </w:r>
            <w:r w:rsidRPr="00DE366B">
              <w:rPr>
                <w:rFonts w:asciiTheme="majorHAnsi" w:eastAsia="Arial" w:hAnsiTheme="majorHAnsi" w:cstheme="majorHAnsi"/>
                <w:b/>
                <w:color w:val="000000"/>
                <w:vertAlign w:val="superscript"/>
              </w:rPr>
              <w:t>*</w:t>
            </w:r>
          </w:p>
        </w:tc>
      </w:tr>
      <w:tr w:rsidR="0026385F" w14:paraId="6345093A" w14:textId="77777777" w:rsidTr="00586AAF">
        <w:tc>
          <w:tcPr>
            <w:tcW w:w="1812" w:type="dxa"/>
          </w:tcPr>
          <w:p w14:paraId="624DF80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Variable</w:t>
            </w:r>
          </w:p>
        </w:tc>
        <w:tc>
          <w:tcPr>
            <w:tcW w:w="1812" w:type="dxa"/>
          </w:tcPr>
          <w:p w14:paraId="643060E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HR (95% CI)</w:t>
            </w:r>
          </w:p>
        </w:tc>
        <w:tc>
          <w:tcPr>
            <w:tcW w:w="1812" w:type="dxa"/>
          </w:tcPr>
          <w:p w14:paraId="2F01971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p-value</w:t>
            </w:r>
          </w:p>
        </w:tc>
        <w:tc>
          <w:tcPr>
            <w:tcW w:w="1813" w:type="dxa"/>
          </w:tcPr>
          <w:p w14:paraId="6B0F2BA5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HR (95% CI)</w:t>
            </w:r>
          </w:p>
        </w:tc>
        <w:tc>
          <w:tcPr>
            <w:tcW w:w="1813" w:type="dxa"/>
          </w:tcPr>
          <w:p w14:paraId="400A394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color w:val="000000"/>
              </w:rPr>
              <w:t>p-value</w:t>
            </w:r>
          </w:p>
        </w:tc>
      </w:tr>
      <w:tr w:rsidR="0026385F" w14:paraId="24EF546F" w14:textId="77777777" w:rsidTr="00586AAF">
        <w:tc>
          <w:tcPr>
            <w:tcW w:w="1812" w:type="dxa"/>
          </w:tcPr>
          <w:p w14:paraId="6A7FD02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Total TLV</w:t>
            </w:r>
          </w:p>
        </w:tc>
        <w:tc>
          <w:tcPr>
            <w:tcW w:w="1812" w:type="dxa"/>
          </w:tcPr>
          <w:p w14:paraId="44608EE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2" w:type="dxa"/>
          </w:tcPr>
          <w:p w14:paraId="47580D7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&lt;0.001</w:t>
            </w:r>
          </w:p>
        </w:tc>
        <w:tc>
          <w:tcPr>
            <w:tcW w:w="1813" w:type="dxa"/>
          </w:tcPr>
          <w:p w14:paraId="180A43C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5CD65107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&lt;0.001</w:t>
            </w:r>
          </w:p>
        </w:tc>
      </w:tr>
      <w:tr w:rsidR="0026385F" w14:paraId="5FFE4EFA" w14:textId="77777777" w:rsidTr="00586AAF">
        <w:tc>
          <w:tcPr>
            <w:tcW w:w="1812" w:type="dxa"/>
          </w:tcPr>
          <w:p w14:paraId="0C86E677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</w:t>
            </w:r>
          </w:p>
        </w:tc>
        <w:tc>
          <w:tcPr>
            <w:tcW w:w="1812" w:type="dxa"/>
          </w:tcPr>
          <w:p w14:paraId="2E44294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2" w:type="dxa"/>
          </w:tcPr>
          <w:p w14:paraId="07F0CF5B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3C4F96DF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3" w:type="dxa"/>
          </w:tcPr>
          <w:p w14:paraId="545BC76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5054A399" w14:textId="77777777" w:rsidTr="00586AAF">
        <w:tc>
          <w:tcPr>
            <w:tcW w:w="1812" w:type="dxa"/>
          </w:tcPr>
          <w:p w14:paraId="3A28B75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≤ median</w:t>
            </w:r>
          </w:p>
        </w:tc>
        <w:tc>
          <w:tcPr>
            <w:tcW w:w="1812" w:type="dxa"/>
          </w:tcPr>
          <w:p w14:paraId="470F763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0.80 (0.29; 2.21)</w:t>
            </w:r>
          </w:p>
        </w:tc>
        <w:tc>
          <w:tcPr>
            <w:tcW w:w="1812" w:type="dxa"/>
          </w:tcPr>
          <w:p w14:paraId="37376A2F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63F1621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</w:t>
            </w:r>
            <w:r>
              <w:rPr>
                <w:rFonts w:asciiTheme="majorHAnsi" w:eastAsia="Arial" w:hAnsiTheme="majorHAnsi" w:cstheme="majorHAnsi"/>
                <w:color w:val="000000"/>
              </w:rPr>
              <w:t>7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0 (0.2</w:t>
            </w:r>
            <w:r>
              <w:rPr>
                <w:rFonts w:asciiTheme="majorHAnsi" w:eastAsia="Arial" w:hAnsiTheme="majorHAnsi" w:cstheme="majorHAnsi"/>
                <w:color w:val="000000"/>
              </w:rPr>
              <w:t>5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 xml:space="preserve">; </w:t>
            </w:r>
            <w:r>
              <w:rPr>
                <w:rFonts w:asciiTheme="majorHAnsi" w:eastAsia="Arial" w:hAnsiTheme="majorHAnsi" w:cstheme="majorHAnsi"/>
                <w:color w:val="000000"/>
              </w:rPr>
              <w:t>1.94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)</w:t>
            </w:r>
          </w:p>
        </w:tc>
        <w:tc>
          <w:tcPr>
            <w:tcW w:w="1813" w:type="dxa"/>
          </w:tcPr>
          <w:p w14:paraId="3E4DF8F5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5A622E2E" w14:textId="77777777" w:rsidTr="00586AAF">
        <w:tc>
          <w:tcPr>
            <w:tcW w:w="1812" w:type="dxa"/>
          </w:tcPr>
          <w:p w14:paraId="5A15013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&gt; median</w:t>
            </w:r>
          </w:p>
        </w:tc>
        <w:tc>
          <w:tcPr>
            <w:tcW w:w="1812" w:type="dxa"/>
          </w:tcPr>
          <w:p w14:paraId="72DBA21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2.89 (1.21; 6.90)</w:t>
            </w:r>
          </w:p>
        </w:tc>
        <w:tc>
          <w:tcPr>
            <w:tcW w:w="1812" w:type="dxa"/>
          </w:tcPr>
          <w:p w14:paraId="6EE7599F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3C662B5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43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 xml:space="preserve"> (1.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0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 xml:space="preserve">1; 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5.88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)</w:t>
            </w:r>
          </w:p>
        </w:tc>
        <w:tc>
          <w:tcPr>
            <w:tcW w:w="1813" w:type="dxa"/>
          </w:tcPr>
          <w:p w14:paraId="369A5957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1A6C15F6" w14:textId="77777777" w:rsidTr="00586AAF">
        <w:tc>
          <w:tcPr>
            <w:tcW w:w="1812" w:type="dxa"/>
          </w:tcPr>
          <w:p w14:paraId="039270CF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Bone TLV</w:t>
            </w:r>
          </w:p>
        </w:tc>
        <w:tc>
          <w:tcPr>
            <w:tcW w:w="1812" w:type="dxa"/>
          </w:tcPr>
          <w:p w14:paraId="23FE5D5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2" w:type="dxa"/>
          </w:tcPr>
          <w:p w14:paraId="70507A0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0.003</w:t>
            </w:r>
          </w:p>
        </w:tc>
        <w:tc>
          <w:tcPr>
            <w:tcW w:w="1813" w:type="dxa"/>
          </w:tcPr>
          <w:p w14:paraId="5A670037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3C80208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0.008</w:t>
            </w:r>
          </w:p>
        </w:tc>
      </w:tr>
      <w:tr w:rsidR="0026385F" w14:paraId="65E64AB6" w14:textId="77777777" w:rsidTr="00586AAF">
        <w:tc>
          <w:tcPr>
            <w:tcW w:w="1812" w:type="dxa"/>
          </w:tcPr>
          <w:p w14:paraId="3F93461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</w:t>
            </w:r>
          </w:p>
        </w:tc>
        <w:tc>
          <w:tcPr>
            <w:tcW w:w="1812" w:type="dxa"/>
          </w:tcPr>
          <w:p w14:paraId="0FF41A3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2" w:type="dxa"/>
          </w:tcPr>
          <w:p w14:paraId="229ED5F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42828B9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3" w:type="dxa"/>
          </w:tcPr>
          <w:p w14:paraId="25310DA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1335D33C" w14:textId="77777777" w:rsidTr="00586AAF">
        <w:tc>
          <w:tcPr>
            <w:tcW w:w="1812" w:type="dxa"/>
          </w:tcPr>
          <w:p w14:paraId="4ECD100B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&gt;0</w:t>
            </w:r>
          </w:p>
        </w:tc>
        <w:tc>
          <w:tcPr>
            <w:tcW w:w="1812" w:type="dxa"/>
          </w:tcPr>
          <w:p w14:paraId="2BED4D5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2.56 (1.42; 4.61)</w:t>
            </w:r>
          </w:p>
        </w:tc>
        <w:tc>
          <w:tcPr>
            <w:tcW w:w="1812" w:type="dxa"/>
          </w:tcPr>
          <w:p w14:paraId="49BDBAA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0EAF938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34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 xml:space="preserve"> (1.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30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; 4.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24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)</w:t>
            </w:r>
          </w:p>
        </w:tc>
        <w:tc>
          <w:tcPr>
            <w:tcW w:w="1813" w:type="dxa"/>
          </w:tcPr>
          <w:p w14:paraId="00BAA418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160D7463" w14:textId="77777777" w:rsidTr="00586AAF">
        <w:tc>
          <w:tcPr>
            <w:tcW w:w="1812" w:type="dxa"/>
          </w:tcPr>
          <w:p w14:paraId="12F56637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Lymph node TLV</w:t>
            </w:r>
          </w:p>
        </w:tc>
        <w:tc>
          <w:tcPr>
            <w:tcW w:w="1812" w:type="dxa"/>
          </w:tcPr>
          <w:p w14:paraId="6B5EFA8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2" w:type="dxa"/>
          </w:tcPr>
          <w:p w14:paraId="35BEB5A6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0.023</w:t>
            </w:r>
          </w:p>
        </w:tc>
        <w:tc>
          <w:tcPr>
            <w:tcW w:w="1813" w:type="dxa"/>
          </w:tcPr>
          <w:p w14:paraId="704B690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18086B6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0.044</w:t>
            </w:r>
          </w:p>
        </w:tc>
      </w:tr>
      <w:tr w:rsidR="0026385F" w14:paraId="007633A0" w14:textId="77777777" w:rsidTr="00586AAF">
        <w:tc>
          <w:tcPr>
            <w:tcW w:w="1812" w:type="dxa"/>
          </w:tcPr>
          <w:p w14:paraId="1D36BA4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</w:t>
            </w:r>
          </w:p>
        </w:tc>
        <w:tc>
          <w:tcPr>
            <w:tcW w:w="1812" w:type="dxa"/>
          </w:tcPr>
          <w:p w14:paraId="5794239B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2" w:type="dxa"/>
          </w:tcPr>
          <w:p w14:paraId="6926E2E6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13DB797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3" w:type="dxa"/>
          </w:tcPr>
          <w:p w14:paraId="65D03B0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7B9837F5" w14:textId="77777777" w:rsidTr="00586AAF">
        <w:tc>
          <w:tcPr>
            <w:tcW w:w="1812" w:type="dxa"/>
          </w:tcPr>
          <w:p w14:paraId="51A722B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≤ median</w:t>
            </w:r>
          </w:p>
        </w:tc>
        <w:tc>
          <w:tcPr>
            <w:tcW w:w="1812" w:type="dxa"/>
          </w:tcPr>
          <w:p w14:paraId="13EAC888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1.19 (0.52; 2.71)</w:t>
            </w:r>
          </w:p>
        </w:tc>
        <w:tc>
          <w:tcPr>
            <w:tcW w:w="1812" w:type="dxa"/>
          </w:tcPr>
          <w:p w14:paraId="311BBB6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0FF07E5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1.</w:t>
            </w:r>
            <w:r>
              <w:rPr>
                <w:rFonts w:asciiTheme="majorHAnsi" w:eastAsia="Arial" w:hAnsiTheme="majorHAnsi" w:cstheme="majorHAnsi"/>
                <w:color w:val="000000"/>
              </w:rPr>
              <w:t>03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 xml:space="preserve"> (0.</w:t>
            </w:r>
            <w:r>
              <w:rPr>
                <w:rFonts w:asciiTheme="majorHAnsi" w:eastAsia="Arial" w:hAnsiTheme="majorHAnsi" w:cstheme="majorHAnsi"/>
                <w:color w:val="000000"/>
              </w:rPr>
              <w:t>45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; 2.</w:t>
            </w:r>
            <w:r>
              <w:rPr>
                <w:rFonts w:asciiTheme="majorHAnsi" w:eastAsia="Arial" w:hAnsiTheme="majorHAnsi" w:cstheme="majorHAnsi"/>
                <w:color w:val="000000"/>
              </w:rPr>
              <w:t>38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)</w:t>
            </w:r>
          </w:p>
        </w:tc>
        <w:tc>
          <w:tcPr>
            <w:tcW w:w="1813" w:type="dxa"/>
          </w:tcPr>
          <w:p w14:paraId="182C6E82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737A9CE3" w14:textId="77777777" w:rsidTr="00586AAF">
        <w:tc>
          <w:tcPr>
            <w:tcW w:w="1812" w:type="dxa"/>
          </w:tcPr>
          <w:p w14:paraId="19A79DD4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&gt; median</w:t>
            </w:r>
          </w:p>
        </w:tc>
        <w:tc>
          <w:tcPr>
            <w:tcW w:w="1812" w:type="dxa"/>
          </w:tcPr>
          <w:p w14:paraId="4E5E902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2.62 (1.38; 4.98)</w:t>
            </w:r>
          </w:p>
        </w:tc>
        <w:tc>
          <w:tcPr>
            <w:tcW w:w="1812" w:type="dxa"/>
          </w:tcPr>
          <w:p w14:paraId="1CCDF71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248D5160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2.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35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 xml:space="preserve"> (1.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23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; 4.</w:t>
            </w:r>
            <w:r>
              <w:rPr>
                <w:rFonts w:asciiTheme="majorHAnsi" w:eastAsia="Arial" w:hAnsiTheme="majorHAnsi" w:cstheme="majorHAnsi"/>
                <w:b/>
                <w:bCs/>
                <w:color w:val="000000"/>
              </w:rPr>
              <w:t>49</w:t>
            </w:r>
            <w:r w:rsidRPr="00DE366B">
              <w:rPr>
                <w:rFonts w:asciiTheme="majorHAnsi" w:eastAsia="Arial" w:hAnsiTheme="majorHAnsi" w:cstheme="majorHAnsi"/>
                <w:b/>
                <w:bCs/>
                <w:color w:val="000000"/>
              </w:rPr>
              <w:t>)</w:t>
            </w:r>
          </w:p>
        </w:tc>
        <w:tc>
          <w:tcPr>
            <w:tcW w:w="1813" w:type="dxa"/>
          </w:tcPr>
          <w:p w14:paraId="5C779AC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3BB2D575" w14:textId="77777777" w:rsidTr="00586AAF">
        <w:tc>
          <w:tcPr>
            <w:tcW w:w="1812" w:type="dxa"/>
          </w:tcPr>
          <w:p w14:paraId="41E19851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Prostate TLV</w:t>
            </w:r>
          </w:p>
        </w:tc>
        <w:tc>
          <w:tcPr>
            <w:tcW w:w="1812" w:type="dxa"/>
          </w:tcPr>
          <w:p w14:paraId="069D2BF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2" w:type="dxa"/>
          </w:tcPr>
          <w:p w14:paraId="56ACD369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0.006</w:t>
            </w:r>
          </w:p>
        </w:tc>
        <w:tc>
          <w:tcPr>
            <w:tcW w:w="1813" w:type="dxa"/>
          </w:tcPr>
          <w:p w14:paraId="3F3748D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46F18CC9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0.010</w:t>
            </w:r>
          </w:p>
        </w:tc>
      </w:tr>
      <w:tr w:rsidR="0026385F" w14:paraId="0C2E92F8" w14:textId="77777777" w:rsidTr="00586AAF">
        <w:tc>
          <w:tcPr>
            <w:tcW w:w="1812" w:type="dxa"/>
          </w:tcPr>
          <w:p w14:paraId="56B3CC8F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</w:t>
            </w:r>
          </w:p>
        </w:tc>
        <w:tc>
          <w:tcPr>
            <w:tcW w:w="1812" w:type="dxa"/>
          </w:tcPr>
          <w:p w14:paraId="4ABB68B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2" w:type="dxa"/>
          </w:tcPr>
          <w:p w14:paraId="12ADC586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2F7F5543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 (Ref.)</w:t>
            </w:r>
          </w:p>
        </w:tc>
        <w:tc>
          <w:tcPr>
            <w:tcW w:w="1813" w:type="dxa"/>
          </w:tcPr>
          <w:p w14:paraId="42F6ABEE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27B1395F" w14:textId="77777777" w:rsidTr="00586AAF">
        <w:tc>
          <w:tcPr>
            <w:tcW w:w="1812" w:type="dxa"/>
          </w:tcPr>
          <w:p w14:paraId="71C8EED6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≤ median</w:t>
            </w:r>
          </w:p>
        </w:tc>
        <w:tc>
          <w:tcPr>
            <w:tcW w:w="1812" w:type="dxa"/>
          </w:tcPr>
          <w:p w14:paraId="447F712B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0.49 (0.21; 1.15)</w:t>
            </w:r>
          </w:p>
        </w:tc>
        <w:tc>
          <w:tcPr>
            <w:tcW w:w="1812" w:type="dxa"/>
          </w:tcPr>
          <w:p w14:paraId="682547F9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794714F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0.4</w:t>
            </w:r>
            <w:r>
              <w:rPr>
                <w:rFonts w:asciiTheme="majorHAnsi" w:eastAsia="Arial" w:hAnsiTheme="majorHAnsi" w:cstheme="majorHAnsi"/>
                <w:color w:val="000000"/>
              </w:rPr>
              <w:t>7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 xml:space="preserve"> (0.2</w:t>
            </w:r>
            <w:r>
              <w:rPr>
                <w:rFonts w:asciiTheme="majorHAnsi" w:eastAsia="Arial" w:hAnsiTheme="majorHAnsi" w:cstheme="majorHAnsi"/>
                <w:color w:val="000000"/>
              </w:rPr>
              <w:t>0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; 1.</w:t>
            </w:r>
            <w:r>
              <w:rPr>
                <w:rFonts w:asciiTheme="majorHAnsi" w:eastAsia="Arial" w:hAnsiTheme="majorHAnsi" w:cstheme="majorHAnsi"/>
                <w:color w:val="000000"/>
              </w:rPr>
              <w:t>09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)</w:t>
            </w:r>
          </w:p>
        </w:tc>
        <w:tc>
          <w:tcPr>
            <w:tcW w:w="1813" w:type="dxa"/>
          </w:tcPr>
          <w:p w14:paraId="36FD1F94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  <w:tr w:rsidR="0026385F" w14:paraId="4C5B6A12" w14:textId="77777777" w:rsidTr="00586AAF">
        <w:tc>
          <w:tcPr>
            <w:tcW w:w="1812" w:type="dxa"/>
          </w:tcPr>
          <w:p w14:paraId="54F2CBB9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&gt; median</w:t>
            </w:r>
          </w:p>
        </w:tc>
        <w:tc>
          <w:tcPr>
            <w:tcW w:w="1812" w:type="dxa"/>
          </w:tcPr>
          <w:p w14:paraId="017E6CBA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1.64 (0.87; 3.07)</w:t>
            </w:r>
          </w:p>
        </w:tc>
        <w:tc>
          <w:tcPr>
            <w:tcW w:w="1812" w:type="dxa"/>
          </w:tcPr>
          <w:p w14:paraId="6A1DB9FD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813" w:type="dxa"/>
          </w:tcPr>
          <w:p w14:paraId="11751560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  <w:r w:rsidRPr="00DE366B">
              <w:rPr>
                <w:rFonts w:asciiTheme="majorHAnsi" w:eastAsia="Arial" w:hAnsiTheme="majorHAnsi" w:cstheme="majorHAnsi"/>
                <w:color w:val="000000"/>
              </w:rPr>
              <w:t>1.</w:t>
            </w:r>
            <w:r>
              <w:rPr>
                <w:rFonts w:asciiTheme="majorHAnsi" w:eastAsia="Arial" w:hAnsiTheme="majorHAnsi" w:cstheme="majorHAnsi"/>
                <w:color w:val="000000"/>
              </w:rPr>
              <w:t>46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 xml:space="preserve"> (0.</w:t>
            </w:r>
            <w:r>
              <w:rPr>
                <w:rFonts w:asciiTheme="majorHAnsi" w:eastAsia="Arial" w:hAnsiTheme="majorHAnsi" w:cstheme="majorHAnsi"/>
                <w:color w:val="000000"/>
              </w:rPr>
              <w:t>78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 xml:space="preserve">; </w:t>
            </w:r>
            <w:r>
              <w:rPr>
                <w:rFonts w:asciiTheme="majorHAnsi" w:eastAsia="Arial" w:hAnsiTheme="majorHAnsi" w:cstheme="majorHAnsi"/>
                <w:color w:val="000000"/>
              </w:rPr>
              <w:t>2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.</w:t>
            </w:r>
            <w:r>
              <w:rPr>
                <w:rFonts w:asciiTheme="majorHAnsi" w:eastAsia="Arial" w:hAnsiTheme="majorHAnsi" w:cstheme="majorHAnsi"/>
                <w:color w:val="000000"/>
              </w:rPr>
              <w:t>76</w:t>
            </w:r>
            <w:r w:rsidRPr="00DE366B">
              <w:rPr>
                <w:rFonts w:asciiTheme="majorHAnsi" w:eastAsia="Arial" w:hAnsiTheme="majorHAnsi" w:cstheme="majorHAnsi"/>
                <w:color w:val="000000"/>
              </w:rPr>
              <w:t>)</w:t>
            </w:r>
          </w:p>
        </w:tc>
        <w:tc>
          <w:tcPr>
            <w:tcW w:w="1813" w:type="dxa"/>
          </w:tcPr>
          <w:p w14:paraId="53C1C97C" w14:textId="77777777" w:rsidR="0026385F" w:rsidRDefault="0026385F" w:rsidP="00586AAF">
            <w:pPr>
              <w:spacing w:after="160" w:line="259" w:lineRule="auto"/>
              <w:rPr>
                <w:rFonts w:asciiTheme="majorHAnsi" w:hAnsiTheme="majorHAnsi" w:cstheme="majorHAnsi"/>
              </w:rPr>
            </w:pPr>
          </w:p>
        </w:tc>
      </w:tr>
    </w:tbl>
    <w:p w14:paraId="59A0B8DC" w14:textId="0A2C9C3F" w:rsidR="00C300B6" w:rsidRDefault="0026385F" w:rsidP="00C64BA6">
      <w:pPr>
        <w:spacing w:after="160" w:line="480" w:lineRule="auto"/>
        <w:rPr>
          <w:rFonts w:asciiTheme="majorHAnsi" w:hAnsiTheme="majorHAnsi" w:cstheme="majorHAnsi"/>
        </w:rPr>
      </w:pPr>
      <w:r w:rsidRPr="00DE366B">
        <w:rPr>
          <w:rFonts w:asciiTheme="majorHAnsi" w:eastAsia="Arial" w:hAnsiTheme="majorHAnsi" w:cstheme="majorHAnsi"/>
          <w:color w:val="000000"/>
          <w:vertAlign w:val="superscript"/>
        </w:rPr>
        <w:lastRenderedPageBreak/>
        <w:t>*</w:t>
      </w:r>
      <w:r w:rsidRPr="00DE366B">
        <w:rPr>
          <w:rFonts w:asciiTheme="majorHAnsi" w:eastAsia="Arial" w:hAnsiTheme="majorHAnsi" w:cstheme="majorHAnsi"/>
          <w:color w:val="000000"/>
        </w:rPr>
        <w:t>Adjusted for age</w:t>
      </w:r>
      <w:r>
        <w:rPr>
          <w:rFonts w:asciiTheme="majorHAnsi" w:hAnsiTheme="majorHAnsi" w:cstheme="majorHAnsi"/>
        </w:rPr>
        <w:t xml:space="preserve">. </w:t>
      </w:r>
      <w:r w:rsidRPr="00DE366B">
        <w:rPr>
          <w:rFonts w:asciiTheme="majorHAnsi" w:hAnsiTheme="majorHAnsi" w:cstheme="majorHAnsi"/>
        </w:rPr>
        <w:t xml:space="preserve">Hazard ratios (HR) and 95% confidence intervals (95% CI) derived from Cox regression analyses. Analyses combine patients from the primary staging cohort and the biochemical recurrence cohort. </w:t>
      </w:r>
    </w:p>
    <w:p w14:paraId="192E8653" w14:textId="7CB09FAF" w:rsidR="00C300B6" w:rsidRDefault="00C300B6" w:rsidP="0026385F">
      <w:pPr>
        <w:spacing w:after="160" w:line="480" w:lineRule="auto"/>
        <w:rPr>
          <w:rFonts w:asciiTheme="majorHAnsi" w:hAnsiTheme="majorHAnsi" w:cstheme="majorHAnsi"/>
        </w:rPr>
      </w:pPr>
    </w:p>
    <w:p w14:paraId="5547D606" w14:textId="3D39E561" w:rsidR="001558D1" w:rsidRDefault="001558D1"/>
    <w:sectPr w:rsidR="001558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5229F" w14:textId="77777777" w:rsidR="00C64BA6" w:rsidRDefault="00C64BA6" w:rsidP="00C64BA6">
      <w:r>
        <w:separator/>
      </w:r>
    </w:p>
  </w:endnote>
  <w:endnote w:type="continuationSeparator" w:id="0">
    <w:p w14:paraId="0F06D8CD" w14:textId="77777777" w:rsidR="00C64BA6" w:rsidRDefault="00C64BA6" w:rsidP="00C64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9899580"/>
      <w:docPartObj>
        <w:docPartGallery w:val="Page Numbers (Bottom of Page)"/>
        <w:docPartUnique/>
      </w:docPartObj>
    </w:sdtPr>
    <w:sdtContent>
      <w:p w14:paraId="5178E52F" w14:textId="7B244DD2" w:rsidR="00C64BA6" w:rsidRDefault="00C64BA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4DC31DB" w14:textId="77777777" w:rsidR="00C64BA6" w:rsidRDefault="00C64BA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CBB64" w14:textId="77777777" w:rsidR="00C64BA6" w:rsidRDefault="00C64BA6" w:rsidP="00C64BA6">
      <w:r>
        <w:separator/>
      </w:r>
    </w:p>
  </w:footnote>
  <w:footnote w:type="continuationSeparator" w:id="0">
    <w:p w14:paraId="2D3C5443" w14:textId="77777777" w:rsidR="00C64BA6" w:rsidRDefault="00C64BA6" w:rsidP="00C64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8F"/>
    <w:rsid w:val="001558D1"/>
    <w:rsid w:val="00184B23"/>
    <w:rsid w:val="00222E52"/>
    <w:rsid w:val="0026385F"/>
    <w:rsid w:val="0032248B"/>
    <w:rsid w:val="00353B5D"/>
    <w:rsid w:val="00497C97"/>
    <w:rsid w:val="004E1484"/>
    <w:rsid w:val="005941D2"/>
    <w:rsid w:val="00640E10"/>
    <w:rsid w:val="007206FC"/>
    <w:rsid w:val="00861FBD"/>
    <w:rsid w:val="00976CBA"/>
    <w:rsid w:val="00A9501D"/>
    <w:rsid w:val="00BD7212"/>
    <w:rsid w:val="00C300B6"/>
    <w:rsid w:val="00C64BA6"/>
    <w:rsid w:val="00C93A26"/>
    <w:rsid w:val="00D260A3"/>
    <w:rsid w:val="00EA228F"/>
    <w:rsid w:val="00F807E3"/>
    <w:rsid w:val="00F84BF8"/>
    <w:rsid w:val="00FC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6B56B"/>
  <w15:chartTrackingRefBased/>
  <w15:docId w15:val="{801C64E2-6E0B-414A-9201-B09F8637D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5F"/>
    <w:pPr>
      <w:spacing w:after="0" w:line="240" w:lineRule="auto"/>
    </w:pPr>
    <w:rPr>
      <w:rFonts w:eastAsiaTheme="minorEastAsia"/>
      <w:kern w:val="0"/>
      <w:sz w:val="24"/>
      <w:szCs w:val="24"/>
      <w:lang w:val="en-US"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A2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A2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A2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A2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A2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A22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A22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A22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A22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A2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A2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EA2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A228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A228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A228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A228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A228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A228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A2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A2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A2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A2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2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A228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A228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A228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A2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A228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A228F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26385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C64BA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C64BA6"/>
    <w:rPr>
      <w:rFonts w:eastAsiaTheme="minorEastAsia"/>
      <w:kern w:val="0"/>
      <w:sz w:val="24"/>
      <w:szCs w:val="24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C64B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C64BA6"/>
    <w:rPr>
      <w:rFonts w:eastAsiaTheme="minorEastAsia"/>
      <w:kern w:val="0"/>
      <w:sz w:val="24"/>
      <w:szCs w:val="24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8023B-03D3-4CF2-A71E-80D1F404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Ingvar Jacob</dc:creator>
  <cp:keywords/>
  <dc:description/>
  <cp:lastModifiedBy>Ingvar Jacob</cp:lastModifiedBy>
  <cp:revision>2</cp:revision>
  <dcterms:created xsi:type="dcterms:W3CDTF">2026-01-21T12:49:00Z</dcterms:created>
  <dcterms:modified xsi:type="dcterms:W3CDTF">2026-01-21T12:49:00Z</dcterms:modified>
</cp:coreProperties>
</file>