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195" w:rsidRPr="005C2B7E" w:rsidRDefault="005C2B7E" w:rsidP="00C10195">
      <w:pPr>
        <w:pStyle w:val="Caption"/>
        <w:keepNext/>
        <w:rPr>
          <w:b w:val="0"/>
          <w:color w:val="000000" w:themeColor="text1"/>
          <w:lang w:val="en-US"/>
        </w:rPr>
      </w:pPr>
      <w:bookmarkStart w:id="0" w:name="_Toc522267253"/>
      <w:bookmarkStart w:id="1" w:name="_Toc523412868"/>
      <w:r>
        <w:rPr>
          <w:color w:val="000000" w:themeColor="text1"/>
          <w:lang w:val="en-US"/>
        </w:rPr>
        <w:t>Table S</w:t>
      </w:r>
      <w:r w:rsidR="00C10195" w:rsidRPr="00DA0315">
        <w:rPr>
          <w:color w:val="000000" w:themeColor="text1"/>
          <w:lang w:val="en-US"/>
        </w:rPr>
        <w:fldChar w:fldCharType="begin"/>
      </w:r>
      <w:r w:rsidR="00C10195" w:rsidRPr="00DA0315">
        <w:rPr>
          <w:color w:val="000000" w:themeColor="text1"/>
          <w:lang w:val="en-US"/>
        </w:rPr>
        <w:instrText xml:space="preserve"> SEQ Table_S \* ARABIC </w:instrText>
      </w:r>
      <w:r w:rsidR="00C10195" w:rsidRPr="00DA0315">
        <w:rPr>
          <w:color w:val="000000" w:themeColor="text1"/>
          <w:lang w:val="en-US"/>
        </w:rPr>
        <w:fldChar w:fldCharType="separate"/>
      </w:r>
      <w:r w:rsidR="00B27DD9" w:rsidRPr="00DA0315">
        <w:rPr>
          <w:noProof/>
          <w:color w:val="000000" w:themeColor="text1"/>
          <w:lang w:val="en-US"/>
        </w:rPr>
        <w:t>1</w:t>
      </w:r>
      <w:r w:rsidR="00C10195" w:rsidRPr="00DA0315">
        <w:rPr>
          <w:color w:val="000000" w:themeColor="text1"/>
          <w:lang w:val="en-US"/>
        </w:rPr>
        <w:fldChar w:fldCharType="end"/>
      </w:r>
      <w:r w:rsidR="00C10195" w:rsidRPr="005C2B7E">
        <w:rPr>
          <w:b w:val="0"/>
          <w:color w:val="000000" w:themeColor="text1"/>
          <w:lang w:val="en-US"/>
        </w:rPr>
        <w:t xml:space="preserve"> List </w:t>
      </w:r>
      <w:r w:rsidR="006233C6" w:rsidRPr="005C2B7E">
        <w:rPr>
          <w:b w:val="0"/>
          <w:color w:val="000000" w:themeColor="text1"/>
          <w:lang w:val="en-US"/>
        </w:rPr>
        <w:t>of main diagnoses</w:t>
      </w:r>
      <w:r w:rsidR="00C10195" w:rsidRPr="005C2B7E">
        <w:rPr>
          <w:b w:val="0"/>
          <w:color w:val="000000" w:themeColor="text1"/>
          <w:lang w:val="en-US"/>
        </w:rPr>
        <w:t xml:space="preserve"> adult control group</w:t>
      </w:r>
      <w:bookmarkEnd w:id="0"/>
      <w:bookmarkEnd w:id="1"/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692"/>
        <w:gridCol w:w="2797"/>
        <w:gridCol w:w="2907"/>
      </w:tblGrid>
      <w:tr w:rsidR="00313E37" w:rsidRPr="00B27DD9" w:rsidTr="00F23A17">
        <w:tc>
          <w:tcPr>
            <w:tcW w:w="2692" w:type="dxa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Seronegative rheumatoid arthritis (n=4)</w:t>
            </w:r>
          </w:p>
        </w:tc>
        <w:tc>
          <w:tcPr>
            <w:tcW w:w="2797" w:type="dxa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Fever of unknown origin (n=6)</w:t>
            </w:r>
          </w:p>
        </w:tc>
        <w:tc>
          <w:tcPr>
            <w:tcW w:w="2907" w:type="dxa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Reactive arthritis (n=3)</w:t>
            </w:r>
          </w:p>
        </w:tc>
      </w:tr>
      <w:tr w:rsidR="00313E37" w:rsidRPr="00B27DD9" w:rsidTr="00F23A17">
        <w:tc>
          <w:tcPr>
            <w:tcW w:w="2692" w:type="dxa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Sarkoidosis</w:t>
            </w:r>
            <w:proofErr w:type="spellEnd"/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 xml:space="preserve"> (n=2)</w:t>
            </w:r>
          </w:p>
        </w:tc>
        <w:tc>
          <w:tcPr>
            <w:tcW w:w="2797" w:type="dxa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Healthy (n=2)</w:t>
            </w:r>
          </w:p>
        </w:tc>
        <w:tc>
          <w:tcPr>
            <w:tcW w:w="2907" w:type="dxa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Generalized Osteoarthritis (n=2)</w:t>
            </w:r>
          </w:p>
        </w:tc>
      </w:tr>
      <w:tr w:rsidR="00313E37" w:rsidRPr="00B27DD9" w:rsidTr="00F23A17">
        <w:tc>
          <w:tcPr>
            <w:tcW w:w="2692" w:type="dxa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Chronic lymphatic leukemia</w:t>
            </w:r>
          </w:p>
        </w:tc>
        <w:tc>
          <w:tcPr>
            <w:tcW w:w="2797" w:type="dxa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Suspected small vessel vasculitis</w:t>
            </w:r>
          </w:p>
        </w:tc>
        <w:tc>
          <w:tcPr>
            <w:tcW w:w="2907" w:type="dxa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 xml:space="preserve">Undifferentiated </w:t>
            </w:r>
            <w:proofErr w:type="spellStart"/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collagenosis</w:t>
            </w:r>
            <w:proofErr w:type="spellEnd"/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 xml:space="preserve"> </w:t>
            </w:r>
          </w:p>
        </w:tc>
      </w:tr>
      <w:tr w:rsidR="00313E37" w:rsidRPr="00B27DD9" w:rsidTr="00F23A17">
        <w:tc>
          <w:tcPr>
            <w:tcW w:w="2692" w:type="dxa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State after sarcoidosis</w:t>
            </w:r>
          </w:p>
        </w:tc>
        <w:tc>
          <w:tcPr>
            <w:tcW w:w="2797" w:type="dxa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lymphadenopathy</w:t>
            </w:r>
          </w:p>
        </w:tc>
        <w:tc>
          <w:tcPr>
            <w:tcW w:w="2907" w:type="dxa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Pericardial effusion</w:t>
            </w:r>
          </w:p>
        </w:tc>
      </w:tr>
      <w:tr w:rsidR="00313E37" w:rsidRPr="00B27DD9" w:rsidTr="00F23A17">
        <w:tc>
          <w:tcPr>
            <w:tcW w:w="2692" w:type="dxa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ANCA negative vasculitis</w:t>
            </w:r>
          </w:p>
        </w:tc>
        <w:tc>
          <w:tcPr>
            <w:tcW w:w="2797" w:type="dxa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State after fever of unknown origin</w:t>
            </w:r>
          </w:p>
        </w:tc>
        <w:tc>
          <w:tcPr>
            <w:tcW w:w="2907" w:type="dxa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Suspected exogenous allergic alveolitis</w:t>
            </w:r>
          </w:p>
        </w:tc>
      </w:tr>
      <w:tr w:rsidR="00313E37" w:rsidRPr="00B27DD9" w:rsidTr="00F23A17">
        <w:tc>
          <w:tcPr>
            <w:tcW w:w="2692" w:type="dxa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subfebrile</w:t>
            </w:r>
            <w:proofErr w:type="spellEnd"/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 xml:space="preserve"> temperatures of unknown origin</w:t>
            </w:r>
          </w:p>
        </w:tc>
        <w:tc>
          <w:tcPr>
            <w:tcW w:w="2797" w:type="dxa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Possible ANCA positive vasculitis</w:t>
            </w:r>
          </w:p>
        </w:tc>
        <w:tc>
          <w:tcPr>
            <w:tcW w:w="2907" w:type="dxa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Acute myeloid leukemia</w:t>
            </w:r>
          </w:p>
        </w:tc>
      </w:tr>
      <w:tr w:rsidR="00313E37" w:rsidRPr="00B27DD9" w:rsidTr="00F23A17">
        <w:tc>
          <w:tcPr>
            <w:tcW w:w="2692" w:type="dxa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 xml:space="preserve">FUO, </w:t>
            </w:r>
            <w:hyperlink r:id="rId6" w:tooltip="Brocq-Jaquet neurodermitis (Seite nicht vorhanden)" w:history="1">
              <w:r w:rsidRPr="00B27DD9">
                <w:rPr>
                  <w:rFonts w:ascii="Arial" w:hAnsi="Arial" w:cs="Arial"/>
                  <w:color w:val="000000"/>
                  <w:sz w:val="20"/>
                  <w:szCs w:val="20"/>
                  <w:lang w:val="en-US" w:eastAsia="de-DE"/>
                </w:rPr>
                <w:t>Brocq-</w:t>
              </w:r>
              <w:proofErr w:type="spellStart"/>
              <w:r w:rsidRPr="00B27DD9">
                <w:rPr>
                  <w:rFonts w:ascii="Arial" w:hAnsi="Arial" w:cs="Arial"/>
                  <w:color w:val="000000"/>
                  <w:sz w:val="20"/>
                  <w:szCs w:val="20"/>
                  <w:lang w:val="en-US" w:eastAsia="de-DE"/>
                </w:rPr>
                <w:t>Jaquet</w:t>
              </w:r>
              <w:proofErr w:type="spellEnd"/>
              <w:r w:rsidRPr="00B27DD9">
                <w:rPr>
                  <w:rFonts w:ascii="Arial" w:hAnsi="Arial" w:cs="Arial"/>
                  <w:color w:val="000000"/>
                  <w:sz w:val="20"/>
                  <w:szCs w:val="20"/>
                  <w:lang w:val="en-US" w:eastAsia="de-DE"/>
                </w:rPr>
                <w:t xml:space="preserve"> </w:t>
              </w:r>
              <w:proofErr w:type="spellStart"/>
              <w:r w:rsidRPr="00B27DD9">
                <w:rPr>
                  <w:rFonts w:ascii="Arial" w:hAnsi="Arial" w:cs="Arial"/>
                  <w:color w:val="000000"/>
                  <w:sz w:val="20"/>
                  <w:szCs w:val="20"/>
                  <w:lang w:val="en-US" w:eastAsia="de-DE"/>
                </w:rPr>
                <w:t>neurodermitis</w:t>
              </w:r>
              <w:proofErr w:type="spellEnd"/>
            </w:hyperlink>
            <w:r w:rsidRPr="00B27DD9">
              <w:rPr>
                <w:color w:val="000000" w:themeColor="text1"/>
                <w:lang w:val="en-US"/>
              </w:rPr>
              <w:t> </w:t>
            </w:r>
          </w:p>
        </w:tc>
        <w:tc>
          <w:tcPr>
            <w:tcW w:w="2797" w:type="dxa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 xml:space="preserve">ESR und </w:t>
            </w:r>
            <w:proofErr w:type="spellStart"/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CrP</w:t>
            </w:r>
            <w:proofErr w:type="spellEnd"/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 xml:space="preserve"> elevation of unknown origin</w:t>
            </w:r>
          </w:p>
        </w:tc>
        <w:tc>
          <w:tcPr>
            <w:tcW w:w="2907" w:type="dxa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Suspected reactive arthralgias and myalgias</w:t>
            </w:r>
          </w:p>
        </w:tc>
      </w:tr>
      <w:tr w:rsidR="00313E37" w:rsidRPr="00B27DD9" w:rsidTr="00F23A17">
        <w:tc>
          <w:tcPr>
            <w:tcW w:w="2692" w:type="dxa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 xml:space="preserve">Suspected undifferentiated </w:t>
            </w:r>
            <w:proofErr w:type="spellStart"/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collagenosis</w:t>
            </w:r>
            <w:proofErr w:type="spellEnd"/>
          </w:p>
        </w:tc>
        <w:tc>
          <w:tcPr>
            <w:tcW w:w="2797" w:type="dxa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Morbus</w:t>
            </w:r>
            <w:proofErr w:type="spellEnd"/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 xml:space="preserve"> </w:t>
            </w:r>
            <w:proofErr w:type="spellStart"/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Behçet</w:t>
            </w:r>
            <w:proofErr w:type="spellEnd"/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 xml:space="preserve"> with ocular involvement</w:t>
            </w:r>
          </w:p>
        </w:tc>
        <w:tc>
          <w:tcPr>
            <w:tcW w:w="2907" w:type="dxa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Atypical rheumatoid arthritis</w:t>
            </w:r>
          </w:p>
        </w:tc>
      </w:tr>
      <w:tr w:rsidR="00313E37" w:rsidRPr="00B27DD9" w:rsidTr="00F23A17">
        <w:tc>
          <w:tcPr>
            <w:tcW w:w="2692" w:type="dxa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Aortitis of the abdominal aorta</w:t>
            </w:r>
          </w:p>
        </w:tc>
        <w:tc>
          <w:tcPr>
            <w:tcW w:w="2797" w:type="dxa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Sepsis, pulmonary caverns</w:t>
            </w:r>
          </w:p>
        </w:tc>
        <w:tc>
          <w:tcPr>
            <w:tcW w:w="2907" w:type="dxa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State after feverish infection</w:t>
            </w:r>
          </w:p>
        </w:tc>
      </w:tr>
      <w:tr w:rsidR="00313E37" w:rsidRPr="00B27DD9" w:rsidTr="00F23A17">
        <w:tc>
          <w:tcPr>
            <w:tcW w:w="2692" w:type="dxa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Chronic pain syndrome</w:t>
            </w:r>
          </w:p>
        </w:tc>
        <w:tc>
          <w:tcPr>
            <w:tcW w:w="2797" w:type="dxa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(suspected) Crohn’s disease</w:t>
            </w:r>
          </w:p>
        </w:tc>
        <w:tc>
          <w:tcPr>
            <w:tcW w:w="2907" w:type="dxa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Polymyalgia rheumatica and lower urinary tract infection</w:t>
            </w:r>
          </w:p>
        </w:tc>
      </w:tr>
      <w:tr w:rsidR="00313E37" w:rsidRPr="00B27DD9" w:rsidTr="00F23A17">
        <w:tc>
          <w:tcPr>
            <w:tcW w:w="2692" w:type="dxa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Osteoarthritis of distal interphalangeal joints of the hands, recurrent fever</w:t>
            </w:r>
          </w:p>
        </w:tc>
        <w:tc>
          <w:tcPr>
            <w:tcW w:w="2797" w:type="dxa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Seropositive rheumatoid arthritis</w:t>
            </w:r>
          </w:p>
        </w:tc>
        <w:tc>
          <w:tcPr>
            <w:tcW w:w="2907" w:type="dxa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State after liver transplantation due to primary sclerosing cholangitis</w:t>
            </w:r>
          </w:p>
        </w:tc>
      </w:tr>
      <w:tr w:rsidR="00313E37" w:rsidRPr="00B27DD9" w:rsidTr="00F23A17">
        <w:tc>
          <w:tcPr>
            <w:tcW w:w="2692" w:type="dxa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Seropositive rheumatoid arthritis, suspected myocarditis</w:t>
            </w:r>
          </w:p>
        </w:tc>
        <w:tc>
          <w:tcPr>
            <w:tcW w:w="2797" w:type="dxa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Arthralgias of unknow origin</w:t>
            </w:r>
          </w:p>
        </w:tc>
        <w:tc>
          <w:tcPr>
            <w:tcW w:w="2907" w:type="dxa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Psoriasis vulgaris</w:t>
            </w:r>
          </w:p>
        </w:tc>
      </w:tr>
      <w:tr w:rsidR="00313E37" w:rsidRPr="00B27DD9" w:rsidTr="00F23A17">
        <w:tc>
          <w:tcPr>
            <w:tcW w:w="2692" w:type="dxa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Suspected inflammatory rheumatic disease</w:t>
            </w:r>
          </w:p>
        </w:tc>
        <w:tc>
          <w:tcPr>
            <w:tcW w:w="2797" w:type="dxa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Systemic lupus erythematosus</w:t>
            </w:r>
          </w:p>
        </w:tc>
        <w:tc>
          <w:tcPr>
            <w:tcW w:w="2907" w:type="dxa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eosinophilic fasciitis</w:t>
            </w:r>
          </w:p>
        </w:tc>
      </w:tr>
      <w:tr w:rsidR="00313E37" w:rsidRPr="00B27DD9" w:rsidTr="00F23A17">
        <w:tc>
          <w:tcPr>
            <w:tcW w:w="2692" w:type="dxa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Myalgias of the lumbar spine</w:t>
            </w:r>
          </w:p>
        </w:tc>
        <w:tc>
          <w:tcPr>
            <w:tcW w:w="2797" w:type="dxa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granulomatosis with polyangiitis</w:t>
            </w:r>
          </w:p>
        </w:tc>
        <w:tc>
          <w:tcPr>
            <w:tcW w:w="2907" w:type="dxa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Rheumatoid arthritis and osteoporosis</w:t>
            </w:r>
          </w:p>
        </w:tc>
      </w:tr>
      <w:tr w:rsidR="00313E37" w:rsidRPr="00B27DD9" w:rsidTr="00F23A17">
        <w:tc>
          <w:tcPr>
            <w:tcW w:w="2692" w:type="dxa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Jo-1-Syndrome, lymphoma</w:t>
            </w:r>
          </w:p>
        </w:tc>
        <w:tc>
          <w:tcPr>
            <w:tcW w:w="2797" w:type="dxa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T-cell lymphoma</w:t>
            </w:r>
          </w:p>
        </w:tc>
        <w:tc>
          <w:tcPr>
            <w:tcW w:w="2907" w:type="dxa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13E37" w:rsidRPr="00B27DD9" w:rsidTr="00F23A17">
        <w:tc>
          <w:tcPr>
            <w:tcW w:w="2692" w:type="dxa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Undifferentiated polyarthritis</w:t>
            </w:r>
          </w:p>
        </w:tc>
        <w:tc>
          <w:tcPr>
            <w:tcW w:w="2797" w:type="dxa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Palindromic rheumatism</w:t>
            </w:r>
          </w:p>
        </w:tc>
        <w:tc>
          <w:tcPr>
            <w:tcW w:w="2907" w:type="dxa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13E37" w:rsidRPr="00B27DD9" w:rsidTr="00F23A17">
        <w:tc>
          <w:tcPr>
            <w:tcW w:w="8396" w:type="dxa"/>
            <w:gridSpan w:val="3"/>
            <w:shd w:val="clear" w:color="auto" w:fill="FFFFFF" w:themeFill="background1"/>
            <w:vAlign w:val="center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bCs/>
                <w:color w:val="000000"/>
                <w:sz w:val="18"/>
                <w:szCs w:val="20"/>
                <w:lang w:val="en-US" w:eastAsia="de-DE"/>
              </w:rPr>
              <w:t>CRP: C-reactive protein; ESR: erythrocyte sedimentation rate; FUO: fever of unknown origin, ANCA: Anti-neutrophil cytoplasmic antibody</w:t>
            </w:r>
          </w:p>
        </w:tc>
      </w:tr>
    </w:tbl>
    <w:p w:rsidR="00313E37" w:rsidRPr="00B27DD9" w:rsidRDefault="00313E37" w:rsidP="00313E37">
      <w:pPr>
        <w:spacing w:line="240" w:lineRule="auto"/>
        <w:rPr>
          <w:rFonts w:ascii="Arial" w:hAnsi="Arial" w:cs="Arial"/>
          <w:color w:val="000000"/>
          <w:sz w:val="20"/>
          <w:szCs w:val="20"/>
          <w:lang w:val="en-US" w:eastAsia="de-DE"/>
        </w:rPr>
      </w:pPr>
    </w:p>
    <w:p w:rsidR="00B27DD9" w:rsidRPr="00B27DD9" w:rsidRDefault="00B27DD9" w:rsidP="00313E37">
      <w:pPr>
        <w:spacing w:line="240" w:lineRule="auto"/>
        <w:rPr>
          <w:rFonts w:ascii="Arial" w:hAnsi="Arial" w:cs="Arial"/>
          <w:color w:val="000000"/>
          <w:sz w:val="20"/>
          <w:szCs w:val="20"/>
          <w:lang w:val="en-US" w:eastAsia="de-DE"/>
        </w:rPr>
      </w:pPr>
    </w:p>
    <w:p w:rsidR="00B27DD9" w:rsidRPr="00B27DD9" w:rsidRDefault="00B27DD9" w:rsidP="00313E37">
      <w:pPr>
        <w:spacing w:line="240" w:lineRule="auto"/>
        <w:rPr>
          <w:rFonts w:ascii="Arial" w:hAnsi="Arial" w:cs="Arial"/>
          <w:color w:val="000000"/>
          <w:sz w:val="20"/>
          <w:szCs w:val="20"/>
          <w:lang w:val="en-US" w:eastAsia="de-DE"/>
        </w:rPr>
      </w:pPr>
    </w:p>
    <w:p w:rsidR="00B27DD9" w:rsidRPr="00B27DD9" w:rsidRDefault="00B27DD9" w:rsidP="00313E37">
      <w:pPr>
        <w:spacing w:line="240" w:lineRule="auto"/>
        <w:rPr>
          <w:rFonts w:ascii="Arial" w:hAnsi="Arial" w:cs="Arial"/>
          <w:color w:val="000000"/>
          <w:sz w:val="20"/>
          <w:szCs w:val="20"/>
          <w:lang w:val="en-US" w:eastAsia="de-DE"/>
        </w:rPr>
      </w:pPr>
    </w:p>
    <w:p w:rsidR="00B27DD9" w:rsidRPr="00B27DD9" w:rsidRDefault="00B27DD9" w:rsidP="00313E37">
      <w:pPr>
        <w:spacing w:line="240" w:lineRule="auto"/>
        <w:rPr>
          <w:rFonts w:ascii="Arial" w:hAnsi="Arial" w:cs="Arial"/>
          <w:color w:val="000000"/>
          <w:sz w:val="20"/>
          <w:szCs w:val="20"/>
          <w:lang w:val="en-US" w:eastAsia="de-DE"/>
        </w:rPr>
      </w:pPr>
    </w:p>
    <w:p w:rsidR="00B27DD9" w:rsidRPr="00B27DD9" w:rsidRDefault="00B27DD9" w:rsidP="00313E37">
      <w:pPr>
        <w:spacing w:line="240" w:lineRule="auto"/>
        <w:rPr>
          <w:rFonts w:ascii="Arial" w:hAnsi="Arial" w:cs="Arial"/>
          <w:color w:val="000000"/>
          <w:sz w:val="20"/>
          <w:szCs w:val="20"/>
          <w:lang w:val="en-US" w:eastAsia="de-DE"/>
        </w:rPr>
      </w:pPr>
    </w:p>
    <w:p w:rsidR="00B27DD9" w:rsidRPr="00B27DD9" w:rsidRDefault="00B27DD9" w:rsidP="00313E37">
      <w:pPr>
        <w:spacing w:line="240" w:lineRule="auto"/>
        <w:rPr>
          <w:rFonts w:ascii="Arial" w:hAnsi="Arial" w:cs="Arial"/>
          <w:color w:val="000000"/>
          <w:sz w:val="20"/>
          <w:szCs w:val="20"/>
          <w:lang w:val="en-US" w:eastAsia="de-DE"/>
        </w:rPr>
      </w:pPr>
    </w:p>
    <w:p w:rsidR="00B27DD9" w:rsidRPr="00B27DD9" w:rsidRDefault="00B27DD9" w:rsidP="00313E37">
      <w:pPr>
        <w:spacing w:line="240" w:lineRule="auto"/>
        <w:rPr>
          <w:rFonts w:ascii="Arial" w:hAnsi="Arial" w:cs="Arial"/>
          <w:color w:val="000000"/>
          <w:sz w:val="20"/>
          <w:szCs w:val="20"/>
          <w:lang w:val="en-US" w:eastAsia="de-DE"/>
        </w:rPr>
      </w:pPr>
    </w:p>
    <w:p w:rsidR="00B27DD9" w:rsidRPr="00B27DD9" w:rsidRDefault="00B27DD9" w:rsidP="00313E37">
      <w:pPr>
        <w:spacing w:line="240" w:lineRule="auto"/>
        <w:rPr>
          <w:rFonts w:ascii="Arial" w:hAnsi="Arial" w:cs="Arial"/>
          <w:color w:val="000000"/>
          <w:sz w:val="20"/>
          <w:szCs w:val="20"/>
          <w:lang w:val="en-US" w:eastAsia="de-DE"/>
        </w:rPr>
      </w:pPr>
    </w:p>
    <w:p w:rsidR="00B27DD9" w:rsidRPr="00B27DD9" w:rsidRDefault="00B27DD9" w:rsidP="00313E37">
      <w:pPr>
        <w:spacing w:line="240" w:lineRule="auto"/>
        <w:rPr>
          <w:rFonts w:ascii="Arial" w:hAnsi="Arial" w:cs="Arial"/>
          <w:color w:val="000000"/>
          <w:sz w:val="20"/>
          <w:szCs w:val="20"/>
          <w:lang w:val="en-US" w:eastAsia="de-DE"/>
        </w:rPr>
      </w:pPr>
    </w:p>
    <w:p w:rsidR="00B27DD9" w:rsidRPr="00B27DD9" w:rsidRDefault="00B27DD9" w:rsidP="00313E37">
      <w:pPr>
        <w:spacing w:line="240" w:lineRule="auto"/>
        <w:rPr>
          <w:rFonts w:ascii="Arial" w:hAnsi="Arial" w:cs="Arial"/>
          <w:color w:val="000000"/>
          <w:sz w:val="20"/>
          <w:szCs w:val="20"/>
          <w:lang w:val="en-US" w:eastAsia="de-DE"/>
        </w:rPr>
      </w:pPr>
    </w:p>
    <w:p w:rsidR="00B27DD9" w:rsidRPr="00B27DD9" w:rsidRDefault="00B27DD9" w:rsidP="00313E37">
      <w:pPr>
        <w:spacing w:line="240" w:lineRule="auto"/>
        <w:rPr>
          <w:rFonts w:ascii="Arial" w:hAnsi="Arial" w:cs="Arial"/>
          <w:color w:val="000000"/>
          <w:sz w:val="20"/>
          <w:szCs w:val="20"/>
          <w:lang w:val="en-US" w:eastAsia="de-DE"/>
        </w:rPr>
      </w:pPr>
    </w:p>
    <w:p w:rsidR="00B27DD9" w:rsidRPr="00B27DD9" w:rsidRDefault="00B27DD9" w:rsidP="00313E37">
      <w:pPr>
        <w:spacing w:line="240" w:lineRule="auto"/>
        <w:rPr>
          <w:rFonts w:ascii="Arial" w:hAnsi="Arial" w:cs="Arial"/>
          <w:color w:val="000000"/>
          <w:sz w:val="20"/>
          <w:szCs w:val="20"/>
          <w:lang w:val="en-US" w:eastAsia="de-DE"/>
        </w:rPr>
      </w:pPr>
    </w:p>
    <w:p w:rsidR="00B27DD9" w:rsidRPr="00B27DD9" w:rsidRDefault="00B27DD9" w:rsidP="00313E37">
      <w:pPr>
        <w:spacing w:line="240" w:lineRule="auto"/>
        <w:rPr>
          <w:rFonts w:ascii="Arial" w:hAnsi="Arial" w:cs="Arial"/>
          <w:color w:val="000000"/>
          <w:sz w:val="20"/>
          <w:szCs w:val="20"/>
          <w:lang w:val="en-US" w:eastAsia="de-DE"/>
        </w:rPr>
      </w:pPr>
    </w:p>
    <w:p w:rsidR="00B27DD9" w:rsidRPr="00B27DD9" w:rsidRDefault="00B27DD9" w:rsidP="00313E37">
      <w:pPr>
        <w:spacing w:line="240" w:lineRule="auto"/>
        <w:rPr>
          <w:rFonts w:ascii="Arial" w:hAnsi="Arial" w:cs="Arial"/>
          <w:color w:val="000000"/>
          <w:sz w:val="20"/>
          <w:szCs w:val="20"/>
          <w:lang w:val="en-US" w:eastAsia="de-DE"/>
        </w:rPr>
      </w:pPr>
    </w:p>
    <w:p w:rsidR="00B27DD9" w:rsidRPr="00B27DD9" w:rsidRDefault="00B27DD9" w:rsidP="00313E37">
      <w:pPr>
        <w:spacing w:line="240" w:lineRule="auto"/>
        <w:rPr>
          <w:rFonts w:ascii="Arial" w:hAnsi="Arial" w:cs="Arial"/>
          <w:color w:val="000000"/>
          <w:sz w:val="20"/>
          <w:szCs w:val="20"/>
          <w:lang w:val="en-US" w:eastAsia="de-DE"/>
        </w:rPr>
      </w:pPr>
    </w:p>
    <w:p w:rsidR="00B27DD9" w:rsidRPr="00B27DD9" w:rsidRDefault="00B27DD9" w:rsidP="00313E37">
      <w:pPr>
        <w:spacing w:line="240" w:lineRule="auto"/>
        <w:rPr>
          <w:rFonts w:ascii="Arial" w:hAnsi="Arial" w:cs="Arial"/>
          <w:color w:val="000000"/>
          <w:sz w:val="20"/>
          <w:szCs w:val="20"/>
          <w:lang w:val="en-US" w:eastAsia="de-DE"/>
        </w:rPr>
      </w:pPr>
    </w:p>
    <w:p w:rsidR="00B27DD9" w:rsidRPr="00B27DD9" w:rsidRDefault="00B27DD9" w:rsidP="00313E37">
      <w:pPr>
        <w:spacing w:line="240" w:lineRule="auto"/>
        <w:rPr>
          <w:rFonts w:ascii="Arial" w:hAnsi="Arial" w:cs="Arial"/>
          <w:color w:val="000000"/>
          <w:sz w:val="20"/>
          <w:szCs w:val="20"/>
          <w:lang w:val="en-US" w:eastAsia="de-DE"/>
        </w:rPr>
      </w:pPr>
    </w:p>
    <w:p w:rsidR="00B27DD9" w:rsidRPr="00B27DD9" w:rsidRDefault="00B27DD9" w:rsidP="00313E37">
      <w:pPr>
        <w:spacing w:line="240" w:lineRule="auto"/>
        <w:rPr>
          <w:rFonts w:ascii="Arial" w:hAnsi="Arial" w:cs="Arial"/>
          <w:color w:val="000000"/>
          <w:sz w:val="20"/>
          <w:szCs w:val="20"/>
          <w:lang w:val="en-US" w:eastAsia="de-DE"/>
        </w:rPr>
      </w:pPr>
    </w:p>
    <w:p w:rsidR="00B27DD9" w:rsidRPr="00B27DD9" w:rsidRDefault="00B27DD9" w:rsidP="00313E37">
      <w:pPr>
        <w:spacing w:line="240" w:lineRule="auto"/>
        <w:rPr>
          <w:rFonts w:ascii="Arial" w:hAnsi="Arial" w:cs="Arial"/>
          <w:color w:val="000000"/>
          <w:sz w:val="20"/>
          <w:szCs w:val="20"/>
          <w:lang w:val="en-US" w:eastAsia="de-DE"/>
        </w:rPr>
      </w:pPr>
    </w:p>
    <w:p w:rsidR="00B27DD9" w:rsidRPr="00B27DD9" w:rsidRDefault="00B27DD9" w:rsidP="00313E37">
      <w:pPr>
        <w:spacing w:line="240" w:lineRule="auto"/>
        <w:rPr>
          <w:rFonts w:ascii="Arial" w:hAnsi="Arial" w:cs="Arial"/>
          <w:color w:val="000000"/>
          <w:sz w:val="20"/>
          <w:szCs w:val="20"/>
          <w:lang w:val="en-US" w:eastAsia="de-DE"/>
        </w:rPr>
      </w:pPr>
    </w:p>
    <w:p w:rsidR="00B27DD9" w:rsidRPr="00B27DD9" w:rsidRDefault="00B27DD9" w:rsidP="00313E37">
      <w:pPr>
        <w:spacing w:line="240" w:lineRule="auto"/>
        <w:rPr>
          <w:rFonts w:ascii="Arial" w:hAnsi="Arial" w:cs="Arial"/>
          <w:color w:val="000000"/>
          <w:sz w:val="20"/>
          <w:szCs w:val="20"/>
          <w:lang w:val="en-US" w:eastAsia="de-DE"/>
        </w:rPr>
      </w:pPr>
    </w:p>
    <w:p w:rsidR="00C10195" w:rsidRPr="005C2B7E" w:rsidRDefault="005C2B7E" w:rsidP="00C10195">
      <w:pPr>
        <w:pStyle w:val="Caption"/>
        <w:keepNext/>
        <w:rPr>
          <w:b w:val="0"/>
          <w:color w:val="000000" w:themeColor="text1"/>
          <w:lang w:val="en-US"/>
        </w:rPr>
      </w:pPr>
      <w:bookmarkStart w:id="2" w:name="_Toc522267254"/>
      <w:bookmarkStart w:id="3" w:name="_Toc523412869"/>
      <w:r>
        <w:rPr>
          <w:color w:val="000000" w:themeColor="text1"/>
          <w:lang w:val="en-US"/>
        </w:rPr>
        <w:t>Table S</w:t>
      </w:r>
      <w:r w:rsidR="00C10195" w:rsidRPr="00DA0315">
        <w:rPr>
          <w:color w:val="000000" w:themeColor="text1"/>
          <w:lang w:val="en-US"/>
        </w:rPr>
        <w:fldChar w:fldCharType="begin"/>
      </w:r>
      <w:r w:rsidR="00C10195" w:rsidRPr="00DA0315">
        <w:rPr>
          <w:color w:val="000000" w:themeColor="text1"/>
          <w:lang w:val="en-US"/>
        </w:rPr>
        <w:instrText xml:space="preserve"> SEQ Table_S \* ARABIC </w:instrText>
      </w:r>
      <w:r w:rsidR="00C10195" w:rsidRPr="00DA0315">
        <w:rPr>
          <w:color w:val="000000" w:themeColor="text1"/>
          <w:lang w:val="en-US"/>
        </w:rPr>
        <w:fldChar w:fldCharType="separate"/>
      </w:r>
      <w:r w:rsidR="00B27DD9" w:rsidRPr="00DA0315">
        <w:rPr>
          <w:noProof/>
          <w:color w:val="000000" w:themeColor="text1"/>
          <w:lang w:val="en-US"/>
        </w:rPr>
        <w:t>2</w:t>
      </w:r>
      <w:r w:rsidR="00C10195" w:rsidRPr="00DA0315">
        <w:rPr>
          <w:color w:val="000000" w:themeColor="text1"/>
          <w:lang w:val="en-US"/>
        </w:rPr>
        <w:fldChar w:fldCharType="end"/>
      </w:r>
      <w:r w:rsidR="00C10195" w:rsidRPr="005C2B7E">
        <w:rPr>
          <w:b w:val="0"/>
          <w:color w:val="000000" w:themeColor="text1"/>
          <w:lang w:val="en-US"/>
        </w:rPr>
        <w:t xml:space="preserve"> List of diseases in children’s control group</w:t>
      </w:r>
      <w:bookmarkEnd w:id="2"/>
      <w:bookmarkEnd w:id="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</w:tblGrid>
      <w:tr w:rsidR="00313E37" w:rsidRPr="00B27DD9" w:rsidTr="00F23A17">
        <w:tc>
          <w:tcPr>
            <w:tcW w:w="2798" w:type="dxa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 xml:space="preserve">Enteropathogenic </w:t>
            </w: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lastRenderedPageBreak/>
              <w:t>Escherichia coli (EPEC) enteritis, suspected Still’s disease</w:t>
            </w:r>
          </w:p>
        </w:tc>
        <w:tc>
          <w:tcPr>
            <w:tcW w:w="2799" w:type="dxa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lastRenderedPageBreak/>
              <w:t xml:space="preserve">PFAPA (periodic fevers with </w:t>
            </w:r>
            <w:hyperlink r:id="rId7" w:history="1">
              <w:r w:rsidRPr="00B27DD9">
                <w:rPr>
                  <w:rFonts w:ascii="Arial" w:hAnsi="Arial" w:cs="Arial"/>
                  <w:color w:val="000000"/>
                  <w:sz w:val="20"/>
                  <w:szCs w:val="20"/>
                  <w:lang w:val="en-US" w:eastAsia="de-DE"/>
                </w:rPr>
                <w:t>aphthous stomatitis</w:t>
              </w:r>
            </w:hyperlink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, pharyngitis, and adenitis) syndrome</w:t>
            </w:r>
          </w:p>
        </w:tc>
        <w:tc>
          <w:tcPr>
            <w:tcW w:w="2799" w:type="dxa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lastRenderedPageBreak/>
              <w:t xml:space="preserve">Suspected Still’s </w:t>
            </w: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lastRenderedPageBreak/>
              <w:t>disease/protracted infection with lymphadenitis of the neck</w:t>
            </w:r>
          </w:p>
        </w:tc>
      </w:tr>
      <w:tr w:rsidR="00313E37" w:rsidRPr="00B27DD9" w:rsidTr="00F23A17">
        <w:tc>
          <w:tcPr>
            <w:tcW w:w="2798" w:type="dxa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lastRenderedPageBreak/>
              <w:t>Fever and arthralgias of unknow origin</w:t>
            </w:r>
          </w:p>
        </w:tc>
        <w:tc>
          <w:tcPr>
            <w:tcW w:w="2799" w:type="dxa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Protracted fever</w:t>
            </w:r>
          </w:p>
        </w:tc>
        <w:tc>
          <w:tcPr>
            <w:tcW w:w="2799" w:type="dxa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Suspected neutrophilic dermatosis</w:t>
            </w:r>
          </w:p>
        </w:tc>
      </w:tr>
      <w:tr w:rsidR="00313E37" w:rsidRPr="00B27DD9" w:rsidTr="00F23A17">
        <w:tc>
          <w:tcPr>
            <w:tcW w:w="2798" w:type="dxa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Pneumonia with bilateral pleural effusions</w:t>
            </w:r>
          </w:p>
        </w:tc>
        <w:tc>
          <w:tcPr>
            <w:tcW w:w="2799" w:type="dxa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Suspected Still’s disease/NOMID</w:t>
            </w:r>
          </w:p>
        </w:tc>
        <w:tc>
          <w:tcPr>
            <w:tcW w:w="2799" w:type="dxa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Feverish infection with conjunctivitis</w:t>
            </w:r>
          </w:p>
        </w:tc>
      </w:tr>
      <w:tr w:rsidR="00313E37" w:rsidRPr="00B27DD9" w:rsidTr="00F23A17">
        <w:tc>
          <w:tcPr>
            <w:tcW w:w="2798" w:type="dxa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Hemophagocytic</w:t>
            </w:r>
            <w:proofErr w:type="spellEnd"/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 xml:space="preserve"> </w:t>
            </w:r>
            <w:proofErr w:type="spellStart"/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lymphohistiocytosis</w:t>
            </w:r>
            <w:proofErr w:type="spellEnd"/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 xml:space="preserve"> </w:t>
            </w:r>
          </w:p>
        </w:tc>
        <w:tc>
          <w:tcPr>
            <w:tcW w:w="2799" w:type="dxa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Systemic lupus erythematosus</w:t>
            </w:r>
          </w:p>
        </w:tc>
        <w:tc>
          <w:tcPr>
            <w:tcW w:w="2799" w:type="dxa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Suspected PFAPA syndrome</w:t>
            </w:r>
          </w:p>
        </w:tc>
      </w:tr>
      <w:tr w:rsidR="00313E37" w:rsidRPr="00B27DD9" w:rsidTr="00F23A17">
        <w:tc>
          <w:tcPr>
            <w:tcW w:w="2798" w:type="dxa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Urinary tract infection</w:t>
            </w:r>
          </w:p>
        </w:tc>
        <w:tc>
          <w:tcPr>
            <w:tcW w:w="2799" w:type="dxa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TRAPS</w:t>
            </w:r>
          </w:p>
        </w:tc>
        <w:tc>
          <w:tcPr>
            <w:tcW w:w="2799" w:type="dxa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State after Kawasaki syndrome</w:t>
            </w:r>
          </w:p>
        </w:tc>
      </w:tr>
      <w:tr w:rsidR="00313E37" w:rsidRPr="00B27DD9" w:rsidTr="00F23A17">
        <w:tc>
          <w:tcPr>
            <w:tcW w:w="2798" w:type="dxa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JIA (</w:t>
            </w:r>
            <w:proofErr w:type="spellStart"/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enthesitis</w:t>
            </w:r>
            <w:proofErr w:type="spellEnd"/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-related arthritis)</w:t>
            </w:r>
          </w:p>
        </w:tc>
        <w:tc>
          <w:tcPr>
            <w:tcW w:w="2799" w:type="dxa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 xml:space="preserve">Familial </w:t>
            </w:r>
            <w:proofErr w:type="spellStart"/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mediterranean</w:t>
            </w:r>
            <w:proofErr w:type="spellEnd"/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 xml:space="preserve"> fever</w:t>
            </w:r>
          </w:p>
        </w:tc>
        <w:tc>
          <w:tcPr>
            <w:tcW w:w="2799" w:type="dxa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Suspected Kawasaki syndrome/ Still’s disease</w:t>
            </w:r>
          </w:p>
        </w:tc>
      </w:tr>
      <w:tr w:rsidR="00313E37" w:rsidRPr="00B27DD9" w:rsidTr="00F23A17">
        <w:tc>
          <w:tcPr>
            <w:tcW w:w="2798" w:type="dxa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JIA (possible Still’s disease)</w:t>
            </w:r>
          </w:p>
        </w:tc>
        <w:tc>
          <w:tcPr>
            <w:tcW w:w="2799" w:type="dxa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Suspected hereditary fever syndrome/ PFAPA</w:t>
            </w:r>
          </w:p>
        </w:tc>
        <w:tc>
          <w:tcPr>
            <w:tcW w:w="2799" w:type="dxa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Suspected Still’s disease/</w:t>
            </w:r>
            <w:r w:rsidRPr="00B27DD9">
              <w:rPr>
                <w:lang w:val="en-US"/>
              </w:rPr>
              <w:t xml:space="preserve"> </w:t>
            </w: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cytomegalovirus infection, recurrent fever</w:t>
            </w:r>
          </w:p>
        </w:tc>
      </w:tr>
      <w:tr w:rsidR="00313E37" w:rsidRPr="00B27DD9" w:rsidTr="00F23A17">
        <w:tc>
          <w:tcPr>
            <w:tcW w:w="2798" w:type="dxa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Suspected JIA</w:t>
            </w:r>
          </w:p>
        </w:tc>
        <w:tc>
          <w:tcPr>
            <w:tcW w:w="2799" w:type="dxa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Pericardial effusion of unknown origin</w:t>
            </w:r>
          </w:p>
        </w:tc>
        <w:tc>
          <w:tcPr>
            <w:tcW w:w="2799" w:type="dxa"/>
          </w:tcPr>
          <w:p w:rsidR="00313E37" w:rsidRPr="00B27DD9" w:rsidRDefault="00313E37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iCs/>
                <w:color w:val="000000"/>
                <w:sz w:val="20"/>
                <w:szCs w:val="20"/>
                <w:lang w:val="en-US" w:eastAsia="de-DE"/>
              </w:rPr>
              <w:t>Enterococcus</w:t>
            </w: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-associated nephritis</w:t>
            </w:r>
          </w:p>
        </w:tc>
      </w:tr>
      <w:tr w:rsidR="00313E37" w:rsidRPr="00B27DD9" w:rsidTr="00F23A17">
        <w:tc>
          <w:tcPr>
            <w:tcW w:w="8396" w:type="dxa"/>
            <w:gridSpan w:val="3"/>
          </w:tcPr>
          <w:p w:rsidR="00313E37" w:rsidRPr="00B27DD9" w:rsidRDefault="00313E37" w:rsidP="00F23A17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bCs/>
                <w:color w:val="000000"/>
                <w:sz w:val="18"/>
                <w:szCs w:val="20"/>
                <w:lang w:val="en-US" w:eastAsia="de-DE"/>
              </w:rPr>
              <w:t xml:space="preserve">ESR: erythrocyte sedimentation rate; WBC: white blood cell count; FUO: fever of unknown origin; PFAPA syndrome: periodic fevers with </w:t>
            </w:r>
            <w:hyperlink r:id="rId8" w:history="1">
              <w:r w:rsidRPr="00B27DD9">
                <w:rPr>
                  <w:rFonts w:ascii="Arial" w:hAnsi="Arial" w:cs="Arial"/>
                  <w:bCs/>
                  <w:color w:val="000000"/>
                  <w:sz w:val="18"/>
                  <w:szCs w:val="20"/>
                  <w:lang w:val="en-US" w:eastAsia="de-DE"/>
                </w:rPr>
                <w:t>aphthous stomatitis</w:t>
              </w:r>
            </w:hyperlink>
            <w:r w:rsidRPr="00B27DD9">
              <w:rPr>
                <w:rFonts w:ascii="Arial" w:hAnsi="Arial" w:cs="Arial"/>
                <w:bCs/>
                <w:color w:val="000000"/>
                <w:sz w:val="18"/>
                <w:szCs w:val="20"/>
                <w:lang w:val="en-US" w:eastAsia="de-DE"/>
              </w:rPr>
              <w:t xml:space="preserve">, pharyngitis, and adenitis syndrome; NOMID: neonatal onset </w:t>
            </w:r>
            <w:proofErr w:type="spellStart"/>
            <w:r w:rsidRPr="00B27DD9">
              <w:rPr>
                <w:rFonts w:ascii="Arial" w:hAnsi="Arial" w:cs="Arial"/>
                <w:bCs/>
                <w:color w:val="000000"/>
                <w:sz w:val="18"/>
                <w:szCs w:val="20"/>
                <w:lang w:val="en-US" w:eastAsia="de-DE"/>
              </w:rPr>
              <w:t>multiinflammatory</w:t>
            </w:r>
            <w:proofErr w:type="spellEnd"/>
            <w:r w:rsidRPr="00B27DD9">
              <w:rPr>
                <w:rFonts w:ascii="Arial" w:hAnsi="Arial" w:cs="Arial"/>
                <w:bCs/>
                <w:color w:val="000000"/>
                <w:sz w:val="18"/>
                <w:szCs w:val="20"/>
                <w:lang w:val="en-US" w:eastAsia="de-DE"/>
              </w:rPr>
              <w:t xml:space="preserve"> disease, TRAPS: tumor necrosis factor receptor associated periodic syndrome, JIA: juvenile idiopathic arthritis</w:t>
            </w:r>
          </w:p>
        </w:tc>
      </w:tr>
    </w:tbl>
    <w:p w:rsidR="002C00E0" w:rsidRPr="00B27DD9" w:rsidRDefault="005C2B7E">
      <w:pPr>
        <w:rPr>
          <w:lang w:val="en-US"/>
        </w:rPr>
      </w:pPr>
    </w:p>
    <w:p w:rsidR="00B27DD9" w:rsidRPr="00B27DD9" w:rsidRDefault="00B27DD9" w:rsidP="00B27DD9">
      <w:pPr>
        <w:spacing w:line="240" w:lineRule="auto"/>
        <w:rPr>
          <w:rFonts w:ascii="Arial" w:hAnsi="Arial" w:cs="Arial"/>
          <w:color w:val="000000"/>
          <w:sz w:val="20"/>
          <w:szCs w:val="20"/>
          <w:lang w:val="en-US" w:eastAsia="de-DE"/>
        </w:rPr>
      </w:pPr>
    </w:p>
    <w:p w:rsidR="00B27DD9" w:rsidRPr="005C2B7E" w:rsidRDefault="00B27DD9" w:rsidP="00B27DD9">
      <w:pPr>
        <w:pStyle w:val="Caption"/>
        <w:keepNext/>
        <w:rPr>
          <w:b w:val="0"/>
          <w:color w:val="000000" w:themeColor="text1"/>
          <w:lang w:val="en-US"/>
        </w:rPr>
      </w:pPr>
      <w:bookmarkStart w:id="4" w:name="_Toc523412870"/>
      <w:r w:rsidRPr="00DA0315">
        <w:rPr>
          <w:color w:val="000000" w:themeColor="text1"/>
          <w:lang w:val="en-US"/>
        </w:rPr>
        <w:t>Table S</w:t>
      </w:r>
      <w:r w:rsidRPr="00DA0315">
        <w:rPr>
          <w:color w:val="000000" w:themeColor="text1"/>
          <w:lang w:val="en-US"/>
        </w:rPr>
        <w:fldChar w:fldCharType="begin"/>
      </w:r>
      <w:r w:rsidRPr="00DA0315">
        <w:rPr>
          <w:color w:val="000000" w:themeColor="text1"/>
          <w:lang w:val="en-US"/>
        </w:rPr>
        <w:instrText xml:space="preserve"> SEQ Table_S \* ARABIC </w:instrText>
      </w:r>
      <w:r w:rsidRPr="00DA0315">
        <w:rPr>
          <w:color w:val="000000" w:themeColor="text1"/>
          <w:lang w:val="en-US"/>
        </w:rPr>
        <w:fldChar w:fldCharType="separate"/>
      </w:r>
      <w:r w:rsidRPr="00DA0315">
        <w:rPr>
          <w:noProof/>
          <w:color w:val="000000" w:themeColor="text1"/>
          <w:lang w:val="en-US"/>
        </w:rPr>
        <w:t>3</w:t>
      </w:r>
      <w:r w:rsidRPr="00DA0315">
        <w:rPr>
          <w:color w:val="000000" w:themeColor="text1"/>
          <w:lang w:val="en-US"/>
        </w:rPr>
        <w:fldChar w:fldCharType="end"/>
      </w:r>
      <w:bookmarkStart w:id="5" w:name="_GoBack"/>
      <w:r w:rsidRPr="005C2B7E">
        <w:rPr>
          <w:b w:val="0"/>
          <w:color w:val="000000" w:themeColor="text1"/>
          <w:lang w:val="en-US"/>
        </w:rPr>
        <w:t xml:space="preserve"> </w:t>
      </w:r>
      <w:r w:rsidR="006233C6" w:rsidRPr="005C2B7E">
        <w:rPr>
          <w:b w:val="0"/>
          <w:color w:val="000000" w:themeColor="text1"/>
          <w:lang w:val="en-US"/>
        </w:rPr>
        <w:t>Frequency of symptoms in</w:t>
      </w:r>
      <w:r w:rsidRPr="005C2B7E">
        <w:rPr>
          <w:b w:val="0"/>
          <w:color w:val="000000" w:themeColor="text1"/>
          <w:lang w:val="en-US"/>
        </w:rPr>
        <w:t xml:space="preserve"> active </w:t>
      </w:r>
      <w:proofErr w:type="spellStart"/>
      <w:r w:rsidRPr="005C2B7E">
        <w:rPr>
          <w:b w:val="0"/>
          <w:color w:val="000000" w:themeColor="text1"/>
          <w:lang w:val="en-US"/>
        </w:rPr>
        <w:t>sJIA</w:t>
      </w:r>
      <w:bookmarkEnd w:id="4"/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61"/>
        <w:gridCol w:w="2361"/>
        <w:gridCol w:w="2361"/>
      </w:tblGrid>
      <w:tr w:rsidR="00B27DD9" w:rsidRPr="00B27DD9" w:rsidTr="00B27DD9">
        <w:tc>
          <w:tcPr>
            <w:tcW w:w="2361" w:type="dxa"/>
            <w:vAlign w:val="center"/>
          </w:tcPr>
          <w:bookmarkEnd w:id="5"/>
          <w:p w:rsidR="00B27DD9" w:rsidRPr="00B27DD9" w:rsidRDefault="00B27DD9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Symptom</w:t>
            </w:r>
          </w:p>
        </w:tc>
        <w:tc>
          <w:tcPr>
            <w:tcW w:w="2361" w:type="dxa"/>
            <w:vAlign w:val="center"/>
          </w:tcPr>
          <w:p w:rsidR="00B27DD9" w:rsidRPr="00B27DD9" w:rsidRDefault="00B27DD9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number</w:t>
            </w:r>
          </w:p>
        </w:tc>
        <w:tc>
          <w:tcPr>
            <w:tcW w:w="2361" w:type="dxa"/>
            <w:vAlign w:val="center"/>
          </w:tcPr>
          <w:p w:rsidR="00B27DD9" w:rsidRPr="00B27DD9" w:rsidRDefault="00B27DD9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%</w:t>
            </w:r>
          </w:p>
        </w:tc>
      </w:tr>
      <w:tr w:rsidR="00B27DD9" w:rsidRPr="00B27DD9" w:rsidTr="00B27DD9">
        <w:tc>
          <w:tcPr>
            <w:tcW w:w="2361" w:type="dxa"/>
            <w:vAlign w:val="center"/>
          </w:tcPr>
          <w:p w:rsidR="00B27DD9" w:rsidRPr="00B27DD9" w:rsidRDefault="00B27DD9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Fever</w:t>
            </w:r>
          </w:p>
        </w:tc>
        <w:tc>
          <w:tcPr>
            <w:tcW w:w="2361" w:type="dxa"/>
            <w:vAlign w:val="center"/>
          </w:tcPr>
          <w:p w:rsidR="00B27DD9" w:rsidRPr="00B27DD9" w:rsidRDefault="00B27DD9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16</w:t>
            </w:r>
          </w:p>
        </w:tc>
        <w:tc>
          <w:tcPr>
            <w:tcW w:w="2361" w:type="dxa"/>
            <w:vAlign w:val="center"/>
          </w:tcPr>
          <w:p w:rsidR="00B27DD9" w:rsidRPr="00B27DD9" w:rsidRDefault="00B27DD9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100</w:t>
            </w:r>
          </w:p>
        </w:tc>
      </w:tr>
      <w:tr w:rsidR="00B27DD9" w:rsidRPr="00B27DD9" w:rsidTr="00B27DD9">
        <w:tc>
          <w:tcPr>
            <w:tcW w:w="2361" w:type="dxa"/>
            <w:vAlign w:val="center"/>
          </w:tcPr>
          <w:p w:rsidR="00B27DD9" w:rsidRPr="00B27DD9" w:rsidRDefault="00B27DD9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Arthralgias</w:t>
            </w:r>
          </w:p>
        </w:tc>
        <w:tc>
          <w:tcPr>
            <w:tcW w:w="2361" w:type="dxa"/>
            <w:vAlign w:val="center"/>
          </w:tcPr>
          <w:p w:rsidR="00B27DD9" w:rsidRPr="00B27DD9" w:rsidRDefault="00B27DD9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14</w:t>
            </w:r>
          </w:p>
        </w:tc>
        <w:tc>
          <w:tcPr>
            <w:tcW w:w="2361" w:type="dxa"/>
            <w:vAlign w:val="center"/>
          </w:tcPr>
          <w:p w:rsidR="00B27DD9" w:rsidRPr="00B27DD9" w:rsidRDefault="00B27DD9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87</w:t>
            </w:r>
          </w:p>
        </w:tc>
      </w:tr>
      <w:tr w:rsidR="00B27DD9" w:rsidRPr="00B27DD9" w:rsidTr="00B27DD9">
        <w:tc>
          <w:tcPr>
            <w:tcW w:w="2361" w:type="dxa"/>
            <w:vAlign w:val="center"/>
          </w:tcPr>
          <w:p w:rsidR="00B27DD9" w:rsidRPr="00B27DD9" w:rsidRDefault="00B27DD9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Rash</w:t>
            </w:r>
          </w:p>
        </w:tc>
        <w:tc>
          <w:tcPr>
            <w:tcW w:w="2361" w:type="dxa"/>
            <w:vAlign w:val="center"/>
          </w:tcPr>
          <w:p w:rsidR="00B27DD9" w:rsidRPr="00B27DD9" w:rsidRDefault="00B27DD9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13</w:t>
            </w:r>
          </w:p>
        </w:tc>
        <w:tc>
          <w:tcPr>
            <w:tcW w:w="2361" w:type="dxa"/>
            <w:vAlign w:val="center"/>
          </w:tcPr>
          <w:p w:rsidR="00B27DD9" w:rsidRPr="00B27DD9" w:rsidRDefault="00B27DD9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81</w:t>
            </w:r>
          </w:p>
        </w:tc>
      </w:tr>
      <w:tr w:rsidR="00B27DD9" w:rsidRPr="00B27DD9" w:rsidTr="00B27DD9">
        <w:tc>
          <w:tcPr>
            <w:tcW w:w="2361" w:type="dxa"/>
            <w:vAlign w:val="center"/>
          </w:tcPr>
          <w:p w:rsidR="00B27DD9" w:rsidRPr="00B27DD9" w:rsidRDefault="00B27DD9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Arthritis (clinical)</w:t>
            </w:r>
          </w:p>
        </w:tc>
        <w:tc>
          <w:tcPr>
            <w:tcW w:w="2361" w:type="dxa"/>
            <w:vAlign w:val="center"/>
          </w:tcPr>
          <w:p w:rsidR="00B27DD9" w:rsidRPr="00B27DD9" w:rsidRDefault="00B27DD9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9</w:t>
            </w:r>
          </w:p>
        </w:tc>
        <w:tc>
          <w:tcPr>
            <w:tcW w:w="2361" w:type="dxa"/>
            <w:vAlign w:val="center"/>
          </w:tcPr>
          <w:p w:rsidR="00B27DD9" w:rsidRPr="00B27DD9" w:rsidRDefault="00B27DD9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56</w:t>
            </w:r>
          </w:p>
        </w:tc>
      </w:tr>
      <w:tr w:rsidR="00B27DD9" w:rsidRPr="00B27DD9" w:rsidTr="00B27DD9">
        <w:tc>
          <w:tcPr>
            <w:tcW w:w="2361" w:type="dxa"/>
            <w:vAlign w:val="center"/>
          </w:tcPr>
          <w:p w:rsidR="00B27DD9" w:rsidRPr="00B27DD9" w:rsidRDefault="00B27DD9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Arthritis (sonographic)</w:t>
            </w:r>
          </w:p>
        </w:tc>
        <w:tc>
          <w:tcPr>
            <w:tcW w:w="2361" w:type="dxa"/>
            <w:vAlign w:val="center"/>
          </w:tcPr>
          <w:p w:rsidR="00B27DD9" w:rsidRPr="00B27DD9" w:rsidRDefault="00B27DD9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9</w:t>
            </w:r>
          </w:p>
        </w:tc>
        <w:tc>
          <w:tcPr>
            <w:tcW w:w="2361" w:type="dxa"/>
            <w:vAlign w:val="center"/>
          </w:tcPr>
          <w:p w:rsidR="00B27DD9" w:rsidRPr="00B27DD9" w:rsidRDefault="00B27DD9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56</w:t>
            </w:r>
          </w:p>
        </w:tc>
      </w:tr>
      <w:tr w:rsidR="00B27DD9" w:rsidRPr="00B27DD9" w:rsidTr="00B27DD9">
        <w:tc>
          <w:tcPr>
            <w:tcW w:w="2361" w:type="dxa"/>
            <w:vAlign w:val="center"/>
          </w:tcPr>
          <w:p w:rsidR="00B27DD9" w:rsidRPr="00B27DD9" w:rsidRDefault="00B27DD9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Sore throat/Pharyngitis</w:t>
            </w:r>
          </w:p>
        </w:tc>
        <w:tc>
          <w:tcPr>
            <w:tcW w:w="2361" w:type="dxa"/>
            <w:vAlign w:val="center"/>
          </w:tcPr>
          <w:p w:rsidR="00B27DD9" w:rsidRPr="00B27DD9" w:rsidRDefault="00B27DD9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4</w:t>
            </w:r>
          </w:p>
        </w:tc>
        <w:tc>
          <w:tcPr>
            <w:tcW w:w="2361" w:type="dxa"/>
            <w:vAlign w:val="center"/>
          </w:tcPr>
          <w:p w:rsidR="00B27DD9" w:rsidRPr="00B27DD9" w:rsidRDefault="00B27DD9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25</w:t>
            </w:r>
          </w:p>
        </w:tc>
      </w:tr>
      <w:tr w:rsidR="00B27DD9" w:rsidRPr="00B27DD9" w:rsidTr="00B27DD9">
        <w:tc>
          <w:tcPr>
            <w:tcW w:w="2361" w:type="dxa"/>
            <w:vAlign w:val="center"/>
          </w:tcPr>
          <w:p w:rsidR="00B27DD9" w:rsidRPr="00B27DD9" w:rsidRDefault="00B27DD9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Splenomegaly</w:t>
            </w:r>
          </w:p>
        </w:tc>
        <w:tc>
          <w:tcPr>
            <w:tcW w:w="2361" w:type="dxa"/>
            <w:vAlign w:val="center"/>
          </w:tcPr>
          <w:p w:rsidR="00B27DD9" w:rsidRPr="00B27DD9" w:rsidRDefault="00B27DD9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3</w:t>
            </w:r>
          </w:p>
        </w:tc>
        <w:tc>
          <w:tcPr>
            <w:tcW w:w="2361" w:type="dxa"/>
            <w:vAlign w:val="center"/>
          </w:tcPr>
          <w:p w:rsidR="00B27DD9" w:rsidRPr="00B27DD9" w:rsidRDefault="00B27DD9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19</w:t>
            </w:r>
          </w:p>
        </w:tc>
      </w:tr>
      <w:tr w:rsidR="00B27DD9" w:rsidRPr="00B27DD9" w:rsidTr="00B27DD9">
        <w:tc>
          <w:tcPr>
            <w:tcW w:w="2361" w:type="dxa"/>
            <w:vAlign w:val="center"/>
          </w:tcPr>
          <w:p w:rsidR="00B27DD9" w:rsidRPr="00B27DD9" w:rsidRDefault="00B27DD9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Serositis</w:t>
            </w:r>
          </w:p>
        </w:tc>
        <w:tc>
          <w:tcPr>
            <w:tcW w:w="2361" w:type="dxa"/>
            <w:vAlign w:val="center"/>
          </w:tcPr>
          <w:p w:rsidR="00B27DD9" w:rsidRPr="00B27DD9" w:rsidRDefault="00B27DD9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2</w:t>
            </w:r>
          </w:p>
        </w:tc>
        <w:tc>
          <w:tcPr>
            <w:tcW w:w="2361" w:type="dxa"/>
            <w:vAlign w:val="center"/>
          </w:tcPr>
          <w:p w:rsidR="00B27DD9" w:rsidRPr="00B27DD9" w:rsidRDefault="00B27DD9" w:rsidP="00F23A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27DD9">
              <w:rPr>
                <w:rFonts w:ascii="Arial" w:hAnsi="Arial" w:cs="Arial"/>
                <w:color w:val="000000"/>
                <w:sz w:val="20"/>
                <w:szCs w:val="20"/>
                <w:lang w:val="en-US" w:eastAsia="de-DE"/>
              </w:rPr>
              <w:t>12,5</w:t>
            </w:r>
          </w:p>
        </w:tc>
      </w:tr>
    </w:tbl>
    <w:p w:rsidR="00B27DD9" w:rsidRDefault="00B27DD9" w:rsidP="00B27DD9">
      <w:pPr>
        <w:spacing w:line="240" w:lineRule="auto"/>
        <w:rPr>
          <w:rFonts w:ascii="Arial" w:hAnsi="Arial" w:cs="Arial"/>
          <w:color w:val="000000"/>
          <w:sz w:val="20"/>
          <w:szCs w:val="20"/>
          <w:lang w:val="en-US" w:eastAsia="de-DE"/>
        </w:rPr>
      </w:pPr>
    </w:p>
    <w:p w:rsidR="00B27DD9" w:rsidRDefault="00B27DD9" w:rsidP="00B27DD9">
      <w:pPr>
        <w:spacing w:line="240" w:lineRule="auto"/>
        <w:rPr>
          <w:rFonts w:ascii="Arial" w:hAnsi="Arial" w:cs="Arial"/>
          <w:color w:val="000000"/>
          <w:sz w:val="20"/>
          <w:szCs w:val="20"/>
          <w:lang w:val="en-US" w:eastAsia="de-DE"/>
        </w:rPr>
      </w:pPr>
    </w:p>
    <w:p w:rsidR="006233C6" w:rsidRDefault="00B27DD9">
      <w:pPr>
        <w:pStyle w:val="TableofFigures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</w:pPr>
      <w:r>
        <w:rPr>
          <w:lang w:val="en-US"/>
        </w:rPr>
        <w:fldChar w:fldCharType="begin"/>
      </w:r>
      <w:r>
        <w:rPr>
          <w:lang w:val="en-US"/>
        </w:rPr>
        <w:instrText xml:space="preserve"> TOC \h \z \c "Table S" </w:instrText>
      </w:r>
      <w:r>
        <w:rPr>
          <w:lang w:val="en-US"/>
        </w:rPr>
        <w:fldChar w:fldCharType="separate"/>
      </w:r>
      <w:bookmarkStart w:id="6" w:name="_Hlk523412937"/>
      <w:r w:rsidR="006233C6" w:rsidRPr="009D0787">
        <w:rPr>
          <w:rStyle w:val="Hyperlink"/>
          <w:noProof/>
        </w:rPr>
        <w:fldChar w:fldCharType="begin"/>
      </w:r>
      <w:r w:rsidR="006233C6" w:rsidRPr="009D0787">
        <w:rPr>
          <w:rStyle w:val="Hyperlink"/>
          <w:noProof/>
        </w:rPr>
        <w:instrText xml:space="preserve"> </w:instrText>
      </w:r>
      <w:r w:rsidR="006233C6">
        <w:rPr>
          <w:noProof/>
        </w:rPr>
        <w:instrText>HYPERLINK \l "_Toc523412868"</w:instrText>
      </w:r>
      <w:r w:rsidR="006233C6" w:rsidRPr="009D0787">
        <w:rPr>
          <w:rStyle w:val="Hyperlink"/>
          <w:noProof/>
        </w:rPr>
        <w:instrText xml:space="preserve"> </w:instrText>
      </w:r>
      <w:r w:rsidR="006233C6" w:rsidRPr="009D0787">
        <w:rPr>
          <w:rStyle w:val="Hyperlink"/>
          <w:noProof/>
        </w:rPr>
        <w:fldChar w:fldCharType="separate"/>
      </w:r>
      <w:r w:rsidR="006233C6" w:rsidRPr="009D0787">
        <w:rPr>
          <w:rStyle w:val="Hyperlink"/>
          <w:noProof/>
          <w:lang w:val="en-US"/>
        </w:rPr>
        <w:t>Table S 1: List of main diagnoses adult control group</w:t>
      </w:r>
      <w:r w:rsidR="006233C6">
        <w:rPr>
          <w:noProof/>
          <w:webHidden/>
        </w:rPr>
        <w:tab/>
      </w:r>
      <w:r w:rsidR="006233C6">
        <w:rPr>
          <w:noProof/>
          <w:webHidden/>
        </w:rPr>
        <w:fldChar w:fldCharType="begin"/>
      </w:r>
      <w:r w:rsidR="006233C6">
        <w:rPr>
          <w:noProof/>
          <w:webHidden/>
        </w:rPr>
        <w:instrText xml:space="preserve"> PAGEREF _Toc523412868 \h </w:instrText>
      </w:r>
      <w:r w:rsidR="006233C6">
        <w:rPr>
          <w:noProof/>
          <w:webHidden/>
        </w:rPr>
      </w:r>
      <w:r w:rsidR="006233C6">
        <w:rPr>
          <w:noProof/>
          <w:webHidden/>
        </w:rPr>
        <w:fldChar w:fldCharType="separate"/>
      </w:r>
      <w:r w:rsidR="006233C6">
        <w:rPr>
          <w:noProof/>
          <w:webHidden/>
        </w:rPr>
        <w:t>1</w:t>
      </w:r>
      <w:r w:rsidR="006233C6">
        <w:rPr>
          <w:noProof/>
          <w:webHidden/>
        </w:rPr>
        <w:fldChar w:fldCharType="end"/>
      </w:r>
      <w:r w:rsidR="006233C6" w:rsidRPr="009D0787">
        <w:rPr>
          <w:rStyle w:val="Hyperlink"/>
          <w:noProof/>
        </w:rPr>
        <w:fldChar w:fldCharType="end"/>
      </w:r>
    </w:p>
    <w:p w:rsidR="006233C6" w:rsidRDefault="005C2B7E">
      <w:pPr>
        <w:pStyle w:val="TableofFigures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</w:pPr>
      <w:hyperlink w:anchor="_Toc523412869" w:history="1">
        <w:r w:rsidR="006233C6" w:rsidRPr="009D0787">
          <w:rPr>
            <w:rStyle w:val="Hyperlink"/>
            <w:noProof/>
            <w:lang w:val="en-US"/>
          </w:rPr>
          <w:t>Table S 2: List of diseases in children’s control group</w:t>
        </w:r>
        <w:r w:rsidR="006233C6">
          <w:rPr>
            <w:noProof/>
            <w:webHidden/>
          </w:rPr>
          <w:tab/>
        </w:r>
        <w:r w:rsidR="006233C6">
          <w:rPr>
            <w:noProof/>
            <w:webHidden/>
          </w:rPr>
          <w:fldChar w:fldCharType="begin"/>
        </w:r>
        <w:r w:rsidR="006233C6">
          <w:rPr>
            <w:noProof/>
            <w:webHidden/>
          </w:rPr>
          <w:instrText xml:space="preserve"> PAGEREF _Toc523412869 \h </w:instrText>
        </w:r>
        <w:r w:rsidR="006233C6">
          <w:rPr>
            <w:noProof/>
            <w:webHidden/>
          </w:rPr>
        </w:r>
        <w:r w:rsidR="006233C6">
          <w:rPr>
            <w:noProof/>
            <w:webHidden/>
          </w:rPr>
          <w:fldChar w:fldCharType="separate"/>
        </w:r>
        <w:r w:rsidR="006233C6">
          <w:rPr>
            <w:noProof/>
            <w:webHidden/>
          </w:rPr>
          <w:t>2</w:t>
        </w:r>
        <w:r w:rsidR="006233C6">
          <w:rPr>
            <w:noProof/>
            <w:webHidden/>
          </w:rPr>
          <w:fldChar w:fldCharType="end"/>
        </w:r>
      </w:hyperlink>
    </w:p>
    <w:p w:rsidR="006233C6" w:rsidRDefault="005C2B7E">
      <w:pPr>
        <w:pStyle w:val="TableofFigures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</w:pPr>
      <w:hyperlink w:anchor="_Toc523412870" w:history="1">
        <w:r w:rsidR="006233C6" w:rsidRPr="009D0787">
          <w:rPr>
            <w:rStyle w:val="Hyperlink"/>
            <w:noProof/>
            <w:lang w:val="en-US"/>
          </w:rPr>
          <w:t>Table S 3: Frequency of symptoms in active sJIA</w:t>
        </w:r>
        <w:r w:rsidR="006233C6">
          <w:rPr>
            <w:noProof/>
            <w:webHidden/>
          </w:rPr>
          <w:tab/>
        </w:r>
        <w:r w:rsidR="006233C6">
          <w:rPr>
            <w:noProof/>
            <w:webHidden/>
          </w:rPr>
          <w:fldChar w:fldCharType="begin"/>
        </w:r>
        <w:r w:rsidR="006233C6">
          <w:rPr>
            <w:noProof/>
            <w:webHidden/>
          </w:rPr>
          <w:instrText xml:space="preserve"> PAGEREF _Toc523412870 \h </w:instrText>
        </w:r>
        <w:r w:rsidR="006233C6">
          <w:rPr>
            <w:noProof/>
            <w:webHidden/>
          </w:rPr>
        </w:r>
        <w:r w:rsidR="006233C6">
          <w:rPr>
            <w:noProof/>
            <w:webHidden/>
          </w:rPr>
          <w:fldChar w:fldCharType="separate"/>
        </w:r>
        <w:r w:rsidR="006233C6">
          <w:rPr>
            <w:noProof/>
            <w:webHidden/>
          </w:rPr>
          <w:t>2</w:t>
        </w:r>
        <w:r w:rsidR="006233C6">
          <w:rPr>
            <w:noProof/>
            <w:webHidden/>
          </w:rPr>
          <w:fldChar w:fldCharType="end"/>
        </w:r>
      </w:hyperlink>
    </w:p>
    <w:bookmarkEnd w:id="6"/>
    <w:p w:rsidR="00C10195" w:rsidRDefault="00B27DD9">
      <w:pPr>
        <w:rPr>
          <w:lang w:val="en-US"/>
        </w:rPr>
      </w:pPr>
      <w:r>
        <w:rPr>
          <w:lang w:val="en-US"/>
        </w:rPr>
        <w:fldChar w:fldCharType="end"/>
      </w:r>
    </w:p>
    <w:p w:rsidR="00C10195" w:rsidRPr="00C10195" w:rsidRDefault="00C10195">
      <w:pPr>
        <w:rPr>
          <w:lang w:val="en-US"/>
        </w:rPr>
      </w:pPr>
    </w:p>
    <w:sectPr w:rsidR="00C10195" w:rsidRPr="00C1019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313E37"/>
    <w:rsid w:val="00093777"/>
    <w:rsid w:val="00243B58"/>
    <w:rsid w:val="00313E37"/>
    <w:rsid w:val="003D0244"/>
    <w:rsid w:val="004C303F"/>
    <w:rsid w:val="005C2B7E"/>
    <w:rsid w:val="006233C6"/>
    <w:rsid w:val="00810780"/>
    <w:rsid w:val="009649EB"/>
    <w:rsid w:val="00AE6C3E"/>
    <w:rsid w:val="00B27DD9"/>
    <w:rsid w:val="00C10195"/>
    <w:rsid w:val="00D219F4"/>
    <w:rsid w:val="00DA0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E37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313E37"/>
    <w:rPr>
      <w:color w:val="0000FF"/>
      <w:u w:val="single"/>
    </w:rPr>
  </w:style>
  <w:style w:type="table" w:styleId="TableGrid">
    <w:name w:val="Table Grid"/>
    <w:basedOn w:val="TableNormal"/>
    <w:uiPriority w:val="59"/>
    <w:rsid w:val="00313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313E37"/>
    <w:pPr>
      <w:spacing w:after="200" w:line="240" w:lineRule="auto"/>
    </w:pPr>
    <w:rPr>
      <w:rFonts w:asciiTheme="minorHAnsi" w:eastAsiaTheme="minorHAnsi" w:hAnsiTheme="minorHAnsi" w:cstheme="minorBidi"/>
      <w:b/>
      <w:bCs/>
      <w:color w:val="4472C4" w:themeColor="accent1"/>
      <w:sz w:val="18"/>
      <w:szCs w:val="18"/>
      <w:lang w:val="de-DE"/>
    </w:rPr>
  </w:style>
  <w:style w:type="paragraph" w:styleId="TableofFigures">
    <w:name w:val="table of figures"/>
    <w:basedOn w:val="Normal"/>
    <w:next w:val="Normal"/>
    <w:uiPriority w:val="99"/>
    <w:unhideWhenUsed/>
    <w:rsid w:val="00C101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E37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313E37"/>
    <w:rPr>
      <w:color w:val="0000FF"/>
      <w:u w:val="single"/>
    </w:rPr>
  </w:style>
  <w:style w:type="table" w:styleId="TableGrid">
    <w:name w:val="Table Grid"/>
    <w:basedOn w:val="TableNormal"/>
    <w:uiPriority w:val="59"/>
    <w:rsid w:val="00313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313E37"/>
    <w:pPr>
      <w:spacing w:after="200" w:line="240" w:lineRule="auto"/>
    </w:pPr>
    <w:rPr>
      <w:rFonts w:asciiTheme="minorHAnsi" w:eastAsiaTheme="minorHAnsi" w:hAnsiTheme="minorHAnsi" w:cstheme="minorBidi"/>
      <w:b/>
      <w:bCs/>
      <w:color w:val="4472C4" w:themeColor="accent1"/>
      <w:sz w:val="18"/>
      <w:szCs w:val="18"/>
      <w:lang w:val="de-DE"/>
    </w:rPr>
  </w:style>
  <w:style w:type="paragraph" w:styleId="TableofFigures">
    <w:name w:val="table of figures"/>
    <w:basedOn w:val="Normal"/>
    <w:next w:val="Normal"/>
    <w:uiPriority w:val="99"/>
    <w:unhideWhenUsed/>
    <w:rsid w:val="00C101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sdmanuals.com/professional/dental-disorders/symptoms-of-dental-and-oral-disorders/recurrent-aphthous-stomatitis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msdmanuals.com/professional/dental-disorders/symptoms-of-dental-and-oral-disorders/recurrent-aphthous-stomatiti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de.wiktionary.org/w/index.php?title=Brocq-Jaquet_neurodermitis&amp;action=edit&amp;redlink=1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E684D0-AB20-492B-ADC8-28909D897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3700</Characters>
  <Application>Microsoft Office Word</Application>
  <DocSecurity>0</DocSecurity>
  <Lines>246</Lines>
  <Paragraphs>145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holger.md holger.md</dc:creator>
  <cp:keywords/>
  <dc:description/>
  <cp:lastModifiedBy>LCAPITAN</cp:lastModifiedBy>
  <cp:revision>4</cp:revision>
  <dcterms:created xsi:type="dcterms:W3CDTF">2018-08-31T17:23:00Z</dcterms:created>
  <dcterms:modified xsi:type="dcterms:W3CDTF">2019-01-29T02:23:00Z</dcterms:modified>
</cp:coreProperties>
</file>