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B7F" w:rsidRPr="009C5512" w:rsidRDefault="009C5512">
      <w:pPr>
        <w:rPr>
          <w:b/>
        </w:rPr>
      </w:pPr>
      <w:r w:rsidRPr="009C5512">
        <w:rPr>
          <w:b/>
        </w:rPr>
        <w:t>Additional file 1</w:t>
      </w:r>
    </w:p>
    <w:p w:rsidR="008059B5" w:rsidRDefault="008059B5"/>
    <w:p w:rsidR="008059B5" w:rsidRPr="008059B5" w:rsidRDefault="008059B5" w:rsidP="008059B5">
      <w:pPr>
        <w:spacing w:after="0" w:line="360" w:lineRule="auto"/>
      </w:pPr>
      <w:r w:rsidRPr="008059B5">
        <w:t>Multivariate associations with successful TNFi discontinuation with and without MBDA score as a predictor</w:t>
      </w:r>
      <w:r w:rsidR="009C5512">
        <w:t>, with disease duration and MBDA as continuous</w:t>
      </w:r>
      <w:bookmarkStart w:id="0" w:name="_GoBack"/>
      <w:bookmarkEnd w:id="0"/>
      <w:r w:rsidR="009C5512">
        <w:t xml:space="preserve"> predictors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645"/>
        <w:gridCol w:w="1317"/>
        <w:gridCol w:w="1018"/>
        <w:gridCol w:w="222"/>
        <w:gridCol w:w="645"/>
        <w:gridCol w:w="1317"/>
        <w:gridCol w:w="1018"/>
      </w:tblGrid>
      <w:tr w:rsidR="008059B5" w:rsidRPr="008059B5" w:rsidTr="00E05B13"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</w:pPr>
          </w:p>
        </w:tc>
        <w:tc>
          <w:tcPr>
            <w:tcW w:w="0" w:type="auto"/>
            <w:gridSpan w:val="3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  <w:rPr>
                <w:b/>
              </w:rPr>
            </w:pPr>
            <w:r w:rsidRPr="008059B5">
              <w:rPr>
                <w:b/>
              </w:rPr>
              <w:t>With MBDA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  <w:rPr>
                <w:b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  <w:rPr>
                <w:b/>
              </w:rPr>
            </w:pPr>
            <w:r w:rsidRPr="008059B5">
              <w:rPr>
                <w:b/>
              </w:rPr>
              <w:t>Without MBDA</w:t>
            </w:r>
          </w:p>
        </w:tc>
      </w:tr>
      <w:tr w:rsidR="008059B5" w:rsidRPr="008059B5" w:rsidTr="00E05B13"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rPr>
                <w:b/>
              </w:rPr>
            </w:pPr>
            <w:r w:rsidRPr="008059B5">
              <w:rPr>
                <w:b/>
              </w:rPr>
              <w:t>Predictor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  <w:rPr>
                <w:b/>
              </w:rPr>
            </w:pPr>
            <w:r w:rsidRPr="008059B5">
              <w:rPr>
                <w:b/>
              </w:rPr>
              <w:t>OR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  <w:rPr>
                <w:b/>
              </w:rPr>
            </w:pPr>
            <w:r w:rsidRPr="008059B5">
              <w:rPr>
                <w:b/>
              </w:rPr>
              <w:t>95% CI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  <w:rPr>
                <w:b/>
              </w:rPr>
            </w:pPr>
            <w:r w:rsidRPr="008059B5">
              <w:rPr>
                <w:b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  <w:rPr>
                <w:b/>
              </w:rPr>
            </w:pPr>
            <w:r w:rsidRPr="008059B5">
              <w:rPr>
                <w:b/>
              </w:rPr>
              <w:t>OR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  <w:rPr>
                <w:b/>
              </w:rPr>
            </w:pPr>
            <w:r w:rsidRPr="008059B5">
              <w:rPr>
                <w:b/>
              </w:rPr>
              <w:t>95% CI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  <w:rPr>
                <w:b/>
              </w:rPr>
            </w:pPr>
            <w:r w:rsidRPr="008059B5">
              <w:rPr>
                <w:b/>
              </w:rPr>
              <w:t>P</w:t>
            </w:r>
          </w:p>
        </w:tc>
      </w:tr>
      <w:tr w:rsidR="008059B5" w:rsidRPr="008059B5" w:rsidTr="00E05B13"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</w:pPr>
            <w:r w:rsidRPr="008059B5">
              <w:t xml:space="preserve">Antibody </w:t>
            </w:r>
            <w:proofErr w:type="spellStart"/>
            <w:r w:rsidRPr="008059B5">
              <w:t>TNFi</w:t>
            </w:r>
            <w:r w:rsidRPr="008059B5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2.</w:t>
            </w:r>
            <w:r>
              <w:t>41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1.58 – 3.</w:t>
            </w:r>
            <w:r>
              <w:t>68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&lt;0.0001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2.</w:t>
            </w:r>
            <w:r w:rsidR="00655B70">
              <w:t>43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1.</w:t>
            </w:r>
            <w:r w:rsidR="00655B70">
              <w:t>59</w:t>
            </w:r>
            <w:r w:rsidRPr="008059B5">
              <w:t xml:space="preserve"> – 3.</w:t>
            </w:r>
            <w:r w:rsidR="00655B70">
              <w:t>69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&lt;0.0001</w:t>
            </w:r>
          </w:p>
        </w:tc>
      </w:tr>
      <w:tr w:rsidR="008059B5" w:rsidRPr="008059B5" w:rsidTr="00E05B13"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</w:pPr>
            <w:r w:rsidRPr="008059B5">
              <w:t>Disease duration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>
              <w:t>0.95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>
              <w:t>0.93</w:t>
            </w:r>
            <w:r w:rsidRPr="008059B5">
              <w:t xml:space="preserve"> – </w:t>
            </w:r>
            <w:r>
              <w:t>0.98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&lt;0.0001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059B5" w:rsidRPr="008059B5" w:rsidRDefault="00655B70" w:rsidP="00E05B13">
            <w:pPr>
              <w:spacing w:after="0" w:line="360" w:lineRule="auto"/>
              <w:jc w:val="center"/>
            </w:pPr>
            <w:r>
              <w:t>0.95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655B70" w:rsidP="00E05B13">
            <w:pPr>
              <w:spacing w:after="0" w:line="360" w:lineRule="auto"/>
              <w:jc w:val="center"/>
            </w:pPr>
            <w:r>
              <w:t>0.93</w:t>
            </w:r>
            <w:r w:rsidR="008059B5" w:rsidRPr="008059B5">
              <w:t xml:space="preserve"> – </w:t>
            </w:r>
            <w:r>
              <w:t>0.97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&lt;0.0001</w:t>
            </w:r>
          </w:p>
        </w:tc>
      </w:tr>
      <w:tr w:rsidR="008059B5" w:rsidRPr="008059B5" w:rsidTr="00E05B13"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</w:pPr>
            <w:r w:rsidRPr="008059B5">
              <w:t>MBDA score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>
              <w:t>0.98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>
              <w:t>0.97</w:t>
            </w:r>
            <w:r w:rsidRPr="008059B5">
              <w:t xml:space="preserve"> – </w:t>
            </w:r>
            <w:r>
              <w:t>1.00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0.0</w:t>
            </w:r>
            <w:r>
              <w:t>43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–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–</w:t>
            </w:r>
          </w:p>
        </w:tc>
        <w:tc>
          <w:tcPr>
            <w:tcW w:w="0" w:type="auto"/>
            <w:shd w:val="clear" w:color="auto" w:fill="auto"/>
          </w:tcPr>
          <w:p w:rsidR="008059B5" w:rsidRPr="008059B5" w:rsidRDefault="008059B5" w:rsidP="00E05B13">
            <w:pPr>
              <w:spacing w:after="0" w:line="360" w:lineRule="auto"/>
              <w:jc w:val="center"/>
            </w:pPr>
            <w:r w:rsidRPr="008059B5">
              <w:t>–</w:t>
            </w:r>
          </w:p>
        </w:tc>
      </w:tr>
    </w:tbl>
    <w:p w:rsidR="008059B5" w:rsidRPr="008059B5" w:rsidRDefault="008059B5" w:rsidP="008059B5">
      <w:pPr>
        <w:spacing w:after="0" w:line="360" w:lineRule="auto"/>
        <w:rPr>
          <w:rFonts w:cs="Arial"/>
          <w:sz w:val="20"/>
          <w:szCs w:val="20"/>
        </w:rPr>
      </w:pPr>
      <w:r w:rsidRPr="008059B5">
        <w:rPr>
          <w:rFonts w:cs="Arial"/>
          <w:sz w:val="20"/>
          <w:szCs w:val="20"/>
          <w:vertAlign w:val="superscript"/>
        </w:rPr>
        <w:t xml:space="preserve">a </w:t>
      </w:r>
      <w:r w:rsidRPr="008059B5">
        <w:rPr>
          <w:rFonts w:cs="Arial"/>
          <w:sz w:val="20"/>
          <w:szCs w:val="20"/>
        </w:rPr>
        <w:t xml:space="preserve">Reference category is receptor antagonist. </w:t>
      </w:r>
    </w:p>
    <w:p w:rsidR="008059B5" w:rsidRPr="008059B5" w:rsidRDefault="008059B5" w:rsidP="008059B5">
      <w:pPr>
        <w:spacing w:after="0" w:line="360" w:lineRule="auto"/>
        <w:rPr>
          <w:sz w:val="20"/>
          <w:szCs w:val="20"/>
        </w:rPr>
      </w:pPr>
      <w:r w:rsidRPr="008059B5">
        <w:rPr>
          <w:rFonts w:cs="Arial"/>
          <w:sz w:val="20"/>
          <w:szCs w:val="20"/>
        </w:rPr>
        <w:t xml:space="preserve">TNFi = tumor necrosis factor-alpha inhibitors; </w:t>
      </w:r>
      <w:r w:rsidRPr="008059B5">
        <w:rPr>
          <w:rFonts w:cs="Arial"/>
          <w:bCs/>
          <w:kern w:val="24"/>
          <w:sz w:val="20"/>
          <w:szCs w:val="20"/>
        </w:rPr>
        <w:t xml:space="preserve">MBDA = multi-biomarker disease activity; OR = </w:t>
      </w:r>
      <w:r w:rsidRPr="008059B5">
        <w:rPr>
          <w:sz w:val="20"/>
          <w:szCs w:val="20"/>
        </w:rPr>
        <w:t xml:space="preserve">Odds ratio. Hosmer and </w:t>
      </w:r>
      <w:proofErr w:type="spellStart"/>
      <w:r w:rsidRPr="008059B5">
        <w:rPr>
          <w:sz w:val="20"/>
          <w:szCs w:val="20"/>
        </w:rPr>
        <w:t>Lemeshow</w:t>
      </w:r>
      <w:proofErr w:type="spellEnd"/>
      <w:r w:rsidRPr="008059B5">
        <w:rPr>
          <w:sz w:val="20"/>
          <w:szCs w:val="20"/>
        </w:rPr>
        <w:t xml:space="preserve"> with MBDA </w:t>
      </w:r>
      <w:r w:rsidRPr="008059B5">
        <w:rPr>
          <w:rFonts w:cs="Arial"/>
          <w:sz w:val="20"/>
          <w:szCs w:val="20"/>
        </w:rPr>
        <w:t>χ</w:t>
      </w:r>
      <w:r w:rsidRPr="008059B5">
        <w:rPr>
          <w:sz w:val="20"/>
          <w:szCs w:val="20"/>
        </w:rPr>
        <w:t>2(</w:t>
      </w:r>
      <w:r>
        <w:rPr>
          <w:sz w:val="20"/>
          <w:szCs w:val="20"/>
        </w:rPr>
        <w:t>8</w:t>
      </w:r>
      <w:r w:rsidRPr="008059B5">
        <w:rPr>
          <w:sz w:val="20"/>
          <w:szCs w:val="20"/>
        </w:rPr>
        <w:t xml:space="preserve">) = </w:t>
      </w:r>
      <w:r>
        <w:rPr>
          <w:sz w:val="20"/>
          <w:szCs w:val="20"/>
        </w:rPr>
        <w:t>2.29</w:t>
      </w:r>
      <w:r w:rsidRPr="008059B5">
        <w:rPr>
          <w:sz w:val="20"/>
          <w:szCs w:val="20"/>
        </w:rPr>
        <w:t>, P = 0.</w:t>
      </w:r>
      <w:r>
        <w:rPr>
          <w:sz w:val="20"/>
          <w:szCs w:val="20"/>
        </w:rPr>
        <w:t>971,</w:t>
      </w:r>
      <w:r w:rsidRPr="008059B5">
        <w:rPr>
          <w:sz w:val="20"/>
          <w:szCs w:val="20"/>
        </w:rPr>
        <w:t xml:space="preserve"> area under ROC curve = </w:t>
      </w:r>
      <w:bookmarkStart w:id="1" w:name="_Hlk527127"/>
      <w:r w:rsidRPr="008059B5">
        <w:rPr>
          <w:sz w:val="20"/>
          <w:szCs w:val="20"/>
        </w:rPr>
        <w:t>0.</w:t>
      </w:r>
      <w:r w:rsidR="00655B70">
        <w:rPr>
          <w:sz w:val="20"/>
          <w:szCs w:val="20"/>
        </w:rPr>
        <w:t>68</w:t>
      </w:r>
      <w:r w:rsidRPr="008059B5">
        <w:rPr>
          <w:sz w:val="20"/>
          <w:szCs w:val="20"/>
        </w:rPr>
        <w:t xml:space="preserve"> (95% CI: 0.</w:t>
      </w:r>
      <w:r w:rsidR="00655B70">
        <w:rPr>
          <w:sz w:val="20"/>
          <w:szCs w:val="20"/>
        </w:rPr>
        <w:t>62</w:t>
      </w:r>
      <w:r w:rsidRPr="008059B5">
        <w:rPr>
          <w:sz w:val="20"/>
          <w:szCs w:val="20"/>
        </w:rPr>
        <w:t xml:space="preserve"> – 0.</w:t>
      </w:r>
      <w:r w:rsidR="00655B70">
        <w:rPr>
          <w:sz w:val="20"/>
          <w:szCs w:val="20"/>
        </w:rPr>
        <w:t>73</w:t>
      </w:r>
      <w:r w:rsidRPr="008059B5">
        <w:rPr>
          <w:sz w:val="20"/>
          <w:szCs w:val="20"/>
        </w:rPr>
        <w:t>, P &lt;0.0001)</w:t>
      </w:r>
      <w:bookmarkEnd w:id="1"/>
      <w:r w:rsidRPr="008059B5">
        <w:rPr>
          <w:sz w:val="20"/>
          <w:szCs w:val="20"/>
        </w:rPr>
        <w:t xml:space="preserve">; without MBDA </w:t>
      </w:r>
      <w:r w:rsidRPr="008059B5">
        <w:rPr>
          <w:rFonts w:cs="Arial"/>
          <w:sz w:val="20"/>
          <w:szCs w:val="20"/>
        </w:rPr>
        <w:t>χ</w:t>
      </w:r>
      <w:r w:rsidRPr="008059B5">
        <w:rPr>
          <w:sz w:val="20"/>
          <w:szCs w:val="20"/>
        </w:rPr>
        <w:t>2(</w:t>
      </w:r>
      <w:r w:rsidR="00655B70">
        <w:rPr>
          <w:sz w:val="20"/>
          <w:szCs w:val="20"/>
        </w:rPr>
        <w:t>8</w:t>
      </w:r>
      <w:r w:rsidRPr="008059B5">
        <w:rPr>
          <w:sz w:val="20"/>
          <w:szCs w:val="20"/>
        </w:rPr>
        <w:t xml:space="preserve">) = </w:t>
      </w:r>
      <w:r w:rsidR="00655B70">
        <w:rPr>
          <w:sz w:val="20"/>
          <w:szCs w:val="20"/>
        </w:rPr>
        <w:t>5.09</w:t>
      </w:r>
      <w:r w:rsidRPr="008059B5">
        <w:rPr>
          <w:sz w:val="20"/>
          <w:szCs w:val="20"/>
        </w:rPr>
        <w:t>, P = 0.</w:t>
      </w:r>
      <w:r w:rsidR="00655B70">
        <w:rPr>
          <w:sz w:val="20"/>
          <w:szCs w:val="20"/>
        </w:rPr>
        <w:t xml:space="preserve">748, </w:t>
      </w:r>
      <w:r w:rsidRPr="008059B5">
        <w:rPr>
          <w:sz w:val="20"/>
          <w:szCs w:val="20"/>
        </w:rPr>
        <w:t>area under ROC curve = 0.</w:t>
      </w:r>
      <w:r w:rsidR="00655B70">
        <w:rPr>
          <w:sz w:val="20"/>
          <w:szCs w:val="20"/>
        </w:rPr>
        <w:t>67</w:t>
      </w:r>
      <w:r w:rsidRPr="008059B5">
        <w:rPr>
          <w:sz w:val="20"/>
          <w:szCs w:val="20"/>
        </w:rPr>
        <w:t xml:space="preserve"> (95% CI: 0.</w:t>
      </w:r>
      <w:r w:rsidR="00655B70">
        <w:rPr>
          <w:sz w:val="20"/>
          <w:szCs w:val="20"/>
        </w:rPr>
        <w:t>62</w:t>
      </w:r>
      <w:r w:rsidRPr="008059B5">
        <w:rPr>
          <w:sz w:val="20"/>
          <w:szCs w:val="20"/>
        </w:rPr>
        <w:t xml:space="preserve"> – 0.</w:t>
      </w:r>
      <w:r w:rsidR="00655B70">
        <w:rPr>
          <w:sz w:val="20"/>
          <w:szCs w:val="20"/>
        </w:rPr>
        <w:t>72</w:t>
      </w:r>
      <w:r w:rsidRPr="008059B5">
        <w:rPr>
          <w:sz w:val="20"/>
          <w:szCs w:val="20"/>
        </w:rPr>
        <w:t>, P &lt;0.0001).</w:t>
      </w:r>
    </w:p>
    <w:p w:rsidR="008059B5" w:rsidRDefault="008059B5"/>
    <w:sectPr w:rsidR="008059B5" w:rsidSect="00BB0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B5"/>
    <w:rsid w:val="000E480C"/>
    <w:rsid w:val="00655B70"/>
    <w:rsid w:val="008059B5"/>
    <w:rsid w:val="009C5512"/>
    <w:rsid w:val="00BB0100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15EA"/>
  <w15:chartTrackingRefBased/>
  <w15:docId w15:val="{F2570DCA-354F-499F-A9DB-9862C4E2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059B5"/>
    <w:rPr>
      <w:rFonts w:ascii="Arial" w:eastAsia="Calibri" w:hAnsi="Arial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Ten Klooster | Transparency in Healthcare B.V.</dc:creator>
  <cp:keywords/>
  <dc:description/>
  <cp:lastModifiedBy>Peter Ten Klooster | Transparency in Healthcare B.V.</cp:lastModifiedBy>
  <cp:revision>2</cp:revision>
  <dcterms:created xsi:type="dcterms:W3CDTF">2019-02-08T13:50:00Z</dcterms:created>
  <dcterms:modified xsi:type="dcterms:W3CDTF">2019-02-08T14:19:00Z</dcterms:modified>
</cp:coreProperties>
</file>