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SimSun" w:cs="Times New Roman"/>
          <w:i w:val="0"/>
          <w:iCs w:val="0"/>
          <w:sz w:val="24"/>
          <w:szCs w:val="24"/>
          <w:lang w:val="en-GB"/>
        </w:rPr>
      </w:pPr>
      <w:r>
        <w:rPr>
          <w:rFonts w:hint="default" w:eastAsia="SimSun" w:cs="Times New Roman"/>
          <w:b/>
          <w:bCs/>
          <w:i w:val="0"/>
          <w:iCs w:val="0"/>
          <w:sz w:val="24"/>
          <w:szCs w:val="24"/>
          <w:lang w:val="en-GB"/>
        </w:rPr>
        <w:t>Theme 3: Concerns over using JAKi</w:t>
      </w:r>
    </w:p>
    <w:tbl>
      <w:tblPr>
        <w:tblStyle w:val="7"/>
        <w:tblpPr w:leftFromText="180" w:rightFromText="180" w:vertAnchor="page" w:horzAnchor="page" w:tblpX="1561" w:tblpY="2238"/>
        <w:tblOverlap w:val="never"/>
        <w:tblW w:w="138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5"/>
        <w:gridCol w:w="121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rFonts w:hint="default"/>
                <w:i w:val="0"/>
                <w:iCs w:val="0"/>
                <w:sz w:val="22"/>
                <w:szCs w:val="22"/>
                <w:lang w:val="en-GB"/>
              </w:rPr>
            </w:pPr>
            <w:r>
              <w:rPr>
                <w:rFonts w:hint="default"/>
                <w:b/>
                <w:bCs/>
                <w:i w:val="0"/>
                <w:iCs w:val="0"/>
                <w:sz w:val="22"/>
                <w:szCs w:val="22"/>
                <w:lang w:val="en-GB"/>
              </w:rPr>
              <w:t>Subthemes</w:t>
            </w:r>
          </w:p>
        </w:tc>
        <w:tc>
          <w:tcPr>
            <w:tcW w:w="1212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rFonts w:hint="default"/>
                <w:i w:val="0"/>
                <w:iCs w:val="0"/>
                <w:sz w:val="22"/>
                <w:szCs w:val="22"/>
                <w:lang w:val="en-GB"/>
              </w:rPr>
            </w:pPr>
            <w:r>
              <w:rPr>
                <w:rFonts w:hint="default"/>
                <w:b/>
                <w:bCs/>
                <w:i w:val="0"/>
                <w:iCs w:val="0"/>
                <w:sz w:val="22"/>
                <w:szCs w:val="22"/>
                <w:lang w:val="en-GB"/>
              </w:rPr>
              <w:t>Illustrative quotes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7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rFonts w:hint="default"/>
                <w:i w:val="0"/>
                <w:iCs w:val="0"/>
                <w:sz w:val="22"/>
                <w:szCs w:val="22"/>
                <w:lang w:val="en-GB"/>
              </w:rPr>
            </w:pPr>
            <w:r>
              <w:rPr>
                <w:rFonts w:hint="default"/>
                <w:i w:val="0"/>
                <w:iCs w:val="0"/>
                <w:sz w:val="22"/>
                <w:szCs w:val="22"/>
                <w:lang w:val="en-GB"/>
              </w:rPr>
              <w:t>Safety concerns of patients</w:t>
            </w:r>
          </w:p>
        </w:tc>
        <w:tc>
          <w:tcPr>
            <w:tcW w:w="1212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 xml:space="preserve">“...when I was warned that my cholesterol was likely to rise on the filgotinib,…that certainly worried me because all four of my grandparents died from cardiovascular disease.” </w:t>
            </w:r>
            <w:r>
              <w:rPr>
                <w:i w:val="0"/>
                <w:iCs w:val="0"/>
              </w:rPr>
              <w:t>- P</w:t>
            </w:r>
            <w:r>
              <w:rPr>
                <w:i w:val="0"/>
                <w:iCs w:val="0"/>
                <w:lang w:val="en-GB"/>
              </w:rPr>
              <w:t>atient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</w:t>
            </w:r>
            <w:r>
              <w:rPr>
                <w:i w:val="0"/>
                <w:iCs w:val="0"/>
              </w:rPr>
              <w:t xml:space="preserve">15 (RA, East of England)  </w:t>
            </w:r>
          </w:p>
          <w:p>
            <w:pPr>
              <w:widowControl w:val="0"/>
              <w:jc w:val="left"/>
              <w:rPr>
                <w:i w:val="0"/>
                <w:iCs w:val="0"/>
              </w:rPr>
            </w:pPr>
            <w:r>
              <w:rPr>
                <w:rFonts w:hint="default"/>
                <w:i w:val="0"/>
                <w:iCs w:val="0"/>
              </w:rPr>
              <w:t>“...and the possibility of cancer, whether it [tofacitinib] raises the risk with cancer.”</w:t>
            </w:r>
            <w:r>
              <w:rPr>
                <w:rFonts w:hint="default"/>
                <w:i w:val="0"/>
                <w:iCs w:val="0"/>
              </w:rPr>
              <w:t xml:space="preserve"> - Patient 12 (RA, North West England)  </w:t>
            </w:r>
          </w:p>
          <w:p>
            <w:pPr>
              <w:widowControl w:val="0"/>
              <w:jc w:val="left"/>
              <w:rPr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“... there are not enough longitudinal studies [on JAKi], but anything that I have been reading about risk, I am still seeing very small, very, very small percentages of concern.”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-  P</w:t>
            </w:r>
            <w:r>
              <w:rPr>
                <w:i w:val="0"/>
                <w:iCs w:val="0"/>
                <w:lang w:val="en-GB"/>
              </w:rPr>
              <w:t>atient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4 (RA, Northern Ireland)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7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rFonts w:hint="default"/>
                <w:i w:val="0"/>
                <w:iCs w:val="0"/>
                <w:sz w:val="22"/>
                <w:szCs w:val="22"/>
                <w:lang w:val="en-GB"/>
              </w:rPr>
            </w:pPr>
            <w:r>
              <w:rPr>
                <w:rFonts w:hint="default"/>
                <w:i w:val="0"/>
                <w:iCs w:val="0"/>
                <w:sz w:val="22"/>
                <w:szCs w:val="22"/>
                <w:lang w:val="en-GB"/>
              </w:rPr>
              <w:t>Safety concerns of health professionals</w:t>
            </w:r>
          </w:p>
        </w:tc>
        <w:tc>
          <w:tcPr>
            <w:tcW w:w="1212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 xml:space="preserve">“My pharmacist from the GP [general practice surgery], she did ring me up with a concern that I was taking it [baricitinib], and had I looked at all the side effects? And when I went to see the orthopaedic surgeon about me having the hip replacement, and he was shaking his head and saying, ‘that is serious stuff that you are taking there [baricitinib] with the methotrexate…’.” </w:t>
            </w:r>
            <w:r>
              <w:rPr>
                <w:i w:val="0"/>
                <w:iCs w:val="0"/>
              </w:rPr>
              <w:t xml:space="preserve">- </w:t>
            </w:r>
            <w:r>
              <w:rPr>
                <w:rFonts w:hint="default"/>
                <w:i w:val="0"/>
                <w:iCs w:val="0"/>
                <w:lang w:val="en-GB"/>
              </w:rPr>
              <w:t>P</w:t>
            </w:r>
            <w:r>
              <w:rPr>
                <w:i w:val="0"/>
                <w:iCs w:val="0"/>
                <w:lang w:val="en-GB"/>
              </w:rPr>
              <w:t>atient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</w:t>
            </w:r>
            <w:r>
              <w:rPr>
                <w:i w:val="0"/>
                <w:iCs w:val="0"/>
              </w:rPr>
              <w:t>9 (RA, North West England)</w:t>
            </w:r>
          </w:p>
          <w:p>
            <w:pPr>
              <w:widowControl w:val="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“...when I think that a consultant phones you up and says that he is concerned about some recent studies and wants to take you off the drug, I think that it is a cause for concern. Even though it is not baricitinib in the study [ORAL Surveillance], it is the group [JAKi].”</w:t>
            </w:r>
            <w:r>
              <w:rPr>
                <w:i w:val="0"/>
                <w:iCs w:val="0"/>
              </w:rPr>
              <w:t xml:space="preserve"> - P</w:t>
            </w:r>
            <w:r>
              <w:rPr>
                <w:i w:val="0"/>
                <w:iCs w:val="0"/>
                <w:lang w:val="en-GB"/>
              </w:rPr>
              <w:t>atient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</w:t>
            </w:r>
            <w:r>
              <w:rPr>
                <w:i w:val="0"/>
                <w:iCs w:val="0"/>
              </w:rPr>
              <w:t>14 (RA, North West England)</w:t>
            </w:r>
          </w:p>
          <w:p>
            <w:pPr>
              <w:widowControl w:val="0"/>
              <w:jc w:val="left"/>
              <w:rPr>
                <w:i w:val="0"/>
                <w:iCs w:val="0"/>
                <w:lang w:val="en-GB"/>
              </w:rPr>
            </w:pPr>
            <w:r>
              <w:rPr>
                <w:i w:val="0"/>
                <w:iCs w:val="0"/>
              </w:rPr>
              <w:t>“ …the whole of the rheumatologists in Northern Ireland withdrew tofacitinib and changed the patients onto baricitinib.”</w:t>
            </w:r>
            <w:r>
              <w:rPr>
                <w:i w:val="0"/>
                <w:iCs w:val="0"/>
              </w:rPr>
              <w:t xml:space="preserve"> -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</w:t>
            </w:r>
            <w:r>
              <w:rPr>
                <w:i w:val="0"/>
                <w:iCs w:val="0"/>
              </w:rPr>
              <w:t>P</w:t>
            </w:r>
            <w:r>
              <w:rPr>
                <w:i w:val="0"/>
                <w:iCs w:val="0"/>
                <w:lang w:val="en-GB"/>
              </w:rPr>
              <w:t>atient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</w:t>
            </w:r>
            <w:r>
              <w:rPr>
                <w:i w:val="0"/>
                <w:iCs w:val="0"/>
              </w:rPr>
              <w:t>4 (RA, Northern Ireland)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17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rFonts w:hint="default"/>
                <w:i w:val="0"/>
                <w:iCs w:val="0"/>
                <w:sz w:val="22"/>
                <w:szCs w:val="22"/>
                <w:lang w:val="en-GB"/>
              </w:rPr>
            </w:pPr>
            <w:r>
              <w:rPr>
                <w:rFonts w:hint="default"/>
                <w:i w:val="0"/>
                <w:iCs w:val="0"/>
                <w:sz w:val="22"/>
                <w:szCs w:val="22"/>
                <w:lang w:val="en-GB"/>
              </w:rPr>
              <w:t>Patient attitudes towards JAKi use</w:t>
            </w:r>
          </w:p>
        </w:tc>
        <w:tc>
          <w:tcPr>
            <w:tcW w:w="1212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“I believe that these drugs [JAKi] are safe. I just believe there are risks associated with them, as there are with any medication.”</w:t>
            </w:r>
            <w:r>
              <w:rPr>
                <w:i w:val="0"/>
                <w:iCs w:val="0"/>
              </w:rPr>
              <w:t xml:space="preserve"> - P</w:t>
            </w:r>
            <w:r>
              <w:rPr>
                <w:i w:val="0"/>
                <w:iCs w:val="0"/>
                <w:lang w:val="en-GB"/>
              </w:rPr>
              <w:t>atient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</w:t>
            </w:r>
            <w:r>
              <w:rPr>
                <w:i w:val="0"/>
                <w:iCs w:val="0"/>
              </w:rPr>
              <w:t>18 (PsA, North East England)</w:t>
            </w:r>
          </w:p>
          <w:p>
            <w:pPr>
              <w:widowControl w:val="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“ I suppose at the back of your mind there is always a slight concern that it [baricitinib]…has not been used for that a long time. So, no one really knows the long-term effect of it do they? But the advantages outweigh those concerns for me.”</w:t>
            </w:r>
            <w:r>
              <w:rPr>
                <w:i w:val="0"/>
                <w:iCs w:val="0"/>
              </w:rPr>
              <w:t xml:space="preserve"> - P</w:t>
            </w:r>
            <w:r>
              <w:rPr>
                <w:i w:val="0"/>
                <w:iCs w:val="0"/>
                <w:lang w:val="en-GB"/>
              </w:rPr>
              <w:t>atient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</w:t>
            </w:r>
            <w:r>
              <w:rPr>
                <w:i w:val="0"/>
                <w:iCs w:val="0"/>
              </w:rPr>
              <w:t>3 (RA, North West England)</w:t>
            </w:r>
          </w:p>
          <w:p>
            <w:pPr>
              <w:widowControl w:val="0"/>
              <w:jc w:val="left"/>
              <w:rPr>
                <w:i w:val="0"/>
                <w:iCs w:val="0"/>
              </w:rPr>
            </w:pPr>
            <w:r>
              <w:rPr>
                <w:rFonts w:hint="default"/>
                <w:i w:val="0"/>
                <w:iCs w:val="0"/>
              </w:rPr>
              <w:t>“I would rather have the benefit, than the risk. Yes, I appreciate that there might be long-term issues, but I think that anyone with a long-term chronic disease understands that they have to live today rather than tomorrow. So, if it [tofacitinib] takes me out tomorrow, then at least I had today, and it wasn’t too bad. So, I will take that.”</w:t>
            </w:r>
            <w:r>
              <w:rPr>
                <w:rFonts w:hint="default"/>
                <w:i w:val="0"/>
                <w:iCs w:val="0"/>
              </w:rPr>
              <w:t xml:space="preserve"> - P1 (PsA, Greater London)</w:t>
            </w:r>
          </w:p>
          <w:p>
            <w:pPr>
              <w:widowControl w:val="0"/>
              <w:jc w:val="left"/>
              <w:rPr>
                <w:i w:val="0"/>
                <w:iCs w:val="0"/>
                <w:sz w:val="22"/>
                <w:szCs w:val="22"/>
                <w:lang w:val="en-GB"/>
              </w:rPr>
            </w:pPr>
            <w:r>
              <w:rPr>
                <w:i w:val="0"/>
                <w:iCs w:val="0"/>
              </w:rPr>
              <w:t>“I mean it [tofacitinib] is great…I have been on it for three years, and I have started to notice in recent months that I have started to get more flare ups again and more regularly…mild ones, but I get the aches and pains…So, I do wonder whether it is going to be effective in another two or three years’ time.”</w:t>
            </w:r>
            <w:r>
              <w:rPr>
                <w:i w:val="0"/>
                <w:iCs w:val="0"/>
              </w:rPr>
              <w:t xml:space="preserve"> -  P</w:t>
            </w:r>
            <w:r>
              <w:rPr>
                <w:i w:val="0"/>
                <w:iCs w:val="0"/>
                <w:lang w:val="en-GB"/>
              </w:rPr>
              <w:t>atient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</w:t>
            </w:r>
            <w:r>
              <w:rPr>
                <w:i w:val="0"/>
                <w:iCs w:val="0"/>
              </w:rPr>
              <w:t xml:space="preserve">6 (RA, South West England) </w:t>
            </w:r>
          </w:p>
        </w:tc>
      </w:tr>
    </w:tbl>
    <w:p>
      <w:pPr>
        <w:rPr>
          <w:i w:val="0"/>
          <w:iCs w:val="0"/>
          <w:lang w:val="en-GB"/>
        </w:rPr>
      </w:pPr>
    </w:p>
    <w:p>
      <w:pPr>
        <w:rPr>
          <w:rFonts w:hint="default"/>
          <w:i w:val="0"/>
          <w:iCs w:val="0"/>
          <w:lang w:val="en-GB"/>
        </w:rPr>
      </w:pPr>
      <w:r>
        <w:rPr>
          <w:i w:val="0"/>
          <w:iCs w:val="0"/>
          <w:lang w:val="en-GB"/>
        </w:rPr>
        <w:t>JAKi = janus kinase inhibitor</w:t>
      </w:r>
      <w:r>
        <w:rPr>
          <w:rStyle w:val="4"/>
          <w:rFonts w:hint="default" w:ascii="Times New Roman" w:hAnsi="Times New Roman" w:eastAsia="SimSun" w:cs="Times New Roman"/>
          <w:i w:val="0"/>
          <w:iCs w:val="0"/>
          <w:lang w:val="en-GB"/>
        </w:rPr>
        <w:t>;</w:t>
      </w:r>
      <w:r>
        <w:rPr>
          <w:i w:val="0"/>
          <w:iCs w:val="0"/>
          <w:lang w:val="en-GB"/>
        </w:rPr>
        <w:t xml:space="preserve"> PsA = psoriatic arthritis; RA = rheumatoid arthritis</w:t>
      </w:r>
    </w:p>
    <w:p>
      <w:pPr>
        <w:ind w:firstLine="100"/>
        <w:rPr>
          <w:rFonts w:hint="default"/>
          <w:i w:val="0"/>
          <w:iCs w:val="0"/>
          <w:lang w:val="en-GB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283"/>
  <w:drawingGridVerticalSpacing w:val="156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8AC"/>
    <w:rsid w:val="00A438AC"/>
    <w:rsid w:val="00E269FD"/>
    <w:rsid w:val="0374413D"/>
    <w:rsid w:val="040F1BAA"/>
    <w:rsid w:val="048117A6"/>
    <w:rsid w:val="06695AAF"/>
    <w:rsid w:val="06854F79"/>
    <w:rsid w:val="06F34995"/>
    <w:rsid w:val="073A569E"/>
    <w:rsid w:val="0802440D"/>
    <w:rsid w:val="0865202A"/>
    <w:rsid w:val="0F7F2671"/>
    <w:rsid w:val="11FA43A7"/>
    <w:rsid w:val="16C15493"/>
    <w:rsid w:val="18227F86"/>
    <w:rsid w:val="19287F63"/>
    <w:rsid w:val="1AEC6857"/>
    <w:rsid w:val="1B42667F"/>
    <w:rsid w:val="1DF745D2"/>
    <w:rsid w:val="1EEE7443"/>
    <w:rsid w:val="1FF04A0B"/>
    <w:rsid w:val="24F3022C"/>
    <w:rsid w:val="290B2783"/>
    <w:rsid w:val="2C2C7C0A"/>
    <w:rsid w:val="2DA1393C"/>
    <w:rsid w:val="2FD40A91"/>
    <w:rsid w:val="30B04D11"/>
    <w:rsid w:val="32CB6D37"/>
    <w:rsid w:val="34245B5A"/>
    <w:rsid w:val="358D2CB9"/>
    <w:rsid w:val="36E55EE5"/>
    <w:rsid w:val="38102A24"/>
    <w:rsid w:val="3B533418"/>
    <w:rsid w:val="3D2959BD"/>
    <w:rsid w:val="3FA41114"/>
    <w:rsid w:val="40320A70"/>
    <w:rsid w:val="40640A2C"/>
    <w:rsid w:val="41C2051C"/>
    <w:rsid w:val="41CE72D4"/>
    <w:rsid w:val="44330ECF"/>
    <w:rsid w:val="451F22CE"/>
    <w:rsid w:val="469E0243"/>
    <w:rsid w:val="52ED43B9"/>
    <w:rsid w:val="53626F09"/>
    <w:rsid w:val="53EE7631"/>
    <w:rsid w:val="55AE5C5A"/>
    <w:rsid w:val="55C70525"/>
    <w:rsid w:val="568F78CF"/>
    <w:rsid w:val="57EE7DD3"/>
    <w:rsid w:val="59EF71EF"/>
    <w:rsid w:val="5B4236BA"/>
    <w:rsid w:val="5D063796"/>
    <w:rsid w:val="5DF05D23"/>
    <w:rsid w:val="602B6AA7"/>
    <w:rsid w:val="61464639"/>
    <w:rsid w:val="62D62B79"/>
    <w:rsid w:val="63B63017"/>
    <w:rsid w:val="65F8567D"/>
    <w:rsid w:val="69CD0E47"/>
    <w:rsid w:val="6CFA3D10"/>
    <w:rsid w:val="6D1014FE"/>
    <w:rsid w:val="6D350EF8"/>
    <w:rsid w:val="6D6A0443"/>
    <w:rsid w:val="6E1B5E0A"/>
    <w:rsid w:val="6F9E5591"/>
    <w:rsid w:val="6FF739E6"/>
    <w:rsid w:val="701804A7"/>
    <w:rsid w:val="71CD5458"/>
    <w:rsid w:val="75577E88"/>
    <w:rsid w:val="76524305"/>
    <w:rsid w:val="78BE62B2"/>
    <w:rsid w:val="79840511"/>
    <w:rsid w:val="79D969ED"/>
    <w:rsid w:val="79DA5C90"/>
    <w:rsid w:val="7DEB5D9B"/>
    <w:rsid w:val="7F2A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nhideWhenUsed="0" w:uiPriority="99" w:semiHidden="0" w:name="Normal Indent"/>
    <w:lsdException w:unhideWhenUsed="0" w:uiPriority="99" w:semiHidden="0" w:name="footnote text"/>
    <w:lsdException w:qFormat="1"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qFormat="1" w:unhideWhenUsed="0" w:uiPriority="35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qFormat="1"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10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Calibri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qFormat/>
    <w:uiPriority w:val="99"/>
    <w:rPr>
      <w:sz w:val="16"/>
      <w:szCs w:val="16"/>
    </w:rPr>
  </w:style>
  <w:style w:type="paragraph" w:styleId="5">
    <w:name w:val="annotation text"/>
    <w:basedOn w:val="1"/>
    <w:link w:val="14"/>
    <w:qFormat/>
    <w:uiPriority w:val="99"/>
  </w:style>
  <w:style w:type="paragraph" w:styleId="6">
    <w:name w:val="annotation subject"/>
    <w:basedOn w:val="5"/>
    <w:next w:val="5"/>
    <w:link w:val="15"/>
    <w:qFormat/>
    <w:uiPriority w:val="99"/>
    <w:rPr>
      <w:b/>
      <w:bCs/>
    </w:rPr>
  </w:style>
  <w:style w:type="table" w:styleId="7">
    <w:name w:val="Table Grid"/>
    <w:qFormat/>
    <w:uiPriority w:val="59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Comment Text1"/>
    <w:qFormat/>
    <w:uiPriority w:val="0"/>
    <w:rPr>
      <w:rFonts w:ascii="Calibri" w:hAnsi="Calibri" w:eastAsia="Calibri" w:cs="Calibri"/>
      <w:lang w:val="en-US" w:eastAsia="zh-CN" w:bidi="ar-SA"/>
    </w:rPr>
  </w:style>
  <w:style w:type="paragraph" w:customStyle="1" w:styleId="9">
    <w:name w:val="Comment Subject1"/>
    <w:basedOn w:val="8"/>
    <w:next w:val="8"/>
    <w:qFormat/>
    <w:uiPriority w:val="0"/>
    <w:rPr>
      <w:b/>
      <w:bCs/>
    </w:rPr>
  </w:style>
  <w:style w:type="paragraph" w:customStyle="1" w:styleId="10">
    <w:name w:val="[Normal]"/>
    <w:qFormat/>
    <w:uiPriority w:val="0"/>
    <w:pPr>
      <w:widowControl w:val="0"/>
    </w:pPr>
    <w:rPr>
      <w:rFonts w:ascii="Arial" w:hAnsi="Arial" w:eastAsia="SimSun" w:cs="Times New Roman"/>
      <w:sz w:val="24"/>
      <w:szCs w:val="24"/>
      <w:lang w:val="en-GB" w:eastAsia="en-GB" w:bidi="ar-SA"/>
    </w:rPr>
  </w:style>
  <w:style w:type="character" w:customStyle="1" w:styleId="11">
    <w:name w:val="Comment Reference1"/>
    <w:basedOn w:val="2"/>
    <w:qFormat/>
    <w:uiPriority w:val="0"/>
    <w:rPr>
      <w:sz w:val="16"/>
      <w:szCs w:val="16"/>
    </w:rPr>
  </w:style>
  <w:style w:type="character" w:customStyle="1" w:styleId="12">
    <w:name w:val="Comment Text Char"/>
    <w:basedOn w:val="2"/>
    <w:qFormat/>
    <w:uiPriority w:val="0"/>
    <w:rPr>
      <w:rFonts w:ascii="Calibri" w:hAnsi="Calibri" w:eastAsia="Calibri" w:cs="Calibri"/>
      <w:lang w:val="en-US" w:eastAsia="zh-CN"/>
    </w:rPr>
  </w:style>
  <w:style w:type="character" w:customStyle="1" w:styleId="13">
    <w:name w:val="Comment Subject Char"/>
    <w:basedOn w:val="12"/>
    <w:qFormat/>
    <w:uiPriority w:val="0"/>
    <w:rPr>
      <w:rFonts w:ascii="Calibri" w:hAnsi="Calibri" w:eastAsia="Calibri" w:cs="Calibri"/>
      <w:b/>
      <w:bCs/>
      <w:lang w:val="en-US" w:eastAsia="zh-CN"/>
    </w:rPr>
  </w:style>
  <w:style w:type="character" w:customStyle="1" w:styleId="14">
    <w:name w:val="Comment Text Char1"/>
    <w:basedOn w:val="2"/>
    <w:link w:val="5"/>
    <w:qFormat/>
    <w:uiPriority w:val="99"/>
    <w:rPr>
      <w:rFonts w:ascii="Calibri" w:hAnsi="Calibri" w:eastAsia="Calibri" w:cs="Calibri"/>
      <w:lang w:val="en-US" w:eastAsia="zh-CN"/>
    </w:rPr>
  </w:style>
  <w:style w:type="character" w:customStyle="1" w:styleId="15">
    <w:name w:val="Comment Subject Char1"/>
    <w:basedOn w:val="14"/>
    <w:link w:val="6"/>
    <w:qFormat/>
    <w:uiPriority w:val="99"/>
    <w:rPr>
      <w:rFonts w:ascii="Calibri" w:hAnsi="Calibri" w:eastAsia="Calibri" w:cs="Calibri"/>
      <w:b/>
      <w:bCs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1883</Characters>
  <Lines>15</Lines>
  <Paragraphs>4</Paragraphs>
  <TotalTime>14</TotalTime>
  <ScaleCrop>false</ScaleCrop>
  <LinksUpToDate>false</LinksUpToDate>
  <CharactersWithSpaces>2209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2023-01-03T22:21:00Z</dcterms:created>
  <dc:creator>Savia de Souza</dc:creator>
  <cp:lastModifiedBy>Savia de Souza</cp:lastModifiedBy>
  <dcterms:modified xsi:type="dcterms:W3CDTF">2023-02-10T10:04:21Z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2057-11.2.0.11440</vt:lpwstr>
  </property>
  <property fmtid="{D5CDD505-2E9C-101B-9397-08002B2CF9AE}" pid="3" name="ICV">
    <vt:lpwstr>F3F7CEFFB9614492AE815465D3499AC8</vt:lpwstr>
  </property>
</Properties>
</file>