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745" w:tblpY="1113"/>
        <w:tblOverlap w:val="never"/>
        <w:tblW w:w="461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8"/>
        <w:gridCol w:w="10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8" w:type="dxa"/>
          </w:tcPr>
          <w:p>
            <w:pPr>
              <w:widowControl w:val="0"/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Clinician characteristics</w:t>
            </w:r>
          </w:p>
        </w:tc>
        <w:tc>
          <w:tcPr>
            <w:tcW w:w="1026" w:type="dxa"/>
          </w:tcPr>
          <w:p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 xml:space="preserve"> (%)</w:t>
            </w:r>
          </w:p>
          <w:p>
            <w:pPr>
              <w:widowControl w:val="0"/>
              <w:jc w:val="both"/>
              <w:rPr>
                <w:rFonts w:hint="default"/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en-GB"/>
              </w:rPr>
              <w:t>N= 51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588" w:type="dxa"/>
          </w:tcPr>
          <w:p>
            <w:pPr>
              <w:widowControl w:val="0"/>
              <w:jc w:val="both"/>
              <w:rPr>
                <w:i/>
                <w:iCs/>
                <w:sz w:val="22"/>
                <w:szCs w:val="22"/>
                <w:lang w:val="en-GB"/>
              </w:rPr>
            </w:pPr>
            <w:r>
              <w:rPr>
                <w:i/>
                <w:iCs/>
                <w:sz w:val="22"/>
                <w:szCs w:val="22"/>
                <w:lang w:val="en-GB"/>
              </w:rPr>
              <w:t>Role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Rheumatology Consultant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Rheumatology Registrar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Rheumatology Clinical Nurse 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Clinical Fellow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Other rheumatology role</w:t>
            </w:r>
          </w:p>
        </w:tc>
        <w:tc>
          <w:tcPr>
            <w:tcW w:w="1026" w:type="dxa"/>
          </w:tcPr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37 (72.6)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 (13.7)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 (9.8)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 (2.0)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 (2.0)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3588" w:type="dxa"/>
          </w:tcPr>
          <w:p>
            <w:pPr>
              <w:widowControl w:val="0"/>
              <w:jc w:val="both"/>
              <w:rPr>
                <w:i/>
                <w:iCs/>
                <w:sz w:val="22"/>
                <w:szCs w:val="22"/>
                <w:lang w:val="en-GB"/>
              </w:rPr>
            </w:pPr>
            <w:r>
              <w:rPr>
                <w:i/>
                <w:iCs/>
                <w:sz w:val="22"/>
                <w:szCs w:val="22"/>
                <w:lang w:val="en-GB"/>
              </w:rPr>
              <w:t>UK region of practice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North East England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North West England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Yorkshire and the Humber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West Midlands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East Midlands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South West England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South East England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East of England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Greater London</w:t>
            </w:r>
          </w:p>
          <w:p>
            <w:pPr>
              <w:widowControl w:val="0"/>
              <w:ind w:firstLine="330" w:firstLineChars="15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Wales</w:t>
            </w:r>
          </w:p>
          <w:p>
            <w:pPr>
              <w:widowControl w:val="0"/>
              <w:ind w:firstLine="330" w:firstLineChars="15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Scotland</w:t>
            </w:r>
          </w:p>
          <w:p>
            <w:pPr>
              <w:widowControl w:val="0"/>
              <w:ind w:firstLine="330" w:firstLineChars="150"/>
              <w:jc w:val="both"/>
              <w:rPr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Northern Ireland</w:t>
            </w:r>
          </w:p>
        </w:tc>
        <w:tc>
          <w:tcPr>
            <w:tcW w:w="1026" w:type="dxa"/>
          </w:tcPr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 (5.9)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 (15.7)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 (11.8)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 (5.9)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 (2.0)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 (3.9)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 (7.8)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 (13.7)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 (17.7)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 (0.0)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 (11.8)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 (3.9)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3588" w:type="dxa"/>
          </w:tcPr>
          <w:p>
            <w:pPr>
              <w:widowControl w:val="0"/>
              <w:jc w:val="both"/>
              <w:rPr>
                <w:i/>
                <w:iCs/>
                <w:sz w:val="22"/>
                <w:szCs w:val="22"/>
                <w:lang w:val="en-GB"/>
              </w:rPr>
            </w:pPr>
            <w:r>
              <w:rPr>
                <w:i/>
                <w:iCs/>
                <w:sz w:val="22"/>
                <w:szCs w:val="22"/>
                <w:lang w:val="en-GB"/>
              </w:rPr>
              <w:t>Work setting</w:t>
            </w:r>
          </w:p>
          <w:p>
            <w:pPr>
              <w:widowControl w:val="0"/>
              <w:ind w:firstLine="330" w:firstLineChars="15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Secondary care</w:t>
            </w:r>
          </w:p>
          <w:p>
            <w:pPr>
              <w:widowControl w:val="0"/>
              <w:ind w:firstLine="330" w:firstLineChars="15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Tertiary care</w:t>
            </w:r>
          </w:p>
          <w:p>
            <w:pPr>
              <w:widowControl w:val="0"/>
              <w:ind w:firstLine="330" w:firstLineChars="15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Other</w:t>
            </w:r>
          </w:p>
        </w:tc>
        <w:tc>
          <w:tcPr>
            <w:tcW w:w="1026" w:type="dxa"/>
          </w:tcPr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35 (68.6)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 (31.4)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 (0.0)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3588" w:type="dxa"/>
          </w:tcPr>
          <w:p>
            <w:pPr>
              <w:widowControl w:val="0"/>
              <w:jc w:val="both"/>
              <w:rPr>
                <w:i/>
                <w:iCs/>
                <w:sz w:val="22"/>
                <w:szCs w:val="22"/>
                <w:lang w:val="en-GB"/>
              </w:rPr>
            </w:pPr>
            <w:r>
              <w:rPr>
                <w:i/>
                <w:iCs/>
                <w:sz w:val="22"/>
                <w:szCs w:val="22"/>
                <w:lang w:val="en-GB"/>
              </w:rPr>
              <w:t>Time spent on research as part of job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0%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1-25%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26-50%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ascii="Calibri" w:hAnsi="Calibri" w:eastAsia="SimSun" w:cs="Calibri"/>
                <w:sz w:val="22"/>
                <w:szCs w:val="22"/>
                <w:shd w:val="clear" w:color="auto" w:fill="FFFFFF"/>
              </w:rPr>
              <w:t>&gt;</w:t>
            </w:r>
            <w:r>
              <w:rPr>
                <w:rFonts w:ascii="Calibri" w:hAnsi="Calibri" w:eastAsia="SimSun" w:cs="Calibri"/>
                <w:sz w:val="22"/>
                <w:szCs w:val="22"/>
                <w:shd w:val="clear" w:color="auto" w:fill="FFFFFF"/>
                <w:lang w:val="en-GB"/>
              </w:rPr>
              <w:t>50%</w:t>
            </w:r>
          </w:p>
        </w:tc>
        <w:tc>
          <w:tcPr>
            <w:tcW w:w="1026" w:type="dxa"/>
          </w:tcPr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 (27.5)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 (39.2)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 (13.7)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 (19.6)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3588" w:type="dxa"/>
          </w:tcPr>
          <w:p>
            <w:pPr>
              <w:widowControl w:val="0"/>
              <w:jc w:val="both"/>
              <w:rPr>
                <w:i/>
                <w:iCs/>
                <w:sz w:val="22"/>
                <w:szCs w:val="22"/>
                <w:lang w:val="en-GB"/>
              </w:rPr>
            </w:pPr>
            <w:r>
              <w:rPr>
                <w:i/>
                <w:iCs/>
                <w:sz w:val="22"/>
                <w:szCs w:val="22"/>
                <w:lang w:val="en-GB"/>
              </w:rPr>
              <w:t>%age of RA/PsA patients on a JAKi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1%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1-5%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6-10%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11-15%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16-20%</w:t>
            </w:r>
          </w:p>
          <w:p>
            <w:pPr>
              <w:widowControl w:val="0"/>
              <w:ind w:firstLine="330" w:firstLineChars="15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ascii="Calibri" w:hAnsi="Calibri" w:eastAsia="SimSun" w:cs="Calibri"/>
                <w:sz w:val="22"/>
                <w:szCs w:val="22"/>
                <w:shd w:val="clear" w:color="auto" w:fill="FFFFFF"/>
              </w:rPr>
              <w:t>&gt;</w:t>
            </w:r>
            <w:r>
              <w:rPr>
                <w:rFonts w:ascii="Calibri" w:hAnsi="Calibri" w:eastAsia="SimSun" w:cs="Calibri"/>
                <w:sz w:val="22"/>
                <w:szCs w:val="22"/>
                <w:shd w:val="clear" w:color="auto" w:fill="FFFFFF"/>
                <w:lang w:val="en-GB"/>
              </w:rPr>
              <w:t>20%</w:t>
            </w:r>
          </w:p>
        </w:tc>
        <w:tc>
          <w:tcPr>
            <w:tcW w:w="1026" w:type="dxa"/>
          </w:tcPr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 (5.9)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26 (51.0)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 (23.5)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 (19.6)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 (0.0)</w:t>
            </w:r>
          </w:p>
          <w:p>
            <w:pPr>
              <w:widowControl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 (0.0)</w:t>
            </w:r>
          </w:p>
        </w:tc>
      </w:tr>
    </w:tbl>
    <w:p>
      <w:pPr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Clinician survey demographics </w:t>
      </w: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  <w:bookmarkStart w:id="0" w:name="_GoBack"/>
      <w:bookmarkEnd w:id="0"/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b/>
          <w:bCs/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  <w:r>
        <w:rPr>
          <w:lang w:val="en-GB"/>
        </w:rPr>
        <w:t>JAKi = janus kinase inhibitor</w:t>
      </w:r>
      <w:r>
        <w:rPr>
          <w:rFonts w:hint="default"/>
          <w:lang w:val="en-GB"/>
        </w:rPr>
        <w:t xml:space="preserve">; </w:t>
      </w:r>
      <w:r>
        <w:rPr>
          <w:lang w:val="en-GB"/>
        </w:rPr>
        <w:t>PsA = psoriatic arthritis; RA = rheumatoid arthritis</w:t>
      </w: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sz w:val="24"/>
          <w:szCs w:val="24"/>
          <w:lang w:val="en-GB"/>
        </w:rPr>
      </w:pPr>
    </w:p>
    <w:p>
      <w:pPr>
        <w:rPr>
          <w:lang w:val="en-GB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1"/>
  <w:documentProtection w:enforcement="0"/>
  <w:defaultTabStop w:val="500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332C5D"/>
    <w:rsid w:val="00113B33"/>
    <w:rsid w:val="00177D81"/>
    <w:rsid w:val="002E5562"/>
    <w:rsid w:val="003D0404"/>
    <w:rsid w:val="0082460A"/>
    <w:rsid w:val="00835735"/>
    <w:rsid w:val="008813A9"/>
    <w:rsid w:val="009742FB"/>
    <w:rsid w:val="00B22DD2"/>
    <w:rsid w:val="00D055D1"/>
    <w:rsid w:val="00E54D24"/>
    <w:rsid w:val="00EE4A85"/>
    <w:rsid w:val="00F219FC"/>
    <w:rsid w:val="014F6641"/>
    <w:rsid w:val="01D85164"/>
    <w:rsid w:val="03C33C28"/>
    <w:rsid w:val="07751C03"/>
    <w:rsid w:val="082B094D"/>
    <w:rsid w:val="09140101"/>
    <w:rsid w:val="09344D7D"/>
    <w:rsid w:val="094814F1"/>
    <w:rsid w:val="09E3551D"/>
    <w:rsid w:val="0A2D463F"/>
    <w:rsid w:val="0CB8153E"/>
    <w:rsid w:val="0ECA37AB"/>
    <w:rsid w:val="1105471E"/>
    <w:rsid w:val="1200213C"/>
    <w:rsid w:val="14A1565E"/>
    <w:rsid w:val="178932DE"/>
    <w:rsid w:val="18784278"/>
    <w:rsid w:val="1B2617EA"/>
    <w:rsid w:val="1C324064"/>
    <w:rsid w:val="1CCE3480"/>
    <w:rsid w:val="1D8334A3"/>
    <w:rsid w:val="1D884F5D"/>
    <w:rsid w:val="1D970CFC"/>
    <w:rsid w:val="1E0F02DC"/>
    <w:rsid w:val="1E110AAE"/>
    <w:rsid w:val="1F4D5417"/>
    <w:rsid w:val="21FB3F4F"/>
    <w:rsid w:val="23B73EA6"/>
    <w:rsid w:val="247026F4"/>
    <w:rsid w:val="247B7BEA"/>
    <w:rsid w:val="26B05501"/>
    <w:rsid w:val="26D8399D"/>
    <w:rsid w:val="2780198E"/>
    <w:rsid w:val="280F5A57"/>
    <w:rsid w:val="2ACF1CD2"/>
    <w:rsid w:val="2C243E56"/>
    <w:rsid w:val="2D304467"/>
    <w:rsid w:val="332C482A"/>
    <w:rsid w:val="347F20EF"/>
    <w:rsid w:val="35A818A1"/>
    <w:rsid w:val="35BB5A78"/>
    <w:rsid w:val="3982604D"/>
    <w:rsid w:val="3CFB49AC"/>
    <w:rsid w:val="3FDE3868"/>
    <w:rsid w:val="417101E0"/>
    <w:rsid w:val="41A90E7A"/>
    <w:rsid w:val="423D2C52"/>
    <w:rsid w:val="42A6360C"/>
    <w:rsid w:val="42D00689"/>
    <w:rsid w:val="465D3F29"/>
    <w:rsid w:val="49E862B8"/>
    <w:rsid w:val="4AAA7A11"/>
    <w:rsid w:val="4ADB4D88"/>
    <w:rsid w:val="4BB70ED0"/>
    <w:rsid w:val="4C0849EF"/>
    <w:rsid w:val="4DD03C33"/>
    <w:rsid w:val="4F053468"/>
    <w:rsid w:val="509176A9"/>
    <w:rsid w:val="50B45146"/>
    <w:rsid w:val="51714DE5"/>
    <w:rsid w:val="53E126F6"/>
    <w:rsid w:val="53ED0E1F"/>
    <w:rsid w:val="543A0058"/>
    <w:rsid w:val="543D2C17"/>
    <w:rsid w:val="543F566E"/>
    <w:rsid w:val="548C4C10"/>
    <w:rsid w:val="570416D6"/>
    <w:rsid w:val="57964139"/>
    <w:rsid w:val="57D305A7"/>
    <w:rsid w:val="58670CF0"/>
    <w:rsid w:val="58883D79"/>
    <w:rsid w:val="58FE628F"/>
    <w:rsid w:val="59685550"/>
    <w:rsid w:val="5A710206"/>
    <w:rsid w:val="5AC97A40"/>
    <w:rsid w:val="5C7C0F84"/>
    <w:rsid w:val="5C82259C"/>
    <w:rsid w:val="5C9127DF"/>
    <w:rsid w:val="5CC901CB"/>
    <w:rsid w:val="5D766360"/>
    <w:rsid w:val="5DC744E5"/>
    <w:rsid w:val="5EBD78BB"/>
    <w:rsid w:val="5EE675F6"/>
    <w:rsid w:val="641749E3"/>
    <w:rsid w:val="64363358"/>
    <w:rsid w:val="6578453C"/>
    <w:rsid w:val="67FC794F"/>
    <w:rsid w:val="68F42334"/>
    <w:rsid w:val="690F1369"/>
    <w:rsid w:val="69EA3460"/>
    <w:rsid w:val="6C944351"/>
    <w:rsid w:val="6CDC482D"/>
    <w:rsid w:val="6F084ACB"/>
    <w:rsid w:val="6FD82DBE"/>
    <w:rsid w:val="6FDA2E93"/>
    <w:rsid w:val="716D33C3"/>
    <w:rsid w:val="738F4BF4"/>
    <w:rsid w:val="73A17DF6"/>
    <w:rsid w:val="74277859"/>
    <w:rsid w:val="751C7466"/>
    <w:rsid w:val="75332C5D"/>
    <w:rsid w:val="769C3384"/>
    <w:rsid w:val="76EF6FF2"/>
    <w:rsid w:val="79322EE8"/>
    <w:rsid w:val="7AB747C2"/>
    <w:rsid w:val="7B1D5512"/>
    <w:rsid w:val="7BD32074"/>
    <w:rsid w:val="7C837923"/>
    <w:rsid w:val="7FB7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qFormat/>
    <w:uiPriority w:val="0"/>
    <w:rPr>
      <w:rFonts w:ascii="Segoe UI" w:hAnsi="Segoe UI" w:cs="Segoe UI"/>
      <w:sz w:val="18"/>
      <w:szCs w:val="18"/>
    </w:rPr>
  </w:style>
  <w:style w:type="character" w:styleId="5">
    <w:name w:val="annotation reference"/>
    <w:basedOn w:val="2"/>
    <w:qFormat/>
    <w:uiPriority w:val="0"/>
    <w:rPr>
      <w:sz w:val="16"/>
      <w:szCs w:val="16"/>
    </w:rPr>
  </w:style>
  <w:style w:type="paragraph" w:styleId="6">
    <w:name w:val="annotation text"/>
    <w:basedOn w:val="1"/>
    <w:link w:val="9"/>
    <w:qFormat/>
    <w:uiPriority w:val="0"/>
  </w:style>
  <w:style w:type="paragraph" w:styleId="7">
    <w:name w:val="annotation subject"/>
    <w:basedOn w:val="6"/>
    <w:next w:val="6"/>
    <w:link w:val="10"/>
    <w:qFormat/>
    <w:uiPriority w:val="0"/>
    <w:rPr>
      <w:b/>
      <w:bCs/>
    </w:rPr>
  </w:style>
  <w:style w:type="table" w:styleId="8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Comment Text Char"/>
    <w:basedOn w:val="2"/>
    <w:link w:val="6"/>
    <w:qFormat/>
    <w:uiPriority w:val="0"/>
    <w:rPr>
      <w:lang w:val="en-US" w:eastAsia="zh-CN"/>
    </w:rPr>
  </w:style>
  <w:style w:type="character" w:customStyle="1" w:styleId="10">
    <w:name w:val="Comment Subject Char"/>
    <w:basedOn w:val="9"/>
    <w:link w:val="7"/>
    <w:qFormat/>
    <w:uiPriority w:val="0"/>
    <w:rPr>
      <w:b/>
      <w:bCs/>
      <w:lang w:val="en-US" w:eastAsia="zh-CN"/>
    </w:rPr>
  </w:style>
  <w:style w:type="character" w:customStyle="1" w:styleId="11">
    <w:name w:val="Balloon Text Char"/>
    <w:basedOn w:val="2"/>
    <w:link w:val="4"/>
    <w:qFormat/>
    <w:uiPriority w:val="0"/>
    <w:rPr>
      <w:rFonts w:ascii="Segoe UI" w:hAnsi="Segoe UI" w:cs="Segoe UI"/>
      <w:sz w:val="18"/>
      <w:szCs w:val="18"/>
      <w:lang w:val="en-US" w:eastAsia="zh-CN"/>
    </w:rPr>
  </w:style>
  <w:style w:type="paragraph" w:customStyle="1" w:styleId="12">
    <w:name w:val="Revision"/>
    <w:hidden/>
    <w:semiHidden/>
    <w:qFormat/>
    <w:uiPriority w:val="99"/>
    <w:rPr>
      <w:rFonts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King's College Hospital NHS Foundation Trust</Company>
  <Pages>1</Pages>
  <Words>158</Words>
  <Characters>902</Characters>
  <Lines>7</Lines>
  <Paragraphs>2</Paragraphs>
  <TotalTime>2</TotalTime>
  <ScaleCrop>false</ScaleCrop>
  <LinksUpToDate>false</LinksUpToDate>
  <CharactersWithSpaces>1058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2023-01-03T22:19:00Z</dcterms:created>
  <dc:creator>Savia de Souza</dc:creator>
  <cp:lastModifiedBy>Savia de Souza</cp:lastModifiedBy>
  <dcterms:modified xsi:type="dcterms:W3CDTF">2023-08-10T10:32:36Z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2057-11.2.0.11537</vt:lpwstr>
  </property>
  <property fmtid="{D5CDD505-2E9C-101B-9397-08002B2CF9AE}" pid="3" name="ICV">
    <vt:lpwstr>328B65B995314958B3635BC1EC1EB207</vt:lpwstr>
  </property>
</Properties>
</file>