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15" w:tblpY="1428"/>
        <w:tblOverlap w:val="never"/>
        <w:tblW w:w="83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jc w:val="left"/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hint="default"/>
                <w:b/>
                <w:bCs/>
                <w:i w:val="0"/>
                <w:iCs w:val="0"/>
                <w:sz w:val="22"/>
                <w:szCs w:val="22"/>
                <w:lang w:val="en-GB"/>
              </w:rPr>
              <w:t>Clinician survey - Additional comments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9" w:hRule="atLeast"/>
        </w:trPr>
        <w:tc>
          <w:tcPr>
            <w:tcW w:w="83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 xml:space="preserve">“The thrombotic risk may well be a class effect so we are counselling patients.” </w:t>
            </w:r>
            <w:r>
              <w:rPr>
                <w:rFonts w:hint="default"/>
                <w:i w:val="0"/>
                <w:iCs w:val="0"/>
                <w:lang w:val="en-GB"/>
              </w:rPr>
              <w:t>- C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linician </w:t>
            </w:r>
            <w:r>
              <w:rPr>
                <w:rFonts w:hint="default"/>
                <w:i w:val="0"/>
                <w:iCs w:val="0"/>
                <w:lang w:val="en-GB"/>
              </w:rPr>
              <w:t>1 (</w:t>
            </w:r>
            <w:r>
              <w:rPr>
                <w:i w:val="0"/>
                <w:iCs w:val="0"/>
              </w:rPr>
              <w:t>Consultant, East of England)</w:t>
            </w:r>
          </w:p>
          <w:p>
            <w:pPr>
              <w:widowControl w:val="0"/>
              <w:spacing w:after="0" w:line="250" w:lineRule="auto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“I’ve had a bad run, 2/5 patients on tofacitinib have had VTE.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rFonts w:hint="default"/>
                <w:i w:val="0"/>
                <w:iCs w:val="0"/>
              </w:rPr>
              <w:t xml:space="preserve">That said for two others they 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[JAKi] </w:t>
            </w:r>
            <w:r>
              <w:rPr>
                <w:rFonts w:hint="default"/>
                <w:i w:val="0"/>
                <w:iCs w:val="0"/>
              </w:rPr>
              <w:t>have been an absolute god send.</w:t>
            </w:r>
            <w:r>
              <w:rPr>
                <w:i w:val="0"/>
                <w:iCs w:val="0"/>
              </w:rPr>
              <w:t>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</w:t>
            </w:r>
            <w:r>
              <w:rPr>
                <w:i w:val="0"/>
                <w:iCs w:val="0"/>
              </w:rPr>
              <w:t>- C</w:t>
            </w:r>
            <w:r>
              <w:rPr>
                <w:rFonts w:hint="default"/>
                <w:i w:val="0"/>
                <w:iCs w:val="0"/>
                <w:lang w:val="en-GB"/>
              </w:rPr>
              <w:t>linician 4</w:t>
            </w:r>
            <w:r>
              <w:rPr>
                <w:i w:val="0"/>
                <w:iCs w:val="0"/>
              </w:rPr>
              <w:t xml:space="preserve"> (Consultant, East of England)</w:t>
            </w:r>
          </w:p>
          <w:p>
            <w:pPr>
              <w:widowControl w:val="0"/>
              <w:spacing w:after="0" w:line="250" w:lineRule="auto"/>
              <w:jc w:val="left"/>
              <w:rPr>
                <w:i w:val="0"/>
                <w:iCs w:val="0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 think JAKi are effective drugs, but despite the drug reps [representatives] trying to reassure us and convince to prescribe there is still a big safety concern, particularly when there are so many other therapies available. I will not be prescribing at large scale until more data is available.”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9 </w:t>
            </w:r>
            <w:r>
              <w:rPr>
                <w:i w:val="0"/>
                <w:iCs w:val="0"/>
              </w:rPr>
              <w:t xml:space="preserve"> (Consultant, East of England)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“Concerns about cardiovascular safety”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10 (Clinical Fellow, Scotland)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“Recent safety data (ORAL surveillance) and subsequent MHRA advice is likely to significantly reduce prescribing of JAKi.”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12 (Consultant, North West England)</w:t>
            </w:r>
          </w:p>
          <w:p>
            <w:pPr>
              <w:widowControl w:val="0"/>
              <w:spacing w:after="0" w:line="250" w:lineRule="auto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 xml:space="preserve">“Recent safety concerns from ORAL Surveillance makes prescribing [JAKi] harder. That population had CV [cardiovascular] risk factors which makes </w:t>
            </w:r>
            <w:r>
              <w:rPr>
                <w:i w:val="0"/>
                <w:iCs w:val="0"/>
                <w:lang w:val="en-GB"/>
              </w:rPr>
              <w:t>generalizability</w:t>
            </w:r>
            <w:r>
              <w:rPr>
                <w:i w:val="0"/>
                <w:iCs w:val="0"/>
              </w:rPr>
              <w:t xml:space="preserve"> difficult.”</w:t>
            </w:r>
            <w:r>
              <w:rPr>
                <w:i w:val="0"/>
                <w:iCs w:val="0"/>
              </w:rPr>
              <w:t xml:space="preserve"> - C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linician </w:t>
            </w:r>
            <w:r>
              <w:rPr>
                <w:i w:val="0"/>
                <w:iCs w:val="0"/>
              </w:rPr>
              <w:t>1</w:t>
            </w:r>
            <w:r>
              <w:rPr>
                <w:rFonts w:hint="default"/>
                <w:i w:val="0"/>
                <w:iCs w:val="0"/>
                <w:lang w:val="en-GB"/>
              </w:rPr>
              <w:t>8</w:t>
            </w:r>
            <w:r>
              <w:rPr>
                <w:i w:val="0"/>
                <w:iCs w:val="0"/>
              </w:rPr>
              <w:t xml:space="preserve"> (Consultant, North West England)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 often prescribe JAKi in patients with needle phobia. My general feeling is that they tend to lose efficacy after a few years. Recent concerns about clots has limited who we can start these medicines in.</w:t>
            </w:r>
            <w:r>
              <w:rPr>
                <w:rFonts w:hint="default"/>
                <w:i w:val="0"/>
                <w:iCs w:val="0"/>
                <w:lang w:val="en-GB"/>
              </w:rPr>
              <w:t>” - Clinician 21 (Registrar, Greater London)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 xml:space="preserve">“Anecdotally a few patients have developed cancer on JAKi - have yellow carded this.” 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- Clinician 24 (Registrar, Greater London) 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“The latest MHRA alert will reduce my prescribing of JAKs.”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25 (Consultant, Yorkshire) 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“Worrying data re [regarding] malignancy with Tofacitinib.”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26 (Consultant, Greater London)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“Provide an effective therapeutic option in patients with disease resistant to other therapies. Long term safety data is a concern but awaiting upa and filgotinib data with interest.”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31  (Registrar, Greater London)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“I am concerned about recent reports of increased VTE and malignancies.”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34 (Consultant, Yorkshire) </w:t>
            </w:r>
          </w:p>
          <w:p>
            <w:pPr>
              <w:widowControl w:val="0"/>
              <w:spacing w:after="0" w:line="250" w:lineRule="auto"/>
              <w:jc w:val="left"/>
              <w:rPr>
                <w:rFonts w:hint="default"/>
                <w:i w:val="0"/>
                <w:iCs w:val="0"/>
                <w:lang w:val="en-GB"/>
              </w:rPr>
            </w:pPr>
            <w:r>
              <w:rPr>
                <w:rFonts w:hint="default"/>
                <w:i w:val="0"/>
                <w:iCs w:val="0"/>
                <w:lang w:val="en-GB"/>
              </w:rPr>
              <w:t>“Historically skin efficacy for PsA for tofa has meant used less and upa only recently available which impacted on JAKi use in PsA.”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 - Clinician 35 (Consultant, Scotland)</w:t>
            </w:r>
          </w:p>
          <w:p>
            <w:pPr>
              <w:widowControl w:val="0"/>
              <w:spacing w:after="0" w:line="250" w:lineRule="auto"/>
              <w:jc w:val="left"/>
              <w:rPr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i w:val="0"/>
                <w:iCs w:val="0"/>
              </w:rPr>
              <w:t>“Concerned about new black box warnings, CVD [cardiovascular disease], etc.</w:t>
            </w:r>
            <w:r>
              <w:rPr>
                <w:rFonts w:hint="default"/>
                <w:i w:val="0"/>
                <w:iCs w:val="0"/>
              </w:rPr>
              <w:t>I was expecting JAKs to take off this year, but with the increased risk of covid as well it’s a worry</w:t>
            </w:r>
            <w:r>
              <w:rPr>
                <w:rFonts w:hint="default"/>
                <w:i w:val="0"/>
                <w:iCs w:val="0"/>
                <w:lang w:val="en-GB"/>
              </w:rPr>
              <w:t>.</w:t>
            </w:r>
            <w:r>
              <w:rPr>
                <w:i w:val="0"/>
                <w:iCs w:val="0"/>
              </w:rPr>
              <w:t xml:space="preserve">” </w:t>
            </w:r>
            <w:r>
              <w:rPr>
                <w:i w:val="0"/>
                <w:iCs w:val="0"/>
              </w:rPr>
              <w:t>- C</w:t>
            </w:r>
            <w:r>
              <w:rPr>
                <w:rFonts w:hint="default"/>
                <w:i w:val="0"/>
                <w:iCs w:val="0"/>
                <w:lang w:val="en-GB"/>
              </w:rPr>
              <w:t xml:space="preserve">linician </w:t>
            </w:r>
            <w:r>
              <w:rPr>
                <w:i w:val="0"/>
                <w:iCs w:val="0"/>
              </w:rPr>
              <w:t>4</w:t>
            </w:r>
            <w:r>
              <w:rPr>
                <w:rFonts w:hint="default"/>
                <w:i w:val="0"/>
                <w:iCs w:val="0"/>
                <w:lang w:val="en-GB"/>
              </w:rPr>
              <w:t>6</w:t>
            </w:r>
            <w:r>
              <w:rPr>
                <w:i w:val="0"/>
                <w:iCs w:val="0"/>
              </w:rPr>
              <w:t xml:space="preserve"> (Consultant, Northern Ireland)</w:t>
            </w:r>
          </w:p>
        </w:tc>
      </w:tr>
    </w:tbl>
    <w:p>
      <w:pPr>
        <w:rPr>
          <w:lang w:val="en-GB"/>
        </w:rPr>
      </w:pPr>
      <w:bookmarkStart w:id="0" w:name="_GoBack"/>
    </w:p>
    <w:bookmarkEnd w:id="0"/>
    <w:p>
      <w:pPr>
        <w:adjustRightInd w:val="0"/>
        <w:snapToGrid w:val="0"/>
        <w:rPr>
          <w:rFonts w:hint="default" w:eastAsia="SimSun" w:cs="Times New Roman"/>
          <w:lang w:val="en-GB"/>
        </w:rPr>
      </w:pPr>
      <w:r>
        <w:rPr>
          <w:rFonts w:hint="default"/>
          <w:lang w:val="en-GB"/>
        </w:rPr>
        <w:t>covid = coronavirus disease; JAKi = janus kinase inhibitor; MHRA = Medical Health and Regulatory Authority (UK)</w:t>
      </w:r>
      <w:r>
        <w:rPr>
          <w:rFonts w:eastAsia="SimSun" w:cs="Times New Roman"/>
          <w:lang w:val="en-GB"/>
        </w:rPr>
        <w:t xml:space="preserve">; PsA = psoriatic arthritis; </w:t>
      </w:r>
      <w:r>
        <w:rPr>
          <w:rFonts w:hint="default" w:eastAsia="SimSun" w:cs="Times New Roman"/>
          <w:lang w:val="en-GB"/>
        </w:rPr>
        <w:t>tofa = tofacitinib; upa = upadacitinib; VTE = venous thromboembolism</w:t>
      </w:r>
    </w:p>
    <w:p>
      <w:pPr>
        <w:ind w:firstLine="100"/>
        <w:rPr>
          <w:rFonts w:hint="default"/>
          <w:lang w:val="en-GB"/>
        </w:rPr>
      </w:pPr>
    </w:p>
    <w:sectPr>
      <w:pgSz w:w="11906" w:h="16838"/>
      <w:pgMar w:top="1440" w:right="1800" w:bottom="1440" w:left="180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283"/>
  <w:drawingGridVerticalSpacing w:val="156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AC"/>
    <w:rsid w:val="00A438AC"/>
    <w:rsid w:val="00E269FD"/>
    <w:rsid w:val="03253AFD"/>
    <w:rsid w:val="0374413D"/>
    <w:rsid w:val="040F1BAA"/>
    <w:rsid w:val="06695AAF"/>
    <w:rsid w:val="073A569E"/>
    <w:rsid w:val="0802440D"/>
    <w:rsid w:val="0865202A"/>
    <w:rsid w:val="08D96452"/>
    <w:rsid w:val="0AFB3233"/>
    <w:rsid w:val="11B81D23"/>
    <w:rsid w:val="127F48AC"/>
    <w:rsid w:val="1382549E"/>
    <w:rsid w:val="15E60230"/>
    <w:rsid w:val="16C15493"/>
    <w:rsid w:val="1AEC6857"/>
    <w:rsid w:val="1DE90293"/>
    <w:rsid w:val="1DF745D2"/>
    <w:rsid w:val="1EEE7443"/>
    <w:rsid w:val="1F874AC1"/>
    <w:rsid w:val="20F1283F"/>
    <w:rsid w:val="230E767D"/>
    <w:rsid w:val="24924DC4"/>
    <w:rsid w:val="290B2783"/>
    <w:rsid w:val="29D87771"/>
    <w:rsid w:val="29DA4864"/>
    <w:rsid w:val="2A7725E1"/>
    <w:rsid w:val="30343F5E"/>
    <w:rsid w:val="34245B5A"/>
    <w:rsid w:val="358D2CB9"/>
    <w:rsid w:val="38033928"/>
    <w:rsid w:val="390E6DAE"/>
    <w:rsid w:val="3D2959BD"/>
    <w:rsid w:val="3F7B4FD4"/>
    <w:rsid w:val="3FA41114"/>
    <w:rsid w:val="41CE72D4"/>
    <w:rsid w:val="42B914BF"/>
    <w:rsid w:val="469E0243"/>
    <w:rsid w:val="53626F09"/>
    <w:rsid w:val="54B856EF"/>
    <w:rsid w:val="568F78CF"/>
    <w:rsid w:val="57780025"/>
    <w:rsid w:val="57EE7DD3"/>
    <w:rsid w:val="59EF71EF"/>
    <w:rsid w:val="5A5F25C6"/>
    <w:rsid w:val="5B4236BA"/>
    <w:rsid w:val="61464639"/>
    <w:rsid w:val="647D42D5"/>
    <w:rsid w:val="65B50CB0"/>
    <w:rsid w:val="65F8567D"/>
    <w:rsid w:val="69120BEF"/>
    <w:rsid w:val="69CD0E47"/>
    <w:rsid w:val="6CFA3D10"/>
    <w:rsid w:val="6D350EF8"/>
    <w:rsid w:val="6E1B5E0A"/>
    <w:rsid w:val="6F086F15"/>
    <w:rsid w:val="76524305"/>
    <w:rsid w:val="7984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35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qFormat="1"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qFormat/>
    <w:uiPriority w:val="99"/>
    <w:rPr>
      <w:sz w:val="16"/>
      <w:szCs w:val="16"/>
    </w:rPr>
  </w:style>
  <w:style w:type="paragraph" w:styleId="5">
    <w:name w:val="annotation text"/>
    <w:basedOn w:val="1"/>
    <w:link w:val="14"/>
    <w:qFormat/>
    <w:uiPriority w:val="99"/>
  </w:style>
  <w:style w:type="paragraph" w:styleId="6">
    <w:name w:val="annotation subject"/>
    <w:basedOn w:val="5"/>
    <w:next w:val="5"/>
    <w:link w:val="15"/>
    <w:qFormat/>
    <w:uiPriority w:val="99"/>
    <w:rPr>
      <w:b/>
      <w:bCs/>
    </w:rPr>
  </w:style>
  <w:style w:type="table" w:styleId="7">
    <w:name w:val="Table Grid"/>
    <w:qFormat/>
    <w:uiPriority w:val="59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Comment Text1"/>
    <w:qFormat/>
    <w:uiPriority w:val="0"/>
    <w:rPr>
      <w:rFonts w:ascii="Calibri" w:hAnsi="Calibri" w:eastAsia="Calibri" w:cs="Calibri"/>
      <w:lang w:val="en-US" w:eastAsia="zh-CN" w:bidi="ar-SA"/>
    </w:rPr>
  </w:style>
  <w:style w:type="paragraph" w:customStyle="1" w:styleId="9">
    <w:name w:val="Comment Subject1"/>
    <w:basedOn w:val="8"/>
    <w:next w:val="8"/>
    <w:qFormat/>
    <w:uiPriority w:val="0"/>
    <w:rPr>
      <w:b/>
      <w:bCs/>
    </w:rPr>
  </w:style>
  <w:style w:type="paragraph" w:customStyle="1" w:styleId="10">
    <w:name w:val="[Normal]"/>
    <w:qFormat/>
    <w:uiPriority w:val="0"/>
    <w:pPr>
      <w:widowControl w:val="0"/>
    </w:pPr>
    <w:rPr>
      <w:rFonts w:ascii="Arial" w:hAnsi="Arial" w:eastAsia="SimSun" w:cs="Times New Roman"/>
      <w:sz w:val="24"/>
      <w:szCs w:val="24"/>
      <w:lang w:val="en-GB" w:eastAsia="en-GB" w:bidi="ar-SA"/>
    </w:rPr>
  </w:style>
  <w:style w:type="character" w:customStyle="1" w:styleId="11">
    <w:name w:val="Comment Reference1"/>
    <w:basedOn w:val="2"/>
    <w:qFormat/>
    <w:uiPriority w:val="0"/>
    <w:rPr>
      <w:sz w:val="16"/>
      <w:szCs w:val="16"/>
    </w:rPr>
  </w:style>
  <w:style w:type="character" w:customStyle="1" w:styleId="12">
    <w:name w:val="Comment Text Char"/>
    <w:basedOn w:val="2"/>
    <w:qFormat/>
    <w:uiPriority w:val="0"/>
    <w:rPr>
      <w:rFonts w:ascii="Calibri" w:hAnsi="Calibri" w:eastAsia="Calibri" w:cs="Calibri"/>
      <w:lang w:val="en-US" w:eastAsia="zh-CN"/>
    </w:rPr>
  </w:style>
  <w:style w:type="character" w:customStyle="1" w:styleId="13">
    <w:name w:val="Comment Subject Char"/>
    <w:basedOn w:val="12"/>
    <w:qFormat/>
    <w:uiPriority w:val="0"/>
    <w:rPr>
      <w:rFonts w:ascii="Calibri" w:hAnsi="Calibri" w:eastAsia="Calibri" w:cs="Calibri"/>
      <w:b/>
      <w:bCs/>
      <w:lang w:val="en-US" w:eastAsia="zh-CN"/>
    </w:rPr>
  </w:style>
  <w:style w:type="character" w:customStyle="1" w:styleId="14">
    <w:name w:val="Comment Text Char1"/>
    <w:basedOn w:val="2"/>
    <w:link w:val="5"/>
    <w:qFormat/>
    <w:uiPriority w:val="99"/>
    <w:rPr>
      <w:rFonts w:ascii="Calibri" w:hAnsi="Calibri" w:eastAsia="Calibri" w:cs="Calibri"/>
      <w:lang w:val="en-US" w:eastAsia="zh-CN"/>
    </w:rPr>
  </w:style>
  <w:style w:type="character" w:customStyle="1" w:styleId="15">
    <w:name w:val="Comment Subject Char1"/>
    <w:basedOn w:val="14"/>
    <w:link w:val="6"/>
    <w:qFormat/>
    <w:uiPriority w:val="99"/>
    <w:rPr>
      <w:rFonts w:ascii="Calibri" w:hAnsi="Calibri" w:eastAsia="Calibri" w:cs="Calibri"/>
      <w:b/>
      <w:bCs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1883</Characters>
  <Lines>15</Lines>
  <Paragraphs>4</Paragraphs>
  <TotalTime>3</TotalTime>
  <ScaleCrop>false</ScaleCrop>
  <LinksUpToDate>false</LinksUpToDate>
  <CharactersWithSpaces>2209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2023-01-03T22:21:00Z</dcterms:created>
  <dc:creator>Savia de Souza</dc:creator>
  <cp:lastModifiedBy>Savia de Souza</cp:lastModifiedBy>
  <dcterms:modified xsi:type="dcterms:W3CDTF">2023-02-10T10:02:07Z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799C9E081969482398E846F41224EBE6</vt:lpwstr>
  </property>
</Properties>
</file>