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="001C7C70" w:rsidRDefault="001C7C70" w14:paraId="0CD6CAFE" w14:textId="744C88E3">
      <w:pPr>
        <w:rPr>
          <w:rFonts w:ascii="Times New Roman" w:hAnsi="Times New Roman" w:cs="Times New Roman"/>
        </w:rPr>
      </w:pPr>
      <w:r w:rsidRPr="001C7C70">
        <w:rPr>
          <w:rFonts w:ascii="Times New Roman" w:hAnsi="Times New Roman" w:cs="Times New Roman"/>
        </w:rPr>
        <w:t xml:space="preserve">Additional File </w:t>
      </w:r>
      <w:r w:rsidR="00E96491">
        <w:rPr>
          <w:rFonts w:ascii="Times New Roman" w:hAnsi="Times New Roman" w:cs="Times New Roman"/>
        </w:rPr>
        <w:t>2</w:t>
      </w:r>
      <w:r w:rsidRPr="001C7C70">
        <w:rPr>
          <w:rFonts w:ascii="Times New Roman" w:hAnsi="Times New Roman" w:cs="Times New Roman"/>
        </w:rPr>
        <w:t xml:space="preserve">: </w:t>
      </w:r>
      <w:r w:rsidRPr="005F069A" w:rsidR="005F069A">
        <w:rPr>
          <w:rFonts w:ascii="Times New Roman" w:hAnsi="Times New Roman" w:cs="Times New Roman"/>
        </w:rPr>
        <w:t>Indicators and measures selected for evaluating the patient-initiated follow-up model</w:t>
      </w:r>
      <w:r w:rsidR="005F069A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500"/>
        <w:gridCol w:w="7850"/>
      </w:tblGrid>
      <w:tr w:rsidRPr="00820425" w:rsidR="00481D7C" w:rsidTr="40C82023" w14:paraId="7027410E" w14:textId="77777777">
        <w:trPr>
          <w:trHeight w:val="300"/>
        </w:trPr>
        <w:tc>
          <w:tcPr>
            <w:tcW w:w="1500" w:type="dxa"/>
            <w:tcMar/>
          </w:tcPr>
          <w:p w:rsidRPr="00820425" w:rsidR="00481D7C" w:rsidP="000901C4" w:rsidRDefault="00481D7C" w14:paraId="2DDCB6C2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820425">
              <w:rPr>
                <w:rFonts w:ascii="Times New Roman" w:hAnsi="Times New Roman" w:cs="Times New Roman"/>
                <w:b/>
                <w:bCs/>
              </w:rPr>
              <w:t>Indicator</w:t>
            </w:r>
          </w:p>
        </w:tc>
        <w:tc>
          <w:tcPr>
            <w:tcW w:w="7850" w:type="dxa"/>
            <w:tcMar/>
          </w:tcPr>
          <w:p w:rsidRPr="00820425" w:rsidR="00481D7C" w:rsidP="000901C4" w:rsidRDefault="00481D7C" w14:paraId="075C048D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820425">
              <w:rPr>
                <w:rFonts w:ascii="Times New Roman" w:hAnsi="Times New Roman" w:cs="Times New Roman"/>
                <w:b/>
                <w:bCs/>
              </w:rPr>
              <w:t>Measures</w:t>
            </w:r>
          </w:p>
        </w:tc>
      </w:tr>
      <w:tr w:rsidRPr="00820425" w:rsidR="00481D7C" w:rsidTr="40C82023" w14:paraId="0F090E44" w14:textId="77777777">
        <w:trPr>
          <w:trHeight w:val="300"/>
        </w:trPr>
        <w:tc>
          <w:tcPr>
            <w:tcW w:w="1500" w:type="dxa"/>
            <w:tcMar/>
          </w:tcPr>
          <w:p w:rsidRPr="00820425" w:rsidR="00481D7C" w:rsidP="000901C4" w:rsidRDefault="00481D7C" w14:paraId="2CF799E4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Recruitment</w:t>
            </w:r>
          </w:p>
        </w:tc>
        <w:tc>
          <w:tcPr>
            <w:tcW w:w="7850" w:type="dxa"/>
            <w:tcMar/>
          </w:tcPr>
          <w:p w:rsidRPr="00820425" w:rsidR="00481D7C" w:rsidP="000901C4" w:rsidRDefault="00481D7C" w14:paraId="31D79792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eligible patients who agree to participate</w:t>
            </w:r>
          </w:p>
          <w:p w:rsidRPr="00820425" w:rsidR="00481D7C" w:rsidP="000901C4" w:rsidRDefault="00481D7C" w14:paraId="36DE8A6A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• Number of eligible patients who decline to participate and why </w:t>
            </w:r>
          </w:p>
          <w:p w:rsidRPr="00820425" w:rsidR="00481D7C" w:rsidP="000901C4" w:rsidRDefault="00481D7C" w14:paraId="1270DE33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• Qualitative reason if declined </w:t>
            </w:r>
          </w:p>
        </w:tc>
      </w:tr>
      <w:tr w:rsidRPr="00820425" w:rsidR="00481D7C" w:rsidTr="40C82023" w14:paraId="7B618F12" w14:textId="77777777">
        <w:trPr>
          <w:trHeight w:val="300"/>
        </w:trPr>
        <w:tc>
          <w:tcPr>
            <w:tcW w:w="1500" w:type="dxa"/>
            <w:tcMar/>
          </w:tcPr>
          <w:p w:rsidRPr="00820425" w:rsidR="00481D7C" w:rsidP="000901C4" w:rsidRDefault="00481D7C" w14:paraId="697501F8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Baseline Condition</w:t>
            </w:r>
          </w:p>
        </w:tc>
        <w:tc>
          <w:tcPr>
            <w:tcW w:w="7850" w:type="dxa"/>
            <w:tcMar/>
          </w:tcPr>
          <w:p w:rsidRPr="00820425" w:rsidR="00481D7C" w:rsidP="000901C4" w:rsidRDefault="00481D7C" w14:paraId="48D97AEF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Baseline documentation via chart review</w:t>
            </w:r>
          </w:p>
          <w:p w:rsidRPr="00820425" w:rsidR="00481D7C" w:rsidP="000901C4" w:rsidRDefault="00481D7C" w14:paraId="5A4DF59E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Disease Activity (CDAI or DAS28)</w:t>
            </w:r>
          </w:p>
          <w:p w:rsidRPr="00820425" w:rsidR="00481D7C" w:rsidP="000901C4" w:rsidRDefault="00481D7C" w14:paraId="7BD4A395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Duration of diagnosis (where available) and seropositivity</w:t>
            </w:r>
          </w:p>
          <w:p w:rsidRPr="00820425" w:rsidR="00481D7C" w:rsidP="000901C4" w:rsidRDefault="00481D7C" w14:paraId="27948EA1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Functional Status (HAQ or other)</w:t>
            </w:r>
          </w:p>
          <w:p w:rsidRPr="00820425" w:rsidR="00481D7C" w:rsidP="000901C4" w:rsidRDefault="00481D7C" w14:paraId="093087F0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Medications</w:t>
            </w:r>
          </w:p>
          <w:p w:rsidRPr="00820425" w:rsidR="00481D7C" w:rsidP="000901C4" w:rsidRDefault="00481D7C" w14:paraId="25DBC6AD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Comorbidities</w:t>
            </w:r>
          </w:p>
        </w:tc>
      </w:tr>
      <w:tr w:rsidRPr="00820425" w:rsidR="00481D7C" w:rsidTr="40C82023" w14:paraId="0FE3756A" w14:textId="77777777">
        <w:trPr>
          <w:trHeight w:val="300"/>
        </w:trPr>
        <w:tc>
          <w:tcPr>
            <w:tcW w:w="1500" w:type="dxa"/>
            <w:tcMar/>
          </w:tcPr>
          <w:p w:rsidRPr="00820425" w:rsidR="00481D7C" w:rsidP="000901C4" w:rsidRDefault="00481D7C" w14:paraId="68BA9687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Patient-reported Flare Score</w:t>
            </w:r>
          </w:p>
        </w:tc>
        <w:tc>
          <w:tcPr>
            <w:tcW w:w="7850" w:type="dxa"/>
            <w:tcMar/>
          </w:tcPr>
          <w:p w:rsidRPr="00820425" w:rsidR="00481D7C" w:rsidP="000901C4" w:rsidRDefault="00481D7C" w14:paraId="592DB5F2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Patient Reported Flare Score outcomes</w:t>
            </w:r>
          </w:p>
          <w:p w:rsidRPr="00820425" w:rsidR="00481D7C" w:rsidP="000901C4" w:rsidRDefault="00481D7C" w14:paraId="49A9FD40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patients who opt into the patient reported flare score every 3 months</w:t>
            </w:r>
          </w:p>
          <w:p w:rsidRPr="00820425" w:rsidR="00481D7C" w:rsidP="000901C4" w:rsidRDefault="00481D7C" w14:paraId="19654F27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Qualitative ‘why’</w:t>
            </w:r>
          </w:p>
          <w:p w:rsidRPr="00820425" w:rsidR="00481D7C" w:rsidP="000901C4" w:rsidRDefault="00481D7C" w14:paraId="5E9A48E8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patients who opt out of the patient reported flare score every 3 months</w:t>
            </w:r>
          </w:p>
          <w:p w:rsidRPr="00820425" w:rsidR="00481D7C" w:rsidP="000901C4" w:rsidRDefault="00481D7C" w14:paraId="5FEBDFE5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Qualitative ‘why’</w:t>
            </w:r>
          </w:p>
          <w:p w:rsidRPr="00820425" w:rsidR="00481D7C" w:rsidP="000901C4" w:rsidRDefault="00481D7C" w14:paraId="76F93871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Percentage of scores completed</w:t>
            </w:r>
          </w:p>
          <w:p w:rsidRPr="00820425" w:rsidR="00481D7C" w:rsidP="000901C4" w:rsidRDefault="00481D7C" w14:paraId="51F7489A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reminders sent</w:t>
            </w:r>
          </w:p>
          <w:p w:rsidRPr="00820425" w:rsidR="00481D7C" w:rsidP="000901C4" w:rsidRDefault="00481D7C" w14:paraId="16A91809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patients with an elevated score who are directed to contact the clinic</w:t>
            </w:r>
          </w:p>
          <w:p w:rsidRPr="00820425" w:rsidR="00481D7C" w:rsidP="000901C4" w:rsidRDefault="00481D7C" w14:paraId="700BCDCF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these patients who are found to have a disease flare requiring a change in therapy</w:t>
            </w:r>
          </w:p>
        </w:tc>
      </w:tr>
      <w:tr w:rsidRPr="00820425" w:rsidR="00481D7C" w:rsidTr="40C82023" w14:paraId="31314DB6" w14:textId="77777777">
        <w:trPr>
          <w:trHeight w:val="300"/>
        </w:trPr>
        <w:tc>
          <w:tcPr>
            <w:tcW w:w="1500" w:type="dxa"/>
            <w:tcMar/>
          </w:tcPr>
          <w:p w:rsidRPr="00820425" w:rsidR="00481D7C" w:rsidP="000901C4" w:rsidRDefault="00481D7C" w14:paraId="241C16B0" w14:textId="77777777">
            <w:pPr>
              <w:pStyle w:val="NoSpacing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Pathway Adherence</w:t>
            </w:r>
          </w:p>
        </w:tc>
        <w:tc>
          <w:tcPr>
            <w:tcW w:w="7850" w:type="dxa"/>
            <w:tcMar/>
          </w:tcPr>
          <w:p w:rsidRPr="00820425" w:rsidR="00481D7C" w:rsidP="000901C4" w:rsidRDefault="00481D7C" w14:paraId="649F13BC" w14:textId="77777777">
            <w:pPr>
              <w:pStyle w:val="NoSpacing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patients who remain on the ABC pathway for the entirety of follow-up</w:t>
            </w:r>
          </w:p>
          <w:p w:rsidRPr="00820425" w:rsidR="00481D7C" w:rsidP="000901C4" w:rsidRDefault="00481D7C" w14:paraId="45C4FD2C" w14:textId="77777777">
            <w:pPr>
              <w:pStyle w:val="NoSpacing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patients who leave the ABC pathway and return to usual care</w:t>
            </w:r>
          </w:p>
        </w:tc>
      </w:tr>
      <w:tr w:rsidRPr="00820425" w:rsidR="00481D7C" w:rsidTr="40C82023" w14:paraId="6C7446D1" w14:textId="77777777">
        <w:trPr>
          <w:trHeight w:val="3352"/>
        </w:trPr>
        <w:tc>
          <w:tcPr>
            <w:tcW w:w="1500" w:type="dxa"/>
            <w:tcMar/>
          </w:tcPr>
          <w:p w:rsidRPr="00820425" w:rsidR="00481D7C" w:rsidP="000901C4" w:rsidRDefault="00481D7C" w14:paraId="4B7F18F5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Flare Clinic Usage</w:t>
            </w:r>
          </w:p>
        </w:tc>
        <w:tc>
          <w:tcPr>
            <w:tcW w:w="7850" w:type="dxa"/>
            <w:tcMar/>
          </w:tcPr>
          <w:p w:rsidRPr="00820425" w:rsidR="00481D7C" w:rsidP="000901C4" w:rsidRDefault="00481D7C" w14:paraId="65ED40AC" w14:textId="77777777">
            <w:pPr>
              <w:pStyle w:val="NoSpacing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annual interdisciplinary telephone follow-ups for patients on ABC requiring prescription renewals and lab check (and any missed labs or medication renewals to ensure safety)</w:t>
            </w:r>
          </w:p>
          <w:p w:rsidRPr="00820425" w:rsidR="00481D7C" w:rsidP="000901C4" w:rsidRDefault="00481D7C" w14:paraId="59D7063C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Clinic contacts outcomes</w:t>
            </w:r>
          </w:p>
          <w:p w:rsidRPr="00820425" w:rsidR="00481D7C" w:rsidP="000901C4" w:rsidRDefault="00481D7C" w14:paraId="29172063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 contacts</w:t>
            </w:r>
          </w:p>
          <w:p w:rsidRPr="00820425" w:rsidR="00481D7C" w:rsidP="000901C4" w:rsidRDefault="00481D7C" w14:paraId="774241B7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Average number per patient per month and over total pilot</w:t>
            </w:r>
          </w:p>
          <w:p w:rsidRPr="00820425" w:rsidR="00481D7C" w:rsidP="000901C4" w:rsidRDefault="00481D7C" w14:paraId="43DFFBD2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Total per month contacts per month from all patients on the pathway</w:t>
            </w:r>
          </w:p>
          <w:p w:rsidRPr="00820425" w:rsidR="00481D7C" w:rsidP="000901C4" w:rsidRDefault="00481D7C" w14:paraId="02CC882D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Wait times:</w:t>
            </w:r>
          </w:p>
          <w:p w:rsidRPr="00820425" w:rsidR="00481D7C" w:rsidP="000901C4" w:rsidRDefault="00481D7C" w14:paraId="7B90D480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From flare start to contacting clinic</w:t>
            </w:r>
          </w:p>
          <w:p w:rsidRPr="00820425" w:rsidR="00481D7C" w:rsidP="000901C4" w:rsidRDefault="00481D7C" w14:paraId="7E352E81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From contacting clinic to nurse/pharmacist triage</w:t>
            </w:r>
          </w:p>
          <w:p w:rsidRPr="00820425" w:rsidR="00481D7C" w:rsidP="000901C4" w:rsidRDefault="00481D7C" w14:paraId="5946134E" w14:textId="77777777">
            <w:pPr>
              <w:ind w:left="144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From triage to flare clinic visit (if necessary)</w:t>
            </w:r>
          </w:p>
          <w:p w:rsidRPr="00820425" w:rsidR="00481D7C" w:rsidP="000901C4" w:rsidRDefault="00481D7C" w14:paraId="705F8EB2" w14:textId="7777777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Flare clinic outcomes</w:t>
            </w:r>
          </w:p>
          <w:p w:rsidRPr="00820425" w:rsidR="00481D7C" w:rsidP="000901C4" w:rsidRDefault="00481D7C" w14:paraId="1CF22A11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and duration of visits</w:t>
            </w:r>
          </w:p>
          <w:p w:rsidRPr="00820425" w:rsidR="00481D7C" w:rsidP="000901C4" w:rsidRDefault="00481D7C" w14:paraId="11449B21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patients that required a treatment change (treatment change documented)</w:t>
            </w:r>
          </w:p>
          <w:p w:rsidRPr="00820425" w:rsidR="00481D7C" w:rsidP="000901C4" w:rsidRDefault="00481D7C" w14:paraId="1000095F" w14:textId="77777777">
            <w:pPr>
              <w:ind w:left="720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• Number of visits where a flare could not be confirmed or did not require a change in treatment</w:t>
            </w:r>
          </w:p>
        </w:tc>
      </w:tr>
      <w:tr w:rsidR="1744CF17" w:rsidTr="40C82023" w14:paraId="533730C5">
        <w:trPr>
          <w:trHeight w:val="300"/>
        </w:trPr>
        <w:tc>
          <w:tcPr>
            <w:tcW w:w="1500" w:type="dxa"/>
            <w:tcMar/>
          </w:tcPr>
          <w:p w:rsidR="55DC29BD" w:rsidP="1744CF17" w:rsidRDefault="55DC29BD" w14:paraId="7CEC6BF2" w14:textId="74FD2FCB">
            <w:pPr>
              <w:pStyle w:val="Normal"/>
              <w:rPr>
                <w:rFonts w:ascii="Times New Roman" w:hAnsi="Times New Roman" w:cs="Times New Roman"/>
              </w:rPr>
            </w:pPr>
            <w:r w:rsidRPr="40C82023" w:rsidR="55DC29BD">
              <w:rPr>
                <w:rFonts w:ascii="Times New Roman" w:hAnsi="Times New Roman" w:cs="Times New Roman"/>
              </w:rPr>
              <w:t>Patient and Provider Satisfaction</w:t>
            </w:r>
          </w:p>
        </w:tc>
        <w:tc>
          <w:tcPr>
            <w:tcW w:w="7850" w:type="dxa"/>
            <w:tcMar/>
          </w:tcPr>
          <w:p w:rsidR="55DC29BD" w:rsidP="40C82023" w:rsidRDefault="55DC29BD" w14:paraId="00E528B2" w14:textId="411F3124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40C82023" w:rsidR="55DC29BD">
              <w:rPr>
                <w:rFonts w:ascii="Times New Roman" w:hAnsi="Times New Roman" w:cs="Times New Roman"/>
              </w:rPr>
              <w:t>Qualitative semi-structured interviews with a purposively sampled subset of participants</w:t>
            </w:r>
          </w:p>
        </w:tc>
      </w:tr>
    </w:tbl>
    <w:p w:rsidRPr="001C7C70" w:rsidR="001C7C70" w:rsidRDefault="001C7C70" w14:paraId="1C0E2ABB" w14:textId="77777777">
      <w:pPr>
        <w:rPr>
          <w:rFonts w:ascii="Times New Roman" w:hAnsi="Times New Roman" w:cs="Times New Roman"/>
        </w:rPr>
      </w:pPr>
    </w:p>
    <w:sectPr w:rsidRPr="001C7C70" w:rsidR="001C7C7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3fa0f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70"/>
    <w:rsid w:val="00034E4C"/>
    <w:rsid w:val="001C7C70"/>
    <w:rsid w:val="00214910"/>
    <w:rsid w:val="00342038"/>
    <w:rsid w:val="00481D7C"/>
    <w:rsid w:val="005F069A"/>
    <w:rsid w:val="00E96491"/>
    <w:rsid w:val="1744CF17"/>
    <w:rsid w:val="40C82023"/>
    <w:rsid w:val="55DC29BD"/>
    <w:rsid w:val="5BA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BA62F"/>
  <w15:chartTrackingRefBased/>
  <w15:docId w15:val="{EA129BC6-D2E2-9A4F-A8E2-F12DD39F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C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C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C7C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C7C7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C7C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C7C7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C7C7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C7C7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C7C7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C7C7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C7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C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7C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C7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C7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C7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C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C7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C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7C70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481D7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481D7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2f3909c3f6646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Manuel Ester</dc:creator>
  <keywords/>
  <dc:description/>
  <lastModifiedBy>Manuel Ester</lastModifiedBy>
  <revision>7</revision>
  <dcterms:created xsi:type="dcterms:W3CDTF">2024-07-19T18:17:00.0000000Z</dcterms:created>
  <dcterms:modified xsi:type="dcterms:W3CDTF">2025-01-07T18:41:20.8715644Z</dcterms:modified>
</coreProperties>
</file>