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BD5BD" w14:textId="4A97B04C" w:rsidR="00CB68DC" w:rsidRDefault="00B332F9" w:rsidP="00CB68DC">
      <w:pPr>
        <w:pStyle w:val="Heading1"/>
        <w:spacing w:after="0"/>
        <w:rPr>
          <w:rFonts w:ascii="Arial" w:eastAsia="Calibri" w:hAnsi="Arial" w:cs="Arial"/>
          <w:b/>
          <w:color w:val="auto"/>
          <w:sz w:val="22"/>
          <w:szCs w:val="22"/>
          <w:lang w:val="en-US"/>
        </w:rPr>
      </w:pPr>
      <w:r w:rsidRPr="00B332F9">
        <w:rPr>
          <w:rFonts w:ascii="Arial" w:eastAsia="Calibri" w:hAnsi="Arial" w:cs="Arial"/>
          <w:b/>
          <w:color w:val="auto"/>
          <w:sz w:val="22"/>
          <w:szCs w:val="22"/>
          <w:lang w:val="en-US"/>
        </w:rPr>
        <w:t>Additional file 1</w:t>
      </w:r>
    </w:p>
    <w:p w14:paraId="5ADC1C2F" w14:textId="77777777" w:rsidR="00B332F9" w:rsidRPr="00B332F9" w:rsidRDefault="00B332F9" w:rsidP="00B332F9">
      <w:pPr>
        <w:rPr>
          <w:lang w:val="en-US"/>
        </w:rPr>
      </w:pPr>
    </w:p>
    <w:p w14:paraId="37C98B81" w14:textId="77777777" w:rsidR="00CB68DC" w:rsidRPr="003E58C5" w:rsidRDefault="00CB68DC" w:rsidP="00CB68DC">
      <w:pPr>
        <w:pStyle w:val="ListParagraph"/>
        <w:ind w:left="0"/>
        <w:rPr>
          <w:rFonts w:ascii="Arial" w:eastAsia="Calibri" w:hAnsi="Arial" w:cs="Arial"/>
          <w:b/>
          <w:sz w:val="22"/>
          <w:szCs w:val="22"/>
          <w:lang w:val="en-US"/>
        </w:rPr>
      </w:pPr>
      <w:r w:rsidRPr="003E58C5">
        <w:rPr>
          <w:rFonts w:ascii="Arial" w:eastAsia="Calibri" w:hAnsi="Arial" w:cs="Arial"/>
          <w:b/>
          <w:sz w:val="22"/>
          <w:szCs w:val="22"/>
          <w:lang w:val="en-US"/>
        </w:rPr>
        <w:t xml:space="preserve">Canakinumab treatment patterns in </w:t>
      </w:r>
      <w:proofErr w:type="spellStart"/>
      <w:r w:rsidRPr="003E58C5">
        <w:rPr>
          <w:rFonts w:ascii="Arial" w:eastAsia="Calibri" w:hAnsi="Arial" w:cs="Arial"/>
          <w:b/>
          <w:sz w:val="22"/>
          <w:szCs w:val="22"/>
          <w:lang w:val="en-US"/>
        </w:rPr>
        <w:t>sJIA</w:t>
      </w:r>
      <w:proofErr w:type="spellEnd"/>
      <w:r w:rsidRPr="003E58C5">
        <w:rPr>
          <w:rFonts w:ascii="Arial" w:eastAsia="Calibri" w:hAnsi="Arial" w:cs="Arial"/>
          <w:b/>
          <w:sz w:val="22"/>
          <w:szCs w:val="22"/>
          <w:lang w:val="en-US"/>
        </w:rPr>
        <w:t xml:space="preserve">, FMF, TRAPS, and MKD/HIDS: </w:t>
      </w:r>
      <w:r w:rsidRPr="003E58C5">
        <w:rPr>
          <w:rFonts w:ascii="Arial" w:eastAsia="Calibri" w:hAnsi="Arial" w:cs="Arial"/>
          <w:b/>
          <w:sz w:val="22"/>
          <w:szCs w:val="22"/>
          <w:lang w:val="en-US"/>
        </w:rPr>
        <w:br/>
        <w:t>real-world insights from a Belgian non-interventional study</w:t>
      </w:r>
    </w:p>
    <w:p w14:paraId="248392F9" w14:textId="5430605F" w:rsidR="00CB68DC" w:rsidRPr="003E58C5" w:rsidRDefault="00CB68DC" w:rsidP="00CB68DC">
      <w:pPr>
        <w:spacing w:after="0"/>
        <w:rPr>
          <w:rFonts w:ascii="Arial" w:eastAsia="Calibri" w:hAnsi="Arial" w:cs="Arial"/>
          <w:sz w:val="22"/>
          <w:szCs w:val="22"/>
          <w:lang w:val="en-US" w:eastAsia="en-US"/>
        </w:rPr>
      </w:pPr>
      <w:r w:rsidRPr="003E58C5">
        <w:rPr>
          <w:rFonts w:ascii="Arial" w:eastAsia="Calibri" w:hAnsi="Arial" w:cs="Arial"/>
          <w:b/>
          <w:bCs/>
          <w:sz w:val="22"/>
          <w:szCs w:val="22"/>
          <w:lang w:val="en-US" w:eastAsia="en-US"/>
        </w:rPr>
        <w:t xml:space="preserve">Suppl. Table 1 </w:t>
      </w:r>
      <w:r w:rsidRPr="003E58C5">
        <w:rPr>
          <w:rFonts w:ascii="Arial" w:eastAsia="Calibri" w:hAnsi="Arial" w:cs="Arial"/>
          <w:sz w:val="22"/>
          <w:szCs w:val="22"/>
          <w:lang w:val="en-US" w:eastAsia="en-US"/>
        </w:rPr>
        <w:t xml:space="preserve">Reimbursement criteria for canakinumab in Belgium </w:t>
      </w:r>
      <w:r w:rsidRPr="003E58C5">
        <w:rPr>
          <w:rFonts w:ascii="Arial" w:hAnsi="Arial" w:cs="Arial"/>
          <w:sz w:val="22"/>
          <w:szCs w:val="22"/>
          <w:lang w:val="en-US"/>
        </w:rPr>
        <w:fldChar w:fldCharType="begin"/>
      </w:r>
      <w:r w:rsidRPr="003E58C5">
        <w:rPr>
          <w:rFonts w:ascii="Arial" w:hAnsi="Arial" w:cs="Arial"/>
          <w:sz w:val="22"/>
          <w:szCs w:val="22"/>
          <w:lang w:val="en-US"/>
        </w:rPr>
        <w:instrText xml:space="preserve"> ADDIN EN.CITE &lt;EndNote&gt;&lt;Cite&gt;&lt;Author&gt;RIZIV&lt;/Author&gt;&lt;RecNum&gt;4025&lt;/RecNum&gt;&lt;DisplayText&gt;[28]&lt;/DisplayText&gt;&lt;record&gt;&lt;rec-number&gt;4025&lt;/rec-number&gt;&lt;foreign-keys&gt;&lt;key app="EN" db-id="0xffspesyar2vme52edxa9x522pdrxer2xvs" timestamp="1718636035" guid="0cc35ff2-2597-4eca-8f21-207adc7fe6a3"&gt;4025&lt;/key&gt;&lt;/foreign-keys&gt;&lt;ref-type name="Electronic Article"&gt;43&lt;/ref-type&gt;&lt;contributors&gt;&lt;authors&gt;&lt;author&gt;RIZIV,&lt;/author&gt;&lt;/authors&gt;&lt;/contributors&gt;&lt;titles&gt;&lt;title&gt;RIZIV/INAMI. https://www.riziv.fgov.be/nl. Accessed 11 July 2024&lt;/title&gt;&lt;/titles&gt;&lt;dates&gt;&lt;/dates&gt;&lt;urls&gt;&lt;/urls&gt;&lt;/record&gt;&lt;/Cite&gt;&lt;/EndNote&gt;</w:instrText>
      </w:r>
      <w:r w:rsidRPr="003E58C5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3E58C5">
        <w:rPr>
          <w:rFonts w:ascii="Arial" w:hAnsi="Arial" w:cs="Arial"/>
          <w:noProof/>
          <w:sz w:val="22"/>
          <w:szCs w:val="22"/>
          <w:lang w:val="en-US"/>
        </w:rPr>
        <w:t>[28]</w:t>
      </w:r>
      <w:r w:rsidRPr="003E58C5">
        <w:rPr>
          <w:rFonts w:ascii="Arial" w:hAnsi="Arial" w:cs="Arial"/>
          <w:sz w:val="22"/>
          <w:szCs w:val="22"/>
          <w:lang w:val="en-US"/>
        </w:rPr>
        <w:fldChar w:fldCharType="end"/>
      </w:r>
    </w:p>
    <w:tbl>
      <w:tblPr>
        <w:tblStyle w:val="TableGrid"/>
        <w:tblW w:w="9431" w:type="dxa"/>
        <w:tblLook w:val="04A0" w:firstRow="1" w:lastRow="0" w:firstColumn="1" w:lastColumn="0" w:noHBand="0" w:noVBand="1"/>
      </w:tblPr>
      <w:tblGrid>
        <w:gridCol w:w="2122"/>
        <w:gridCol w:w="3654"/>
        <w:gridCol w:w="3655"/>
      </w:tblGrid>
      <w:tr w:rsidR="00CB68DC" w:rsidRPr="003E58C5" w14:paraId="3186BE23" w14:textId="77777777" w:rsidTr="00E720DA">
        <w:trPr>
          <w:trHeight w:val="413"/>
        </w:trPr>
        <w:tc>
          <w:tcPr>
            <w:tcW w:w="2122" w:type="dxa"/>
          </w:tcPr>
          <w:p w14:paraId="66AA0FBB" w14:textId="77777777" w:rsidR="00CB68DC" w:rsidRPr="003E58C5" w:rsidRDefault="00CB68DC" w:rsidP="00E720D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>Disease</w:t>
            </w:r>
          </w:p>
        </w:tc>
        <w:tc>
          <w:tcPr>
            <w:tcW w:w="3654" w:type="dxa"/>
          </w:tcPr>
          <w:p w14:paraId="252A5865" w14:textId="77777777" w:rsidR="00CB68DC" w:rsidRPr="003E58C5" w:rsidRDefault="00CB68DC" w:rsidP="00E720D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>Criteria for canakinumab initiation</w:t>
            </w:r>
          </w:p>
        </w:tc>
        <w:tc>
          <w:tcPr>
            <w:tcW w:w="3655" w:type="dxa"/>
          </w:tcPr>
          <w:p w14:paraId="648DDDE6" w14:textId="77777777" w:rsidR="00CB68DC" w:rsidRPr="003E58C5" w:rsidRDefault="00CB68DC" w:rsidP="00E720D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>Criteria for canakinumab continuation</w:t>
            </w:r>
          </w:p>
        </w:tc>
      </w:tr>
      <w:tr w:rsidR="00CB68DC" w:rsidRPr="003E58C5" w14:paraId="0426AEC4" w14:textId="77777777" w:rsidTr="00E720DA">
        <w:trPr>
          <w:trHeight w:val="2952"/>
        </w:trPr>
        <w:tc>
          <w:tcPr>
            <w:tcW w:w="2122" w:type="dxa"/>
          </w:tcPr>
          <w:p w14:paraId="193908AD" w14:textId="77777777" w:rsidR="00CB68DC" w:rsidRPr="003E58C5" w:rsidRDefault="00CB68DC" w:rsidP="00E720D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3E58C5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>sJIA</w:t>
            </w:r>
            <w:proofErr w:type="spellEnd"/>
          </w:p>
        </w:tc>
        <w:tc>
          <w:tcPr>
            <w:tcW w:w="3654" w:type="dxa"/>
          </w:tcPr>
          <w:p w14:paraId="3C0EA506" w14:textId="77777777" w:rsidR="00CB68DC" w:rsidRPr="003E58C5" w:rsidRDefault="00CB68DC" w:rsidP="00CB68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Insufficient response to optimal NSAID use for 2–4 weeks </w:t>
            </w:r>
            <w:r w:rsidRPr="003E58C5">
              <w:rPr>
                <w:rFonts w:ascii="Arial" w:eastAsia="Calibri" w:hAnsi="Arial" w:cs="Arial"/>
                <w:sz w:val="22"/>
                <w:szCs w:val="22"/>
                <w:lang w:eastAsia="en-US"/>
              </w:rPr>
              <w:t>or if NSAIDs are contraindicated</w:t>
            </w:r>
          </w:p>
          <w:p w14:paraId="18DD984C" w14:textId="77777777" w:rsidR="00CB68DC" w:rsidRPr="003E58C5" w:rsidRDefault="00CB68DC" w:rsidP="00CB68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Preceding course of corticosteroids (1 mg/kg/day or 30 mg/day after 3 months, or 0.3 mg/kg/day or 10 mg/day after 6 months)</w:t>
            </w:r>
          </w:p>
          <w:p w14:paraId="0828492B" w14:textId="77777777" w:rsidR="00CB68DC" w:rsidRPr="003E58C5" w:rsidRDefault="00CB68DC" w:rsidP="00CB68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Insufficient response or intolerance to optimal use of tocilizumab</w:t>
            </w:r>
          </w:p>
          <w:p w14:paraId="0C8BBAE2" w14:textId="77777777" w:rsidR="00CB68DC" w:rsidRPr="003E58C5" w:rsidRDefault="00CB68DC" w:rsidP="00E720D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655" w:type="dxa"/>
          </w:tcPr>
          <w:p w14:paraId="678D35C8" w14:textId="77777777" w:rsidR="00CB68DC" w:rsidRPr="003E58C5" w:rsidRDefault="00CB68DC" w:rsidP="00E720D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Patients must meet the defined response criteria</w:t>
            </w:r>
            <w:r w:rsidRPr="003E58C5">
              <w:rPr>
                <w:rFonts w:ascii="Arial" w:hAnsi="Arial" w:cs="Arial"/>
                <w:sz w:val="22"/>
                <w:szCs w:val="22"/>
                <w:lang w:val="en-US"/>
              </w:rPr>
              <w:t xml:space="preserve"> after 6 months and every 12 months thereafter:</w:t>
            </w:r>
          </w:p>
          <w:p w14:paraId="2F553703" w14:textId="77777777" w:rsidR="00CB68DC" w:rsidRPr="003E58C5" w:rsidRDefault="00CB68DC" w:rsidP="00CB68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ACR Pedi 30 response compared with the patient's clinical condition before treatment</w:t>
            </w:r>
          </w:p>
          <w:p w14:paraId="732C4381" w14:textId="77777777" w:rsidR="00CB68DC" w:rsidRPr="003E58C5" w:rsidRDefault="00CB68DC" w:rsidP="00CB68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Absence of fever associated with </w:t>
            </w:r>
            <w:proofErr w:type="spellStart"/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sJIA</w:t>
            </w:r>
            <w:proofErr w:type="spellEnd"/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(no temperature ≥37.5°C in the previous 7 days) </w:t>
            </w:r>
          </w:p>
        </w:tc>
      </w:tr>
      <w:tr w:rsidR="00CB68DC" w:rsidRPr="003E58C5" w14:paraId="08EB17E5" w14:textId="77777777" w:rsidTr="00E720DA">
        <w:trPr>
          <w:trHeight w:val="2662"/>
        </w:trPr>
        <w:tc>
          <w:tcPr>
            <w:tcW w:w="2122" w:type="dxa"/>
          </w:tcPr>
          <w:p w14:paraId="5B0B5544" w14:textId="77777777" w:rsidR="00CB68DC" w:rsidRPr="003E58C5" w:rsidRDefault="00CB68DC" w:rsidP="00E720D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>FMF, TRAPS or MKD/HIDS</w:t>
            </w:r>
          </w:p>
        </w:tc>
        <w:tc>
          <w:tcPr>
            <w:tcW w:w="3654" w:type="dxa"/>
          </w:tcPr>
          <w:p w14:paraId="5CD2F728" w14:textId="77777777" w:rsidR="00CB68DC" w:rsidRPr="003E58C5" w:rsidRDefault="00CB68DC" w:rsidP="00CB68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FMF: 1 crisis per month over the past 12 months, despite maximum tolerated dose of colchicine, or documented intolerance despite preventative measures*</w:t>
            </w:r>
          </w:p>
          <w:p w14:paraId="24609120" w14:textId="77777777" w:rsidR="00CB68DC" w:rsidRPr="003E58C5" w:rsidRDefault="00CB68DC" w:rsidP="00CB68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TRAPS or MKD/HIDS: 1 attack per month over the past 12 or 6 months, respectively</w:t>
            </w:r>
          </w:p>
          <w:p w14:paraId="27AC3911" w14:textId="77777777" w:rsidR="00CB68DC" w:rsidRPr="003E58C5" w:rsidRDefault="00CB68DC" w:rsidP="00CB68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CRP ≥10 mg/l and</w:t>
            </w:r>
          </w:p>
          <w:p w14:paraId="1515FCBF" w14:textId="77777777" w:rsidR="00CB68DC" w:rsidRPr="003E58C5" w:rsidRDefault="00CB68DC" w:rsidP="00CB68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PGA score ≥2</w:t>
            </w:r>
          </w:p>
        </w:tc>
        <w:tc>
          <w:tcPr>
            <w:tcW w:w="3655" w:type="dxa"/>
          </w:tcPr>
          <w:p w14:paraId="078DEE60" w14:textId="77777777" w:rsidR="00CB68DC" w:rsidRPr="003E58C5" w:rsidRDefault="00CB68DC" w:rsidP="00E720DA">
            <w:pPr>
              <w:spacing w:after="0" w:line="240" w:lineRule="auto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Patients must meet the defined response criteria</w:t>
            </w:r>
            <w:r w:rsidRPr="003E58C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3E58C5">
              <w:rPr>
                <w:rFonts w:ascii="Arial" w:hAnsi="Arial" w:cs="Arial"/>
                <w:sz w:val="22"/>
                <w:szCs w:val="22"/>
              </w:rPr>
              <w:t>after 16 weeks and every 12 months thereafter</w:t>
            </w: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: </w:t>
            </w:r>
          </w:p>
          <w:p w14:paraId="6AFE9B2F" w14:textId="77777777" w:rsidR="00CB68DC" w:rsidRPr="003E58C5" w:rsidRDefault="00CB68DC" w:rsidP="00CB68D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CRP &lt;10 mg/l and/or &gt;70% reduction from baseline</w:t>
            </w:r>
          </w:p>
          <w:p w14:paraId="449450C3" w14:textId="77777777" w:rsidR="00CB68DC" w:rsidRPr="003E58C5" w:rsidRDefault="00CB68DC" w:rsidP="00CB68D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3E58C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PGA score &lt;2</w:t>
            </w:r>
          </w:p>
        </w:tc>
      </w:tr>
    </w:tbl>
    <w:p w14:paraId="3E005182" w14:textId="77777777" w:rsidR="00CB68DC" w:rsidRPr="003E58C5" w:rsidRDefault="00CB68DC" w:rsidP="00CB68DC">
      <w:pPr>
        <w:spacing w:after="0"/>
        <w:rPr>
          <w:rFonts w:ascii="Arial" w:eastAsia="Calibri" w:hAnsi="Arial" w:cs="Arial"/>
          <w:sz w:val="22"/>
          <w:szCs w:val="22"/>
          <w:lang w:val="en-US" w:eastAsia="en-US"/>
        </w:rPr>
      </w:pPr>
      <w:r w:rsidRPr="003E58C5">
        <w:rPr>
          <w:rFonts w:ascii="Arial" w:eastAsia="Calibri" w:hAnsi="Arial" w:cs="Arial"/>
          <w:sz w:val="22"/>
          <w:szCs w:val="22"/>
          <w:lang w:val="en-US" w:eastAsia="en-US"/>
        </w:rPr>
        <w:t xml:space="preserve">*Per colchicine SmPC </w:t>
      </w:r>
      <w:r w:rsidRPr="003E58C5">
        <w:rPr>
          <w:rFonts w:ascii="Arial" w:eastAsia="Calibri" w:hAnsi="Arial" w:cs="Arial"/>
          <w:sz w:val="22"/>
          <w:szCs w:val="22"/>
          <w:lang w:val="en-US" w:eastAsia="en-US"/>
        </w:rPr>
        <w:fldChar w:fldCharType="begin"/>
      </w:r>
      <w:r w:rsidRPr="003E58C5">
        <w:rPr>
          <w:rFonts w:ascii="Arial" w:eastAsia="Calibri" w:hAnsi="Arial" w:cs="Arial"/>
          <w:sz w:val="22"/>
          <w:szCs w:val="22"/>
          <w:lang w:val="en-US" w:eastAsia="en-US"/>
        </w:rPr>
        <w:instrText xml:space="preserve"> ADDIN EN.CITE &lt;EndNote&gt;&lt;Cite ExcludeYear="1"&gt;&lt;Author&gt;Electronic Medicines Compendium (EMC)&lt;/Author&gt;&lt;RecNum&gt;4106&lt;/RecNum&gt;&lt;DisplayText&gt;[36]&lt;/DisplayText&gt;&lt;record&gt;&lt;rec-number&gt;4106&lt;/rec-number&gt;&lt;foreign-keys&gt;&lt;key app="EN" db-id="0xffspesyar2vme52edxa9x522pdrxer2xvs" timestamp="1745503973" guid="458e3f64-fbfd-4231-ac66-1e8aed62158c"&gt;4106&lt;/key&gt;&lt;/foreign-keys&gt;&lt;ref-type name="Electronic Article"&gt;43&lt;/ref-type&gt;&lt;contributors&gt;&lt;authors&gt;&lt;author&gt;Electronic Medicines Compendium (EMC),&lt;/author&gt;&lt;/authors&gt;&lt;/contributors&gt;&lt;titles&gt;&lt;title&gt;Colchicine. Summary of Product Characteristics (SmPC). https://www.medicines.org.uk/emc/product/6415/smpc. Accessed 24 April 2025&lt;/title&gt;&lt;/titles&gt;&lt;dates&gt;&lt;/dates&gt;&lt;urls&gt;&lt;/urls&gt;&lt;/record&gt;&lt;/Cite&gt;&lt;/EndNote&gt;</w:instrText>
      </w:r>
      <w:r w:rsidRPr="003E58C5">
        <w:rPr>
          <w:rFonts w:ascii="Arial" w:eastAsia="Calibri" w:hAnsi="Arial" w:cs="Arial"/>
          <w:sz w:val="22"/>
          <w:szCs w:val="22"/>
          <w:lang w:val="en-US" w:eastAsia="en-US"/>
        </w:rPr>
        <w:fldChar w:fldCharType="separate"/>
      </w:r>
      <w:r w:rsidRPr="003E58C5">
        <w:rPr>
          <w:rFonts w:ascii="Arial" w:eastAsia="Calibri" w:hAnsi="Arial" w:cs="Arial"/>
          <w:noProof/>
          <w:sz w:val="22"/>
          <w:szCs w:val="22"/>
          <w:lang w:val="en-US" w:eastAsia="en-US"/>
        </w:rPr>
        <w:t>[36]</w:t>
      </w:r>
      <w:r w:rsidRPr="003E58C5">
        <w:rPr>
          <w:rFonts w:ascii="Arial" w:eastAsia="Calibri" w:hAnsi="Arial" w:cs="Arial"/>
          <w:sz w:val="22"/>
          <w:szCs w:val="22"/>
          <w:lang w:val="en-US" w:eastAsia="en-US"/>
        </w:rPr>
        <w:fldChar w:fldCharType="end"/>
      </w:r>
    </w:p>
    <w:p w14:paraId="72335E60" w14:textId="3AE3510C" w:rsidR="00564179" w:rsidRPr="00371745" w:rsidRDefault="00CB68DC" w:rsidP="00371745">
      <w:pPr>
        <w:spacing w:after="0"/>
        <w:rPr>
          <w:rFonts w:ascii="Arial" w:eastAsia="Calibri" w:hAnsi="Arial" w:cs="Arial"/>
          <w:sz w:val="22"/>
          <w:szCs w:val="22"/>
          <w:lang w:eastAsia="en-US"/>
        </w:rPr>
      </w:pPr>
      <w:r w:rsidRPr="003E58C5">
        <w:rPr>
          <w:rFonts w:ascii="Arial" w:eastAsia="Calibri" w:hAnsi="Arial" w:cs="Arial"/>
          <w:sz w:val="22"/>
          <w:szCs w:val="22"/>
          <w:lang w:val="en-US" w:eastAsia="en-US"/>
        </w:rPr>
        <w:t>ACR, American College of Rheumatology; CRP, C-reactive protein; FMF, familial Mediterranean fever; HIDS, hyperimmunoglobulinemia D syndrome; MKD, mevalonate kinase deficiency; NSAID, non-steroidal anti-inflammatory drug; PGA, physician’s global assessment; SmPC, summary of product characteristics; TRAPS, tumor necrosis factor receptor-associated periodic syndrome.</w:t>
      </w:r>
      <w:r w:rsidRPr="004346AC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</w:p>
    <w:sectPr w:rsidR="00564179" w:rsidRPr="00371745" w:rsidSect="00CB68DC">
      <w:pgSz w:w="11906" w:h="16838" w:code="9"/>
      <w:pgMar w:top="1440" w:right="1440" w:bottom="1440" w:left="1440" w:header="709" w:footer="222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6D6"/>
    <w:multiLevelType w:val="hybridMultilevel"/>
    <w:tmpl w:val="8BB04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04967"/>
    <w:multiLevelType w:val="hybridMultilevel"/>
    <w:tmpl w:val="4DD2D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740158">
    <w:abstractNumId w:val="1"/>
  </w:num>
  <w:num w:numId="2" w16cid:durableId="1932082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DC"/>
    <w:rsid w:val="0006010D"/>
    <w:rsid w:val="00152EB7"/>
    <w:rsid w:val="001B1C7C"/>
    <w:rsid w:val="00351D22"/>
    <w:rsid w:val="00371745"/>
    <w:rsid w:val="00564179"/>
    <w:rsid w:val="00794A77"/>
    <w:rsid w:val="009C68AD"/>
    <w:rsid w:val="00A620A6"/>
    <w:rsid w:val="00B332F9"/>
    <w:rsid w:val="00C25F44"/>
    <w:rsid w:val="00CB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A8BA2"/>
  <w15:chartTrackingRefBased/>
  <w15:docId w15:val="{15425753-1643-4BE4-92AF-F33A9686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8DC"/>
    <w:pPr>
      <w:spacing w:after="240" w:line="48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CB6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8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8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8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8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8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8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8D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B68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8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8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8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CB68DC"/>
    <w:pPr>
      <w:spacing w:after="240" w:line="48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68DC"/>
  </w:style>
  <w:style w:type="character" w:styleId="LineNumber">
    <w:name w:val="line number"/>
    <w:basedOn w:val="DefaultParagraphFont"/>
    <w:uiPriority w:val="99"/>
    <w:semiHidden/>
    <w:unhideWhenUsed/>
    <w:rsid w:val="00CB68DC"/>
  </w:style>
  <w:style w:type="paragraph" w:customStyle="1" w:styleId="Tabletext">
    <w:name w:val="Table text"/>
    <w:basedOn w:val="Normal"/>
    <w:rsid w:val="00CB68DC"/>
    <w:pPr>
      <w:spacing w:before="120" w:after="120" w:line="240" w:lineRule="auto"/>
    </w:pPr>
  </w:style>
  <w:style w:type="character" w:styleId="Hyperlink">
    <w:name w:val="Hyperlink"/>
    <w:basedOn w:val="DefaultParagraphFont"/>
    <w:semiHidden/>
    <w:rsid w:val="00CB68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Atkinson</dc:creator>
  <cp:keywords/>
  <dc:description/>
  <cp:lastModifiedBy>Tracey Atkinson</cp:lastModifiedBy>
  <cp:revision>3</cp:revision>
  <dcterms:created xsi:type="dcterms:W3CDTF">2025-05-06T13:20:00Z</dcterms:created>
  <dcterms:modified xsi:type="dcterms:W3CDTF">2025-05-06T13:38:00Z</dcterms:modified>
</cp:coreProperties>
</file>