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14B08">
      <w:pPr>
        <w:spacing w:before="120" w:after="120" w:line="240" w:lineRule="auto"/>
        <w:rPr>
          <w:rFonts w:eastAsiaTheme="majorEastAsia" w:cstheme="minorHAnsi"/>
          <w:b/>
          <w:color w:val="0070C0"/>
          <w:spacing w:val="-10"/>
          <w:kern w:val="28"/>
          <w:sz w:val="36"/>
          <w:szCs w:val="36"/>
          <w:lang w:val="en-US"/>
        </w:rPr>
      </w:pPr>
      <w:bookmarkStart w:id="0" w:name="_GoBack"/>
      <w:bookmarkEnd w:id="0"/>
      <w:r>
        <w:rPr>
          <w:rFonts w:eastAsiaTheme="majorEastAsia" w:cstheme="minorHAnsi"/>
          <w:b/>
          <w:color w:val="0070C0"/>
          <w:spacing w:val="-10"/>
          <w:kern w:val="28"/>
          <w:sz w:val="36"/>
          <w:szCs w:val="36"/>
          <w:lang w:val="en-US"/>
        </w:rPr>
        <w:t>Artificial Intelligence (AI) in Rheumatology: A comparative evaluation of the ChatGPT and DeepSeek application</w:t>
      </w:r>
    </w:p>
    <w:p w14:paraId="361F7810">
      <w:pPr>
        <w:spacing w:before="120" w:after="120" w:line="240" w:lineRule="auto"/>
        <w:rPr>
          <w:b/>
          <w:sz w:val="28"/>
          <w:szCs w:val="28"/>
          <w:vertAlign w:val="superscript"/>
          <w:lang w:val="en-US"/>
        </w:rPr>
      </w:pPr>
      <w:r>
        <w:rPr>
          <w:b/>
          <w:sz w:val="28"/>
          <w:szCs w:val="28"/>
          <w:lang w:val="en-US"/>
        </w:rPr>
        <w:t>Maria Polyzou</w:t>
      </w:r>
      <w:r>
        <w:rPr>
          <w:b/>
          <w:sz w:val="28"/>
          <w:szCs w:val="28"/>
          <w:vertAlign w:val="superscript"/>
          <w:lang w:val="en-US"/>
        </w:rPr>
        <w:t>1,2</w:t>
      </w:r>
      <w:r>
        <w:rPr>
          <w:b/>
          <w:sz w:val="28"/>
          <w:szCs w:val="28"/>
          <w:lang w:val="en-US"/>
        </w:rPr>
        <w:t>*, Xenofon Baraliakos</w:t>
      </w:r>
      <w:r>
        <w:rPr>
          <w:b/>
          <w:sz w:val="28"/>
          <w:szCs w:val="28"/>
          <w:vertAlign w:val="superscript"/>
          <w:lang w:val="en-US"/>
        </w:rPr>
        <w:t>2</w:t>
      </w:r>
    </w:p>
    <w:p w14:paraId="0E1A5558">
      <w:pPr>
        <w:spacing w:after="80" w:line="240" w:lineRule="auto"/>
        <w:rPr>
          <w:sz w:val="24"/>
          <w:szCs w:val="24"/>
          <w:lang w:val="en-US"/>
        </w:rPr>
      </w:pPr>
      <w:r>
        <w:rPr>
          <w:b/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lang w:val="en-US"/>
        </w:rPr>
        <w:t>Department of Pathophysiology, School of Medicine, National and Kapodistrian University of Athens, Laiko General Hospital, Athens, Greece</w:t>
      </w:r>
    </w:p>
    <w:p w14:paraId="5DBE19C9">
      <w:pPr>
        <w:spacing w:after="80" w:line="240" w:lineRule="auto"/>
        <w:rPr>
          <w:sz w:val="24"/>
          <w:szCs w:val="24"/>
          <w:lang w:val="de-DE"/>
        </w:rPr>
      </w:pPr>
      <w:r>
        <w:rPr>
          <w:b/>
          <w:sz w:val="24"/>
          <w:szCs w:val="24"/>
          <w:vertAlign w:val="superscript"/>
          <w:lang w:val="de-DE"/>
        </w:rPr>
        <w:t>2</w:t>
      </w:r>
      <w:r>
        <w:rPr>
          <w:sz w:val="24"/>
          <w:szCs w:val="24"/>
          <w:lang w:val="de-DE"/>
        </w:rPr>
        <w:t>Ruhr-University Bochum, Rheumazentrum Ruhrgebiet, Ruhr-University Bochum, Herne, Germany</w:t>
      </w:r>
    </w:p>
    <w:p w14:paraId="5AB0C7F7">
      <w:pPr>
        <w:spacing w:after="80" w:line="240" w:lineRule="auto"/>
        <w:rPr>
          <w:lang w:val="en-US"/>
        </w:rPr>
      </w:pPr>
      <w:r>
        <w:rPr>
          <w:b/>
          <w:lang w:val="en-US"/>
        </w:rPr>
        <w:t>*</w:t>
      </w:r>
      <w:r>
        <w:rPr>
          <w:lang w:val="en-US"/>
        </w:rPr>
        <w:t xml:space="preserve">Corresponding author: Maria Polyzou, email: </w:t>
      </w:r>
      <w:r>
        <w:fldChar w:fldCharType="begin"/>
      </w:r>
      <w:r>
        <w:instrText xml:space="preserve"> HYPERLINK "mailto:mary_polyzou@hotmail.com" </w:instrText>
      </w:r>
      <w:r>
        <w:fldChar w:fldCharType="separate"/>
      </w:r>
      <w:r>
        <w:rPr>
          <w:rStyle w:val="10"/>
          <w:lang w:val="en-US"/>
        </w:rPr>
        <w:t>mary_polyzou@hotmail.com</w:t>
      </w:r>
      <w:r>
        <w:rPr>
          <w:rStyle w:val="10"/>
          <w:lang w:val="en-US"/>
        </w:rPr>
        <w:fldChar w:fldCharType="end"/>
      </w:r>
      <w:r>
        <w:rPr>
          <w:lang w:val="en-US"/>
        </w:rPr>
        <w:t xml:space="preserve"> </w:t>
      </w:r>
    </w:p>
    <w:p w14:paraId="2DD2B869">
      <w:pPr>
        <w:spacing w:before="120" w:after="60"/>
        <w:rPr>
          <w:b/>
          <w:color w:val="0070C0"/>
          <w:sz w:val="28"/>
          <w:szCs w:val="28"/>
          <w:lang w:val="en-US"/>
        </w:rPr>
      </w:pPr>
    </w:p>
    <w:p w14:paraId="2F6E7B5F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p w14:paraId="0225AC15">
      <w:pPr>
        <w:spacing w:after="0"/>
        <w:ind w:firstLine="567"/>
        <w:jc w:val="both"/>
        <w:rPr>
          <w:sz w:val="24"/>
          <w:szCs w:val="24"/>
          <w:lang w:val="en-US"/>
        </w:rPr>
      </w:pPr>
    </w:p>
    <w:p w14:paraId="11D39F20">
      <w:pPr>
        <w:spacing w:after="120" w:line="240" w:lineRule="auto"/>
        <w:jc w:val="both"/>
        <w:rPr>
          <w:rFonts w:cstheme="minorHAnsi"/>
          <w:b/>
          <w:color w:val="0070C0"/>
          <w:sz w:val="28"/>
          <w:szCs w:val="28"/>
          <w:lang w:val="en-US"/>
        </w:rPr>
      </w:pPr>
      <w:r>
        <w:rPr>
          <w:rFonts w:cstheme="minorHAnsi"/>
          <w:b/>
          <w:color w:val="0070C0"/>
          <w:sz w:val="28"/>
          <w:szCs w:val="28"/>
          <w:lang w:val="en-US"/>
        </w:rPr>
        <w:t>APPENDIX</w:t>
      </w:r>
    </w:p>
    <w:p w14:paraId="0E301A81">
      <w:pPr>
        <w:spacing w:before="120" w:after="120" w:line="240" w:lineRule="auto"/>
        <w:jc w:val="both"/>
        <w:rPr>
          <w:rFonts w:cstheme="minorHAnsi"/>
          <w:b/>
          <w:color w:val="0070C0"/>
          <w:sz w:val="24"/>
          <w:szCs w:val="24"/>
          <w:lang w:val="en-US"/>
        </w:rPr>
      </w:pPr>
      <w:r>
        <w:rPr>
          <w:rFonts w:cstheme="minorHAnsi"/>
          <w:b/>
          <w:color w:val="0070C0"/>
          <w:sz w:val="24"/>
          <w:szCs w:val="24"/>
          <w:lang w:val="en-US"/>
        </w:rPr>
        <w:t>Table A-1: Questions given to answer in the ChatGPT and DeepSeek models</w:t>
      </w:r>
    </w:p>
    <w:p w14:paraId="50BF188F">
      <w:pPr>
        <w:spacing w:after="0"/>
        <w:rPr>
          <w:b/>
          <w:color w:val="0070C0"/>
          <w:highlight w:val="lightGray"/>
          <w:lang w:val="en-US"/>
        </w:rPr>
      </w:pPr>
      <w:r>
        <w:rPr>
          <w:b/>
          <w:color w:val="843C0B" w:themeColor="accent2" w:themeShade="80"/>
          <w:sz w:val="24"/>
          <w:szCs w:val="24"/>
          <w:highlight w:val="lightGray"/>
          <w:lang w:val="en-US"/>
        </w:rPr>
        <w:t>Prompt</w:t>
      </w:r>
      <w:r>
        <w:rPr>
          <w:b/>
          <w:color w:val="0070C0"/>
          <w:highlight w:val="lightGray"/>
          <w:lang w:val="en-US"/>
        </w:rPr>
        <w:t>:</w:t>
      </w:r>
    </w:p>
    <w:p w14:paraId="567A626D">
      <w:pPr>
        <w:spacing w:before="80" w:after="120" w:line="240" w:lineRule="auto"/>
        <w:jc w:val="both"/>
        <w:rPr>
          <w:rFonts w:cstheme="minorHAnsi"/>
          <w:b/>
          <w:sz w:val="24"/>
          <w:szCs w:val="24"/>
          <w:lang w:val="en-US"/>
        </w:rPr>
      </w:pPr>
      <w:r>
        <w:rPr>
          <w:highlight w:val="lightGray"/>
          <w:lang w:val="en-US"/>
        </w:rPr>
        <w:t>Please answer one-by-one the following questions including information of the exact model version and the inference parameters (temperature, top-p, number of runs) you used:</w:t>
      </w:r>
    </w:p>
    <w:tbl>
      <w:tblPr>
        <w:tblStyle w:val="13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930"/>
      </w:tblGrid>
      <w:tr w14:paraId="166A1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7CAAC" w:themeFill="accent2" w:themeFillTint="66"/>
          </w:tcPr>
          <w:p w14:paraId="00520072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8930" w:type="dxa"/>
            <w:shd w:val="clear" w:color="auto" w:fill="F7CAAC" w:themeFill="accent2" w:themeFillTint="66"/>
          </w:tcPr>
          <w:p w14:paraId="03D5F26C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Question</w:t>
            </w:r>
          </w:p>
        </w:tc>
      </w:tr>
      <w:tr w14:paraId="6169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5B8F66C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8930" w:type="dxa"/>
          </w:tcPr>
          <w:p w14:paraId="5DDD0496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is the percentage of patients in the Rhineland-Westphalia region of Germany aged 26 to 72 years, who suffer from axSpA and present at the time of diagnosis with morning stiffness in the spine?</w:t>
            </w:r>
          </w:p>
        </w:tc>
      </w:tr>
      <w:tr w14:paraId="3162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A1A79C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</w:t>
            </w:r>
          </w:p>
        </w:tc>
        <w:tc>
          <w:tcPr>
            <w:tcW w:w="8930" w:type="dxa"/>
          </w:tcPr>
          <w:p w14:paraId="08BB25B8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is the percentage of patients in the Rhineland-Westphalia region of Germany, aged 26 to 72 years, who suffer from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and present at the time of diagnosis with morning stiffness in the spine?</w:t>
            </w:r>
          </w:p>
        </w:tc>
      </w:tr>
      <w:tr w14:paraId="52A2E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F437530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3</w:t>
            </w:r>
          </w:p>
        </w:tc>
        <w:tc>
          <w:tcPr>
            <w:tcW w:w="8930" w:type="dxa"/>
          </w:tcPr>
          <w:p w14:paraId="11A200C9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in the Rhineland-Westphalia region of Germany, aged 26 to 72 years with axSpA, have a history of psoriasis?</w:t>
            </w:r>
          </w:p>
        </w:tc>
      </w:tr>
      <w:tr w14:paraId="446F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649CC886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4</w:t>
            </w:r>
          </w:p>
        </w:tc>
        <w:tc>
          <w:tcPr>
            <w:tcW w:w="8930" w:type="dxa"/>
          </w:tcPr>
          <w:p w14:paraId="4445D882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percentage of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patients in the Rhineland-Westphalia region of Germany, aged 26 to 72 years have psoriasis?</w:t>
            </w:r>
          </w:p>
        </w:tc>
      </w:tr>
      <w:tr w14:paraId="78D9D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31717D6C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5</w:t>
            </w:r>
          </w:p>
        </w:tc>
        <w:tc>
          <w:tcPr>
            <w:tcW w:w="8930" w:type="dxa"/>
          </w:tcPr>
          <w:p w14:paraId="6C1FCFB4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in the Rhineland-Westphalia region of Germany, aged 26 to 72 years with axSpA have pain improvement with the use of NSAIDs?</w:t>
            </w:r>
          </w:p>
        </w:tc>
      </w:tr>
      <w:tr w14:paraId="679A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2DCC0C34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6</w:t>
            </w:r>
          </w:p>
        </w:tc>
        <w:tc>
          <w:tcPr>
            <w:tcW w:w="8930" w:type="dxa"/>
          </w:tcPr>
          <w:p w14:paraId="70108F81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How many patients in the Rhineland-Westphalia region of Germany, aged 26 to 72 years with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have pain improvement with the use of NSAIDs?</w:t>
            </w:r>
          </w:p>
        </w:tc>
      </w:tr>
      <w:tr w14:paraId="0827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6FDA2803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7</w:t>
            </w:r>
          </w:p>
        </w:tc>
        <w:tc>
          <w:tcPr>
            <w:tcW w:w="8930" w:type="dxa"/>
          </w:tcPr>
          <w:p w14:paraId="1A15EC1A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At what age does axSpA occur in the Rhineland-Westphalia region of Germany?</w:t>
            </w:r>
          </w:p>
        </w:tc>
      </w:tr>
      <w:tr w14:paraId="69883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04" w:type="dxa"/>
            <w:shd w:val="clear" w:color="auto" w:fill="DEEAF6" w:themeFill="accent1" w:themeFillTint="33"/>
          </w:tcPr>
          <w:p w14:paraId="5D5517C6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8</w:t>
            </w:r>
          </w:p>
        </w:tc>
        <w:tc>
          <w:tcPr>
            <w:tcW w:w="8930" w:type="dxa"/>
          </w:tcPr>
          <w:p w14:paraId="51F1926A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At what age does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occur in the Rhineland-Westphalia region of Germany?</w:t>
            </w:r>
          </w:p>
        </w:tc>
      </w:tr>
      <w:tr w14:paraId="5493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1AEE49C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9</w:t>
            </w:r>
          </w:p>
        </w:tc>
        <w:tc>
          <w:tcPr>
            <w:tcW w:w="8930" w:type="dxa"/>
          </w:tcPr>
          <w:p w14:paraId="07C5CE88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is the male/female ratio in axSpA in the Rhineland-Westphalia region of Germany in patients aged 26 to 72 years?</w:t>
            </w:r>
          </w:p>
        </w:tc>
      </w:tr>
      <w:tr w14:paraId="58B5B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F16063F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10</w:t>
            </w:r>
          </w:p>
        </w:tc>
        <w:tc>
          <w:tcPr>
            <w:tcW w:w="8930" w:type="dxa"/>
          </w:tcPr>
          <w:p w14:paraId="419A4AD6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is the male/female ratio in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in the Rhineland-Westphalia region of Germany in patients aged 26 to 72 years?</w:t>
            </w:r>
          </w:p>
        </w:tc>
      </w:tr>
      <w:tr w14:paraId="3A410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6DED9024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11</w:t>
            </w:r>
          </w:p>
        </w:tc>
        <w:tc>
          <w:tcPr>
            <w:tcW w:w="8930" w:type="dxa"/>
          </w:tcPr>
          <w:p w14:paraId="711418DA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is the percentage that the layperson's possible diagnosis of axSpA in the Rhineland-Westphalia region of Germany in patients aged 26 to 72 years, coincides with the specialist's diagnosis?</w:t>
            </w:r>
          </w:p>
        </w:tc>
      </w:tr>
      <w:tr w14:paraId="632AB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3BE9DD54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12</w:t>
            </w:r>
          </w:p>
        </w:tc>
        <w:tc>
          <w:tcPr>
            <w:tcW w:w="8930" w:type="dxa"/>
          </w:tcPr>
          <w:p w14:paraId="0BCF22BD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is the percentage that the lay doctor's possible diagnosis of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in the Rhineland-Westphalia region of Germany in patients aged 26 to 72 years, coincides with the specialist's diagnosis?</w:t>
            </w:r>
          </w:p>
        </w:tc>
      </w:tr>
      <w:tr w14:paraId="1C42B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0077E175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13</w:t>
            </w:r>
          </w:p>
        </w:tc>
        <w:tc>
          <w:tcPr>
            <w:tcW w:w="8930" w:type="dxa"/>
          </w:tcPr>
          <w:p w14:paraId="68D36D09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aged 26 to 72 years in the Rhineland-Westphalia region of Germany are HLAB27 positive in axSpA?</w:t>
            </w:r>
          </w:p>
        </w:tc>
      </w:tr>
      <w:tr w14:paraId="7FB3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51E6956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14</w:t>
            </w:r>
          </w:p>
        </w:tc>
        <w:tc>
          <w:tcPr>
            <w:tcW w:w="8930" w:type="dxa"/>
          </w:tcPr>
          <w:p w14:paraId="3197B72E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percentage of patients aged 26 to 72 years in the Rhineland-Westphalia region of Germany are HLAB27 positive in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PsA</w:t>
            </w:r>
            <w:r>
              <w:rPr>
                <w:rFonts w:eastAsia="Times New Roman" w:cstheme="minorHAnsi"/>
                <w:lang w:val="en-US"/>
              </w:rPr>
              <w:t>?</w:t>
            </w:r>
          </w:p>
        </w:tc>
      </w:tr>
      <w:tr w14:paraId="77DDA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9022ADD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15</w:t>
            </w:r>
          </w:p>
        </w:tc>
        <w:tc>
          <w:tcPr>
            <w:tcW w:w="8930" w:type="dxa"/>
          </w:tcPr>
          <w:p w14:paraId="2813BDB1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aged 26 to 72 years in the Rhineland-Westphalia region of Germany, who are smokers develop axSpA?</w:t>
            </w:r>
          </w:p>
        </w:tc>
      </w:tr>
      <w:tr w14:paraId="5CDA5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5D55A630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16</w:t>
            </w:r>
          </w:p>
        </w:tc>
        <w:tc>
          <w:tcPr>
            <w:tcW w:w="8930" w:type="dxa"/>
          </w:tcPr>
          <w:p w14:paraId="69D3BEDB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is the percentage of patients aged 26 to 72 years in the Rhineland-Westphalia region of Germany, who are smokers and develop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PsA</w:t>
            </w:r>
            <w:r>
              <w:rPr>
                <w:rFonts w:eastAsia="Times New Roman" w:cstheme="minorHAnsi"/>
                <w:lang w:val="en-US"/>
              </w:rPr>
              <w:t>?</w:t>
            </w:r>
          </w:p>
        </w:tc>
      </w:tr>
      <w:tr w14:paraId="3568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2B5F358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17</w:t>
            </w:r>
          </w:p>
        </w:tc>
        <w:tc>
          <w:tcPr>
            <w:tcW w:w="8930" w:type="dxa"/>
          </w:tcPr>
          <w:p w14:paraId="144A92AC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is the percentage of patients</w:t>
            </w:r>
            <w:r>
              <w:rPr>
                <w:rFonts w:cstheme="minorHAnsi"/>
                <w:lang w:val="en-US"/>
              </w:rPr>
              <w:t xml:space="preserve"> </w:t>
            </w:r>
            <w:r>
              <w:rPr>
                <w:rFonts w:eastAsia="Times New Roman" w:cstheme="minorHAnsi"/>
                <w:lang w:val="en-US"/>
              </w:rPr>
              <w:t>aged 26 to 72 years in the Rhineland-Westphalia region of Germany, who have a positive MRI for sacroiliitis at the time of diagnosis of axSpA?</w:t>
            </w:r>
          </w:p>
        </w:tc>
      </w:tr>
      <w:tr w14:paraId="71C85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6267F2AB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18</w:t>
            </w:r>
          </w:p>
        </w:tc>
        <w:tc>
          <w:tcPr>
            <w:tcW w:w="8930" w:type="dxa"/>
          </w:tcPr>
          <w:p w14:paraId="1D5E6037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is the percentage of patients aged 26 to 72 years in the Rhineland-Westphalia region of Germany, who have a positive MRI for sacroiliitis at the time of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diagnosis?</w:t>
            </w:r>
          </w:p>
        </w:tc>
      </w:tr>
      <w:tr w14:paraId="4425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C9767F0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19</w:t>
            </w:r>
          </w:p>
        </w:tc>
        <w:tc>
          <w:tcPr>
            <w:tcW w:w="8930" w:type="dxa"/>
          </w:tcPr>
          <w:p w14:paraId="74029848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aged 26 to 72 years in the Rhineland-Westphalia region of Germany with axSpA develop uveitis?</w:t>
            </w:r>
          </w:p>
        </w:tc>
      </w:tr>
      <w:tr w14:paraId="6056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237222F7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20</w:t>
            </w:r>
          </w:p>
        </w:tc>
        <w:tc>
          <w:tcPr>
            <w:tcW w:w="8930" w:type="dxa"/>
          </w:tcPr>
          <w:p w14:paraId="0A184CFD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percentage of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patients aged 26 to 72 years in the Rhineland-Westphalia region of Germany develop uveitis?</w:t>
            </w:r>
          </w:p>
        </w:tc>
      </w:tr>
      <w:tr w14:paraId="1758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E82146C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21</w:t>
            </w:r>
          </w:p>
        </w:tc>
        <w:tc>
          <w:tcPr>
            <w:tcW w:w="8930" w:type="dxa"/>
          </w:tcPr>
          <w:p w14:paraId="5D6FE29C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with axSpA aged 26 to 72 years in the Rhineland-Westphalia region of Germany experience diarrhea?</w:t>
            </w:r>
          </w:p>
        </w:tc>
      </w:tr>
      <w:tr w14:paraId="32268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7E0C5A9B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22</w:t>
            </w:r>
          </w:p>
        </w:tc>
        <w:tc>
          <w:tcPr>
            <w:tcW w:w="8930" w:type="dxa"/>
          </w:tcPr>
          <w:p w14:paraId="00C157A9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percentage of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patients aged 26 to 72 years in the Rhineland-Westphalia region of Germany experience diarrhea?</w:t>
            </w:r>
          </w:p>
        </w:tc>
      </w:tr>
      <w:tr w14:paraId="5450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68C35E5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23</w:t>
            </w:r>
          </w:p>
        </w:tc>
        <w:tc>
          <w:tcPr>
            <w:tcW w:w="8930" w:type="dxa"/>
          </w:tcPr>
          <w:p w14:paraId="3D4B32C6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with axSpA</w:t>
            </w:r>
            <w:r>
              <w:rPr>
                <w:rFonts w:cstheme="minorHAnsi"/>
                <w:lang w:val="en-US"/>
              </w:rPr>
              <w:t xml:space="preserve"> </w:t>
            </w:r>
            <w:r>
              <w:rPr>
                <w:rFonts w:eastAsia="Times New Roman" w:cstheme="minorHAnsi"/>
                <w:lang w:val="en-US"/>
              </w:rPr>
              <w:t>aged 26 to 72 years in the Rhineland-Westphalia region of Germany experience dactylitis?</w:t>
            </w:r>
          </w:p>
        </w:tc>
      </w:tr>
      <w:tr w14:paraId="2909B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736B4B47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24</w:t>
            </w:r>
          </w:p>
        </w:tc>
        <w:tc>
          <w:tcPr>
            <w:tcW w:w="8930" w:type="dxa"/>
          </w:tcPr>
          <w:p w14:paraId="138DD0EC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percentage of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patients aged 26 to 72 years in the Rhineland-Westphalia region of Germany experience digitalis?</w:t>
            </w:r>
          </w:p>
        </w:tc>
      </w:tr>
      <w:tr w14:paraId="077FF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657C1E80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25</w:t>
            </w:r>
          </w:p>
        </w:tc>
        <w:tc>
          <w:tcPr>
            <w:tcW w:w="8930" w:type="dxa"/>
          </w:tcPr>
          <w:p w14:paraId="44AD6690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with axSpA aged 26 to 72 years in the Rhineland-Westphalia region of Germany have limited range of motion at the time of diagnosis?</w:t>
            </w:r>
          </w:p>
        </w:tc>
      </w:tr>
      <w:tr w14:paraId="4E6B3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0D70CFE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26</w:t>
            </w:r>
          </w:p>
        </w:tc>
        <w:tc>
          <w:tcPr>
            <w:tcW w:w="8930" w:type="dxa"/>
          </w:tcPr>
          <w:p w14:paraId="3D607DBB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percentage of patients with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aged 26 to 72 years in the Rhineland-Westphalia region of Germany </w:t>
            </w:r>
            <w:r>
              <w:rPr>
                <w:rFonts w:eastAsia="Times New Roman" w:cstheme="minorHAnsi"/>
                <w:lang w:val="en-US"/>
              </w:rPr>
              <w:t>have limited range of motion at the time of diagnosis?</w:t>
            </w:r>
          </w:p>
        </w:tc>
      </w:tr>
      <w:tr w14:paraId="21D2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67FC49B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27</w:t>
            </w:r>
          </w:p>
        </w:tc>
        <w:tc>
          <w:tcPr>
            <w:tcW w:w="8930" w:type="dxa"/>
          </w:tcPr>
          <w:p w14:paraId="341666D7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What percentage of patients with axSpA aged 26 to 72 years in the Rhineland-Westphalia region of Germany have elevated CRP?</w:t>
            </w:r>
          </w:p>
        </w:tc>
      </w:tr>
      <w:tr w14:paraId="3A21C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382C83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28</w:t>
            </w:r>
          </w:p>
        </w:tc>
        <w:tc>
          <w:tcPr>
            <w:tcW w:w="8930" w:type="dxa"/>
          </w:tcPr>
          <w:p w14:paraId="509E326B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 xml:space="preserve">What percentage of </w:t>
            </w:r>
            <w:r>
              <w:rPr>
                <w:rFonts w:cstheme="minorHAns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PsA </w:t>
            </w:r>
            <w:r>
              <w:rPr>
                <w:rFonts w:eastAsia="Times New Roman" w:cstheme="minorHAnsi"/>
                <w:lang w:val="en-US"/>
              </w:rPr>
              <w:t>patients aged 26 to 72 years in the Rhineland-Westphalia region of Germany have elevated CRP?</w:t>
            </w:r>
          </w:p>
        </w:tc>
      </w:tr>
    </w:tbl>
    <w:p w14:paraId="0D2E6237">
      <w:pPr>
        <w:spacing w:before="120" w:after="120" w:line="240" w:lineRule="auto"/>
        <w:jc w:val="both"/>
        <w:rPr>
          <w:rFonts w:cstheme="minorHAnsi"/>
          <w:b/>
          <w:color w:val="0070C0"/>
          <w:sz w:val="24"/>
          <w:szCs w:val="24"/>
          <w:lang w:val="en-US"/>
        </w:rPr>
      </w:pPr>
    </w:p>
    <w:p w14:paraId="5747CD38">
      <w:pPr>
        <w:spacing w:before="120" w:after="120" w:line="240" w:lineRule="auto"/>
        <w:jc w:val="both"/>
        <w:rPr>
          <w:rFonts w:cstheme="minorHAnsi"/>
          <w:b/>
          <w:color w:val="0070C0"/>
          <w:sz w:val="24"/>
          <w:szCs w:val="24"/>
          <w:lang w:val="en-US"/>
        </w:rPr>
      </w:pPr>
      <w:r>
        <w:rPr>
          <w:rFonts w:cstheme="minorHAnsi"/>
          <w:b/>
          <w:color w:val="0070C0"/>
          <w:sz w:val="24"/>
          <w:szCs w:val="24"/>
          <w:lang w:val="en-US"/>
        </w:rPr>
        <w:t xml:space="preserve">Table A-2: ChatGPT response results and clinical </w:t>
      </w:r>
      <w:r>
        <w:rPr>
          <w:rFonts w:cstheme="minorHAnsi"/>
          <w:b/>
          <w:color w:val="0070C0"/>
          <w:sz w:val="24"/>
          <w:szCs w:val="24"/>
          <w:highlight w:val="lightGray"/>
          <w:lang w:val="en-US"/>
        </w:rPr>
        <w:t>findings</w:t>
      </w:r>
    </w:p>
    <w:p w14:paraId="1E1AF004">
      <w:pPr>
        <w:spacing w:after="0"/>
        <w:rPr>
          <w:b/>
          <w:bCs/>
          <w:color w:val="843C0B" w:themeColor="accent2" w:themeShade="80"/>
          <w:sz w:val="24"/>
          <w:szCs w:val="24"/>
          <w:highlight w:val="lightGray"/>
          <w:lang w:val="en-US"/>
        </w:rPr>
      </w:pPr>
      <w:r>
        <w:rPr>
          <w:b/>
          <w:color w:val="843C0B" w:themeColor="accent2" w:themeShade="80"/>
          <w:sz w:val="24"/>
          <w:szCs w:val="24"/>
          <w:highlight w:val="lightGray"/>
          <w:lang w:val="en-US"/>
        </w:rPr>
        <w:t xml:space="preserve">Model: </w:t>
      </w:r>
      <w:r>
        <w:rPr>
          <w:b/>
          <w:bCs/>
          <w:color w:val="843C0B" w:themeColor="accent2" w:themeShade="80"/>
          <w:sz w:val="24"/>
          <w:szCs w:val="24"/>
          <w:highlight w:val="lightGray"/>
          <w:lang w:val="en-US"/>
        </w:rPr>
        <w:t xml:space="preserve">GPT-5 </w:t>
      </w:r>
    </w:p>
    <w:p w14:paraId="6C97CD26">
      <w:pPr>
        <w:spacing w:after="0"/>
        <w:rPr>
          <w:b/>
          <w:bCs/>
          <w:highlight w:val="lightGray"/>
          <w:lang w:val="en-US"/>
        </w:rPr>
      </w:pPr>
      <w:r>
        <w:rPr>
          <w:b/>
          <w:bCs/>
          <w:highlight w:val="lightGray"/>
          <w:lang w:val="en-US"/>
        </w:rPr>
        <w:t>Parameter - Typical Estimated Range - Purpose</w:t>
      </w:r>
    </w:p>
    <w:p w14:paraId="086A2827">
      <w:pPr>
        <w:spacing w:after="0"/>
        <w:rPr>
          <w:b/>
          <w:bCs/>
          <w:highlight w:val="lightGray"/>
          <w:lang w:val="en-US"/>
        </w:rPr>
      </w:pPr>
      <w:r>
        <w:rPr>
          <w:b/>
          <w:bCs/>
          <w:highlight w:val="lightGray"/>
          <w:lang w:val="en-US"/>
        </w:rPr>
        <w:t xml:space="preserve">Temperature: </w:t>
      </w:r>
      <w:r>
        <w:rPr>
          <w:highlight w:val="lightGray"/>
          <w:lang w:val="en-US"/>
        </w:rPr>
        <w:t>~0.2 – 0.4 - keeps wording stable and fact-oriented</w:t>
      </w:r>
    </w:p>
    <w:p w14:paraId="27D3A6BA">
      <w:pPr>
        <w:spacing w:after="0"/>
        <w:rPr>
          <w:b/>
          <w:bCs/>
          <w:highlight w:val="lightGray"/>
          <w:lang w:val="en-US"/>
        </w:rPr>
      </w:pPr>
      <w:r>
        <w:rPr>
          <w:b/>
          <w:bCs/>
          <w:highlight w:val="lightGray"/>
          <w:lang w:val="en-US"/>
        </w:rPr>
        <w:t xml:space="preserve">Top-p: </w:t>
      </w:r>
      <w:r>
        <w:rPr>
          <w:highlight w:val="lightGray"/>
          <w:lang w:val="en-US"/>
        </w:rPr>
        <w:t>~0.9 - allows modest sampling diversity while maintaining coherence</w:t>
      </w:r>
    </w:p>
    <w:p w14:paraId="70B3156F">
      <w:pPr>
        <w:spacing w:after="80"/>
        <w:rPr>
          <w:b/>
          <w:bCs/>
          <w:color w:val="0070C0"/>
          <w:lang w:val="en-US"/>
        </w:rPr>
      </w:pPr>
      <w:r>
        <w:rPr>
          <w:b/>
          <w:bCs/>
          <w:highlight w:val="lightGray"/>
          <w:lang w:val="en-US"/>
        </w:rPr>
        <w:t xml:space="preserve">Number of runs:  (completions) </w:t>
      </w:r>
      <w:r>
        <w:rPr>
          <w:highlight w:val="lightGray"/>
          <w:lang w:val="en-US"/>
        </w:rPr>
        <w:t>1 - single deterministic completion, no multi-sampling</w:t>
      </w:r>
    </w:p>
    <w:tbl>
      <w:tblPr>
        <w:tblStyle w:val="13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7758"/>
        <w:gridCol w:w="1269"/>
      </w:tblGrid>
      <w:tr w14:paraId="5577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F7CAAC" w:themeFill="accent2" w:themeFillTint="66"/>
          </w:tcPr>
          <w:p w14:paraId="09E35242">
            <w:pPr>
              <w:spacing w:after="120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>
              <w:rPr>
                <w:color w:val="7030A0"/>
                <w:lang w:val="en-US"/>
              </w:rPr>
              <w:t xml:space="preserve"> </w:t>
            </w:r>
            <w:r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7758" w:type="dxa"/>
            <w:shd w:val="clear" w:color="auto" w:fill="F7CAAC" w:themeFill="accent2" w:themeFillTint="66"/>
          </w:tcPr>
          <w:p w14:paraId="24FE6A53">
            <w:pPr>
              <w:spacing w:after="120"/>
              <w:jc w:val="center"/>
              <w:rPr>
                <w:rFonts w:eastAsia="Times New Roman"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Responses</w:t>
            </w:r>
          </w:p>
        </w:tc>
        <w:tc>
          <w:tcPr>
            <w:tcW w:w="1269" w:type="dxa"/>
            <w:shd w:val="clear" w:color="auto" w:fill="F7CAAC" w:themeFill="accent2" w:themeFillTint="66"/>
          </w:tcPr>
          <w:p w14:paraId="61C040E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Clinical </w:t>
            </w:r>
            <w:r>
              <w:rPr>
                <w:b/>
                <w:highlight w:val="lightGray"/>
                <w:lang w:val="en-GB"/>
              </w:rPr>
              <w:t>findings</w:t>
            </w:r>
            <w:r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val="en-US" w:eastAsia="el-G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Times New Roman" w:cstheme="minorHAnsi"/>
                <w:b/>
                <w:color w:val="000000" w:themeColor="text1"/>
                <w:position w:val="-10"/>
                <w:sz w:val="24"/>
                <w:szCs w:val="24"/>
                <w:lang w:val="en-US" w:eastAsia="el-GR"/>
                <w14:textFill>
                  <w14:solidFill>
                    <w14:schemeClr w14:val="tx1"/>
                  </w14:solidFill>
                </w14:textFill>
              </w:rPr>
              <w:object>
                <v:shape id="_x0000_i1025" o:spt="75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8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7">
                  <o:LockedField>false</o:LockedField>
                </o:OLEObject>
              </w:object>
            </w:r>
          </w:p>
        </w:tc>
      </w:tr>
      <w:tr w14:paraId="0834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2E5AEA3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7758" w:type="dxa"/>
          </w:tcPr>
          <w:p w14:paraId="76D73A45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Large international axSpA surveys/cohorts report </w:t>
            </w:r>
            <w:r>
              <w:rPr>
                <w:b/>
                <w:bCs/>
                <w:sz w:val="20"/>
                <w:szCs w:val="20"/>
                <w:lang w:val="en-US"/>
              </w:rPr>
              <w:t>very high rates of reported morning stiffness</w:t>
            </w:r>
            <w:r>
              <w:rPr>
                <w:sz w:val="20"/>
                <w:szCs w:val="20"/>
                <w:lang w:val="en-US"/>
              </w:rPr>
              <w:t xml:space="preserve"> (e.g., IMAS reports ~93.8% reporting some morning-stiffness severity). Use this as an approximate expectation for German cohorts, but it is </w:t>
            </w:r>
            <w:r>
              <w:rPr>
                <w:b/>
                <w:bCs/>
                <w:sz w:val="20"/>
                <w:szCs w:val="20"/>
                <w:lang w:val="en-US"/>
              </w:rPr>
              <w:t>not</w:t>
            </w:r>
            <w:r>
              <w:rPr>
                <w:sz w:val="20"/>
                <w:szCs w:val="20"/>
                <w:lang w:val="en-US"/>
              </w:rPr>
              <w:t xml:space="preserve"> NRW+26–72 specific.</w:t>
            </w:r>
          </w:p>
        </w:tc>
        <w:tc>
          <w:tcPr>
            <w:tcW w:w="1269" w:type="dxa"/>
          </w:tcPr>
          <w:p w14:paraId="61EC7FD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3%</w:t>
            </w:r>
          </w:p>
        </w:tc>
      </w:tr>
      <w:tr w14:paraId="1930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65BED134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</w:t>
            </w:r>
          </w:p>
        </w:tc>
        <w:tc>
          <w:tcPr>
            <w:tcW w:w="7758" w:type="dxa"/>
          </w:tcPr>
          <w:p w14:paraId="1658177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Only a subset of PsA patients have axial involvement; axial PsA prevalence varies widely (reported 5–70% depending on definition). Morning spinal stiffness will therefore be appreciably </w:t>
            </w:r>
            <w:r>
              <w:rPr>
                <w:b/>
                <w:bCs/>
                <w:sz w:val="20"/>
                <w:szCs w:val="20"/>
                <w:lang w:val="en-US"/>
              </w:rPr>
              <w:t>lower</w:t>
            </w:r>
            <w:r>
              <w:rPr>
                <w:sz w:val="20"/>
                <w:szCs w:val="20"/>
                <w:lang w:val="en-US"/>
              </w:rPr>
              <w:t xml:space="preserve"> than in axSpA and occurs mainly in the subgroup with axial PsA. Expect a </w:t>
            </w:r>
            <w:r>
              <w:rPr>
                <w:b/>
                <w:bCs/>
                <w:sz w:val="20"/>
                <w:szCs w:val="20"/>
                <w:lang w:val="en-US"/>
              </w:rPr>
              <w:t>substantially lower</w:t>
            </w:r>
            <w:r>
              <w:rPr>
                <w:sz w:val="20"/>
                <w:szCs w:val="20"/>
                <w:lang w:val="en-US"/>
              </w:rPr>
              <w:t xml:space="preserve"> percentage than axSpA (range depends on how “axial” is defined). Representative review: axial involvement 25–70% in established PsA; many axial-PsA patients do </w:t>
            </w:r>
            <w:r>
              <w:rPr>
                <w:b/>
                <w:bCs/>
                <w:sz w:val="20"/>
                <w:szCs w:val="20"/>
                <w:lang w:val="en-US"/>
              </w:rPr>
              <w:t>not</w:t>
            </w:r>
            <w:r>
              <w:rPr>
                <w:sz w:val="20"/>
                <w:szCs w:val="20"/>
                <w:lang w:val="en-US"/>
              </w:rPr>
              <w:t xml:space="preserve"> report classic inflammatory back pain.</w:t>
            </w:r>
          </w:p>
        </w:tc>
        <w:tc>
          <w:tcPr>
            <w:tcW w:w="1269" w:type="dxa"/>
          </w:tcPr>
          <w:p w14:paraId="5BA32394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8%</w:t>
            </w:r>
          </w:p>
        </w:tc>
      </w:tr>
      <w:tr w14:paraId="18D01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5DB2F158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3</w:t>
            </w:r>
          </w:p>
        </w:tc>
        <w:tc>
          <w:tcPr>
            <w:tcW w:w="7758" w:type="dxa"/>
          </w:tcPr>
          <w:p w14:paraId="142CC938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In axSpA cohorts, coexistent psoriasis is reported but varies by cohort; family-history/personal-history of psoriasis occurs in a minority (exact varies between 10-15%). Many axSpA/AS cohorts report psoriasis in a </w:t>
            </w:r>
            <w:r>
              <w:rPr>
                <w:b/>
                <w:bCs/>
                <w:sz w:val="20"/>
                <w:szCs w:val="20"/>
                <w:lang w:val="en-US"/>
              </w:rPr>
              <w:t>single-digit to low-teens percent range</w:t>
            </w:r>
            <w:r>
              <w:rPr>
                <w:sz w:val="20"/>
                <w:szCs w:val="20"/>
                <w:lang w:val="en-US"/>
              </w:rPr>
              <w:t>, but this is cohort-dependent. Use national/regional registry data for precise numbers if available locally.</w:t>
            </w:r>
          </w:p>
        </w:tc>
        <w:tc>
          <w:tcPr>
            <w:tcW w:w="1269" w:type="dxa"/>
          </w:tcPr>
          <w:p w14:paraId="730424E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5%</w:t>
            </w:r>
          </w:p>
        </w:tc>
      </w:tr>
      <w:tr w14:paraId="4B4C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25ED7EE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4</w:t>
            </w:r>
          </w:p>
        </w:tc>
        <w:tc>
          <w:tcPr>
            <w:tcW w:w="7758" w:type="dxa"/>
          </w:tcPr>
          <w:p w14:paraId="49F1DF3B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By definition nearly all PsA patients have (or had) psoriasis</w:t>
            </w:r>
            <w:r>
              <w:rPr>
                <w:sz w:val="20"/>
                <w:szCs w:val="20"/>
                <w:lang w:val="en-US"/>
              </w:rPr>
              <w:t xml:space="preserve"> — PsA is the arthritis associated with psoriasis. Most PsA cohorts report that the </w:t>
            </w:r>
            <w:r>
              <w:rPr>
                <w:b/>
                <w:bCs/>
                <w:sz w:val="20"/>
                <w:szCs w:val="20"/>
                <w:lang w:val="en-US"/>
              </w:rPr>
              <w:t>majority (&gt;85–95%)</w:t>
            </w:r>
            <w:r>
              <w:rPr>
                <w:sz w:val="20"/>
                <w:szCs w:val="20"/>
                <w:lang w:val="en-US"/>
              </w:rPr>
              <w:t xml:space="preserve"> have current or prior documented psoriasis (timing and severity can vary).  </w:t>
            </w:r>
          </w:p>
        </w:tc>
        <w:tc>
          <w:tcPr>
            <w:tcW w:w="1269" w:type="dxa"/>
          </w:tcPr>
          <w:p w14:paraId="7F5B991F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1%</w:t>
            </w:r>
          </w:p>
        </w:tc>
      </w:tr>
      <w:tr w14:paraId="5C25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1555CF24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5</w:t>
            </w:r>
          </w:p>
        </w:tc>
        <w:tc>
          <w:tcPr>
            <w:tcW w:w="7758" w:type="dxa"/>
          </w:tcPr>
          <w:p w14:paraId="49276414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NSAID response rates vary by outcome definition — many trials/observational studies show </w:t>
            </w:r>
            <w:r>
              <w:rPr>
                <w:b/>
                <w:bCs/>
                <w:sz w:val="20"/>
                <w:szCs w:val="20"/>
                <w:lang w:val="en-US"/>
              </w:rPr>
              <w:t>any clinically meaningful pain improvement in roughly ~25–60%</w:t>
            </w:r>
            <w:r>
              <w:rPr>
                <w:sz w:val="20"/>
                <w:szCs w:val="20"/>
                <w:lang w:val="en-US"/>
              </w:rPr>
              <w:t xml:space="preserve"> depending on measure and follow-up (example: some trials report ASAS/clinical response rates around ~30–50% early; other studies report moderate response rates up to ~57% for specific NSAIDs/definitions). Expect </w:t>
            </w:r>
            <w:r>
              <w:rPr>
                <w:b/>
                <w:bCs/>
                <w:sz w:val="20"/>
                <w:szCs w:val="20"/>
                <w:lang w:val="en-US"/>
              </w:rPr>
              <w:t>substantial but not universal</w:t>
            </w:r>
            <w:r>
              <w:rPr>
                <w:sz w:val="20"/>
                <w:szCs w:val="20"/>
                <w:lang w:val="en-US"/>
              </w:rPr>
              <w:t xml:space="preserve"> symptom improvement with NSAIDs. </w:t>
            </w:r>
          </w:p>
        </w:tc>
        <w:tc>
          <w:tcPr>
            <w:tcW w:w="1269" w:type="dxa"/>
          </w:tcPr>
          <w:p w14:paraId="161E472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3%</w:t>
            </w:r>
          </w:p>
        </w:tc>
      </w:tr>
      <w:tr w14:paraId="3D65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7DD140BB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6</w:t>
            </w:r>
          </w:p>
        </w:tc>
        <w:tc>
          <w:tcPr>
            <w:tcW w:w="7758" w:type="dxa"/>
          </w:tcPr>
          <w:p w14:paraId="07056E2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In PsA, NSAIDs are commonly used and often provide symptomatic relief for peripheral/axial pain, but formal responder percentages in PsA trials vs axSpA are variable (~60–70%). Expect symptom improvement in a proportion similar to other inflammatory arthritides; precise % depends on outcome definitions and whether axial disease is present.  </w:t>
            </w:r>
          </w:p>
        </w:tc>
        <w:tc>
          <w:tcPr>
            <w:tcW w:w="1269" w:type="dxa"/>
          </w:tcPr>
          <w:p w14:paraId="7BE96C2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 w14:paraId="6D68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3AFD792B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7</w:t>
            </w:r>
          </w:p>
        </w:tc>
        <w:tc>
          <w:tcPr>
            <w:tcW w:w="7758" w:type="dxa"/>
          </w:tcPr>
          <w:p w14:paraId="5EEB7962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General/typical: axSpA commonly begins in </w:t>
            </w:r>
            <w:r>
              <w:rPr>
                <w:b/>
                <w:bCs/>
                <w:sz w:val="20"/>
                <w:szCs w:val="20"/>
                <w:lang w:val="en-US"/>
              </w:rPr>
              <w:t>young adulthood</w:t>
            </w:r>
            <w:r>
              <w:rPr>
                <w:sz w:val="20"/>
                <w:szCs w:val="20"/>
                <w:lang w:val="en-US"/>
              </w:rPr>
              <w:t xml:space="preserve">; classification criteria often use onset </w:t>
            </w:r>
            <w:r>
              <w:rPr>
                <w:b/>
                <w:bCs/>
                <w:sz w:val="20"/>
                <w:szCs w:val="20"/>
                <w:lang w:val="en-US"/>
              </w:rPr>
              <w:t>&lt;45 years</w:t>
            </w:r>
            <w:r>
              <w:rPr>
                <w:sz w:val="20"/>
                <w:szCs w:val="20"/>
                <w:lang w:val="en-US"/>
              </w:rPr>
              <w:t xml:space="preserve"> for inflammatory back pain suggestive of axSpA. Mean age at diagnosis in many cohorts is in the </w:t>
            </w:r>
            <w:r>
              <w:rPr>
                <w:b/>
                <w:bCs/>
                <w:sz w:val="20"/>
                <w:szCs w:val="20"/>
                <w:lang w:val="en-US"/>
              </w:rPr>
              <w:t>30s–40s</w:t>
            </w:r>
            <w:r>
              <w:rPr>
                <w:sz w:val="20"/>
                <w:szCs w:val="20"/>
                <w:lang w:val="en-US"/>
              </w:rPr>
              <w:t xml:space="preserve">. Use national registries (e.g., RABBIT-SpA, RHADAR) for German age distributions if you need exact NRW counts. </w:t>
            </w:r>
          </w:p>
        </w:tc>
        <w:tc>
          <w:tcPr>
            <w:tcW w:w="1269" w:type="dxa"/>
          </w:tcPr>
          <w:p w14:paraId="01DC095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</w:tr>
      <w:tr w14:paraId="06E36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C3437B5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8</w:t>
            </w:r>
          </w:p>
        </w:tc>
        <w:tc>
          <w:tcPr>
            <w:tcW w:w="7758" w:type="dxa"/>
          </w:tcPr>
          <w:p w14:paraId="33BA07C8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General: PsA typically presents in </w:t>
            </w:r>
            <w:r>
              <w:rPr>
                <w:b/>
                <w:bCs/>
                <w:sz w:val="20"/>
                <w:szCs w:val="20"/>
                <w:lang w:val="en-US"/>
              </w:rPr>
              <w:t>adulthood</w:t>
            </w:r>
            <w:r>
              <w:rPr>
                <w:sz w:val="20"/>
                <w:szCs w:val="20"/>
                <w:lang w:val="en-US"/>
              </w:rPr>
              <w:t xml:space="preserve">, most commonly between </w:t>
            </w:r>
            <w:r>
              <w:rPr>
                <w:b/>
                <w:bCs/>
                <w:sz w:val="20"/>
                <w:szCs w:val="20"/>
                <w:lang w:val="en-US"/>
              </w:rPr>
              <w:t>30 and 50 years</w:t>
            </w:r>
            <w:r>
              <w:rPr>
                <w:sz w:val="20"/>
                <w:szCs w:val="20"/>
                <w:lang w:val="en-US"/>
              </w:rPr>
              <w:t xml:space="preserve"> (but onset can be earlier or later). Population projections and German prevalence studies present age profiles showing increased prevalence in mid-life.</w:t>
            </w:r>
          </w:p>
        </w:tc>
        <w:tc>
          <w:tcPr>
            <w:tcW w:w="1269" w:type="dxa"/>
          </w:tcPr>
          <w:p w14:paraId="29A4C62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</w:tr>
      <w:tr w14:paraId="4BD6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12C1D81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9</w:t>
            </w:r>
          </w:p>
        </w:tc>
        <w:tc>
          <w:tcPr>
            <w:tcW w:w="7758" w:type="dxa"/>
          </w:tcPr>
          <w:p w14:paraId="4EF89A54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General: axSpA historically shows male predominance in radiographic disease (AS) but more balanced sex ratios in non-radiographic axSpA; many modern cohorts show </w:t>
            </w:r>
            <w:r>
              <w:rPr>
                <w:b/>
                <w:bCs/>
                <w:sz w:val="20"/>
                <w:szCs w:val="20"/>
                <w:lang w:val="en-US"/>
              </w:rPr>
              <w:t>male:female roughly 1.2–2.0:1</w:t>
            </w:r>
            <w:r>
              <w:rPr>
                <w:sz w:val="20"/>
                <w:szCs w:val="20"/>
                <w:lang w:val="en-US"/>
              </w:rPr>
              <w:t xml:space="preserve"> depending on the subset. Exact ratio varies by cohort and by whether you count radiographic vs non-radiographic axSpA. </w:t>
            </w:r>
          </w:p>
        </w:tc>
        <w:tc>
          <w:tcPr>
            <w:tcW w:w="1269" w:type="dxa"/>
          </w:tcPr>
          <w:p w14:paraId="614D83A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male/female 1:1 </w:t>
            </w:r>
          </w:p>
          <w:p w14:paraId="589D4F57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that is 50% male</w:t>
            </w:r>
          </w:p>
        </w:tc>
      </w:tr>
      <w:tr w14:paraId="4603A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1E62C771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10</w:t>
            </w:r>
          </w:p>
        </w:tc>
        <w:tc>
          <w:tcPr>
            <w:tcW w:w="7758" w:type="dxa"/>
          </w:tcPr>
          <w:p w14:paraId="4ACA4B3C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General: PsA usually shows a near </w:t>
            </w:r>
            <w:r>
              <w:rPr>
                <w:b/>
                <w:bCs/>
                <w:sz w:val="20"/>
                <w:szCs w:val="20"/>
                <w:lang w:val="en-US"/>
              </w:rPr>
              <w:t>sex-balanced</w:t>
            </w:r>
            <w:r>
              <w:rPr>
                <w:sz w:val="20"/>
                <w:szCs w:val="20"/>
                <w:lang w:val="en-US"/>
              </w:rPr>
              <w:t xml:space="preserve"> distribution (male:female ≈ </w:t>
            </w:r>
            <w:r>
              <w:rPr>
                <w:b/>
                <w:bCs/>
                <w:sz w:val="20"/>
                <w:szCs w:val="20"/>
                <w:lang w:val="en-US"/>
              </w:rPr>
              <w:t>1:1</w:t>
            </w:r>
            <w:r>
              <w:rPr>
                <w:sz w:val="20"/>
                <w:szCs w:val="20"/>
                <w:lang w:val="en-US"/>
              </w:rPr>
              <w:t xml:space="preserve"> or slightly male- or female-predominant depending on the cohort and age group). </w:t>
            </w:r>
          </w:p>
        </w:tc>
        <w:tc>
          <w:tcPr>
            <w:tcW w:w="1269" w:type="dxa"/>
          </w:tcPr>
          <w:p w14:paraId="2D708D0A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male/female</w:t>
            </w:r>
          </w:p>
          <w:p w14:paraId="73A05FA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1,0:1,7</w:t>
            </w:r>
          </w:p>
          <w:p w14:paraId="22C08E1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that is 37% male</w:t>
            </w:r>
          </w:p>
        </w:tc>
      </w:tr>
      <w:tr w14:paraId="05367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D184605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11</w:t>
            </w:r>
          </w:p>
        </w:tc>
        <w:tc>
          <w:tcPr>
            <w:tcW w:w="7758" w:type="dxa"/>
          </w:tcPr>
          <w:p w14:paraId="4A64F6D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 found no peer-reviewed estimates for “layperson’s” suspected axSpA vs rheumatologist diagnosis rates in NRW and the 26–72 age stratum. Studies do exist on </w:t>
            </w:r>
            <w:r>
              <w:rPr>
                <w:b/>
                <w:bCs/>
                <w:sz w:val="20"/>
                <w:szCs w:val="20"/>
                <w:lang w:val="en-US"/>
              </w:rPr>
              <w:t>screening tool performance</w:t>
            </w:r>
            <w:r>
              <w:rPr>
                <w:sz w:val="20"/>
                <w:szCs w:val="20"/>
                <w:lang w:val="en-US"/>
              </w:rPr>
              <w:t xml:space="preserve"> (e.g., how inflammatory back pain questions perform) but not “layperson vs specialist” concordance at the regional level. An estimate is about 15%. For screening performance see reviews of inflammatory back pain criteria. </w:t>
            </w:r>
          </w:p>
        </w:tc>
        <w:tc>
          <w:tcPr>
            <w:tcW w:w="1269" w:type="dxa"/>
          </w:tcPr>
          <w:p w14:paraId="21DD4696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0,0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70D4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F8C8B16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12</w:t>
            </w:r>
          </w:p>
        </w:tc>
        <w:tc>
          <w:tcPr>
            <w:tcW w:w="7758" w:type="dxa"/>
          </w:tcPr>
          <w:p w14:paraId="299EC892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There are studies of primary-care referral accuracy and screening, but not the exact metric you asked at the NRW + 26–72 granularity. A very rough estimate is 30-45%. For general referral/diagnostic delay information, see RABBIT-SpA and IMAS literature. </w:t>
            </w:r>
          </w:p>
        </w:tc>
        <w:tc>
          <w:tcPr>
            <w:tcW w:w="1269" w:type="dxa"/>
          </w:tcPr>
          <w:p w14:paraId="05DA7EE8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2%</w:t>
            </w:r>
          </w:p>
        </w:tc>
      </w:tr>
      <w:tr w14:paraId="7FAE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04253C86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13</w:t>
            </w:r>
          </w:p>
        </w:tc>
        <w:tc>
          <w:tcPr>
            <w:tcW w:w="7758" w:type="dxa"/>
          </w:tcPr>
          <w:p w14:paraId="3860053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HLA-B27 positivity in axSpA varies by population and study: reported ranges are roughly </w:t>
            </w:r>
            <w:r>
              <w:rPr>
                <w:b/>
                <w:bCs/>
                <w:sz w:val="20"/>
                <w:szCs w:val="20"/>
                <w:lang w:val="en-US"/>
              </w:rPr>
              <w:t>~60% to &gt;90%</w:t>
            </w:r>
            <w:r>
              <w:rPr>
                <w:sz w:val="20"/>
                <w:szCs w:val="20"/>
                <w:lang w:val="en-US"/>
              </w:rPr>
              <w:t xml:space="preserve"> (higher in radiographic AS, lower in non-radiographic axSpA). A recent review notes global variation; many European cohorts have HLA-B27 prevalences toward the higher end (e.g., 80%+ in many classic AS cohorts). </w:t>
            </w:r>
            <w:r>
              <w:rPr>
                <w:sz w:val="20"/>
                <w:szCs w:val="20"/>
              </w:rPr>
              <w:t xml:space="preserve">Use cohort-specific reports for exact NRW numbers. </w:t>
            </w:r>
          </w:p>
        </w:tc>
        <w:tc>
          <w:tcPr>
            <w:tcW w:w="1269" w:type="dxa"/>
          </w:tcPr>
          <w:p w14:paraId="6B82BFF8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1%</w:t>
            </w:r>
          </w:p>
        </w:tc>
      </w:tr>
      <w:tr w14:paraId="3A41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BC9C93B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14</w:t>
            </w:r>
          </w:p>
        </w:tc>
        <w:tc>
          <w:tcPr>
            <w:tcW w:w="7758" w:type="dxa"/>
          </w:tcPr>
          <w:p w14:paraId="195D7E7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HLA-B27 positivity in PsA cohorts is </w:t>
            </w:r>
            <w:r>
              <w:rPr>
                <w:b/>
                <w:bCs/>
                <w:sz w:val="20"/>
                <w:szCs w:val="20"/>
                <w:lang w:val="en-US"/>
              </w:rPr>
              <w:t>much lower</w:t>
            </w:r>
            <w:r>
              <w:rPr>
                <w:sz w:val="20"/>
                <w:szCs w:val="20"/>
                <w:lang w:val="en-US"/>
              </w:rPr>
              <w:t xml:space="preserve"> than in axSpA, commonly reported around </w:t>
            </w:r>
            <w:r>
              <w:rPr>
                <w:b/>
                <w:bCs/>
                <w:sz w:val="20"/>
                <w:szCs w:val="20"/>
                <w:lang w:val="en-US"/>
              </w:rPr>
              <w:t>~15–25%</w:t>
            </w:r>
            <w:r>
              <w:rPr>
                <w:sz w:val="20"/>
                <w:szCs w:val="20"/>
                <w:lang w:val="en-US"/>
              </w:rPr>
              <w:t xml:space="preserve"> (values of ~20% are frequently cited). HLA-B27 is more common among the PsA patients who have axial involvement. </w:t>
            </w:r>
          </w:p>
        </w:tc>
        <w:tc>
          <w:tcPr>
            <w:tcW w:w="1269" w:type="dxa"/>
          </w:tcPr>
          <w:p w14:paraId="6D5786C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2%</w:t>
            </w:r>
          </w:p>
        </w:tc>
      </w:tr>
      <w:tr w14:paraId="6EEC4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71DFA5F7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15</w:t>
            </w:r>
          </w:p>
        </w:tc>
        <w:tc>
          <w:tcPr>
            <w:tcW w:w="7758" w:type="dxa"/>
          </w:tcPr>
          <w:p w14:paraId="070EF815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What is known: smoking is associated with worse axSpA disease activity, more radiographic progression and poorer outcomes. Quantifying “what % of smokers develop axSpA” requires cohort incidence data and population smoking prevalence; I didn’t find a public NRW-level incidence by smoking status. </w:t>
            </w:r>
            <w:r>
              <w:rPr>
                <w:sz w:val="20"/>
                <w:szCs w:val="20"/>
              </w:rPr>
              <w:t xml:space="preserve">For risk associations see cohort analyses and reviews. </w:t>
            </w:r>
          </w:p>
        </w:tc>
        <w:tc>
          <w:tcPr>
            <w:tcW w:w="1269" w:type="dxa"/>
          </w:tcPr>
          <w:p w14:paraId="073D8358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0,0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4715B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18366B8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16</w:t>
            </w:r>
          </w:p>
        </w:tc>
        <w:tc>
          <w:tcPr>
            <w:tcW w:w="7758" w:type="dxa"/>
          </w:tcPr>
          <w:p w14:paraId="502CB0CD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What is known: smoking is a recognized environmental risk factor that influences psoriasis and PsA risk and course, but precise absolute risk (% of smokers who go on to develop PsA) is not reported at NRW + 26–72 granularity in public literature. Population-level risk estimates require large longitudinal data; see psoriasis→PsA risk studies for approximate incidence ranges. </w:t>
            </w:r>
          </w:p>
        </w:tc>
        <w:tc>
          <w:tcPr>
            <w:tcW w:w="1269" w:type="dxa"/>
          </w:tcPr>
          <w:p w14:paraId="2B532B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,0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0B3A9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7652A2A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17</w:t>
            </w:r>
          </w:p>
        </w:tc>
        <w:tc>
          <w:tcPr>
            <w:tcW w:w="7758" w:type="dxa"/>
          </w:tcPr>
          <w:p w14:paraId="605CBDFC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In axSpA, MRI sacroiliitis (bone marrow edema etc.) is a core diagnostic feature and is present in a substantial fraction of patients at diagnosis; exact percentages vary by cohort and by whether radiographic changes already exist. In early axSpA cohorts many patients show MRI sacroiliitis (proportions vary widely — some early cohorts report 30–70% depending on selection). Use regional registry imaging subanalyses for an exact local figure. </w:t>
            </w:r>
          </w:p>
        </w:tc>
        <w:tc>
          <w:tcPr>
            <w:tcW w:w="1269" w:type="dxa"/>
          </w:tcPr>
          <w:p w14:paraId="6EF07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66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6%</w:t>
            </w:r>
          </w:p>
        </w:tc>
      </w:tr>
      <w:tr w14:paraId="7312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7D36547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18</w:t>
            </w:r>
          </w:p>
        </w:tc>
        <w:tc>
          <w:tcPr>
            <w:tcW w:w="7758" w:type="dxa"/>
          </w:tcPr>
          <w:p w14:paraId="7077ED55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MRI-documented sacroiliitis occurs in the subgroup of PsA patients with axial involvement; because axial PsA prevalence varies, the fraction with positive MRI will be a subset (varies widely; studies show axial PsA detection by MRI in cohorts but no NRW-specific rate). Use a very rough estimate </w:t>
            </w:r>
            <w:r>
              <w:rPr>
                <w:b/>
                <w:bCs/>
                <w:sz w:val="20"/>
                <w:szCs w:val="20"/>
                <w:lang w:val="en-US"/>
              </w:rPr>
              <w:t>~</w:t>
            </w:r>
            <w:r>
              <w:rPr>
                <w:sz w:val="20"/>
                <w:szCs w:val="20"/>
                <w:lang w:val="en-US"/>
              </w:rPr>
              <w:t>20-35%.</w:t>
            </w:r>
          </w:p>
        </w:tc>
        <w:tc>
          <w:tcPr>
            <w:tcW w:w="1269" w:type="dxa"/>
          </w:tcPr>
          <w:p w14:paraId="014AEE9A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1%</w:t>
            </w:r>
          </w:p>
          <w:p w14:paraId="4D7FCEC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4C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3D451B0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19</w:t>
            </w:r>
          </w:p>
        </w:tc>
        <w:tc>
          <w:tcPr>
            <w:tcW w:w="7758" w:type="dxa"/>
          </w:tcPr>
          <w:p w14:paraId="148963E9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Anterior uveitis (acute anterior uveitis) occurs in axSpA/AS with a </w:t>
            </w:r>
            <w:r>
              <w:rPr>
                <w:b/>
                <w:bCs/>
                <w:sz w:val="20"/>
                <w:szCs w:val="20"/>
                <w:lang w:val="en-US"/>
              </w:rPr>
              <w:t>population prevalence around ~20–33%</w:t>
            </w:r>
            <w:r>
              <w:rPr>
                <w:sz w:val="20"/>
                <w:szCs w:val="20"/>
                <w:lang w:val="en-US"/>
              </w:rPr>
              <w:t xml:space="preserve"> across many studies (meta-analyses report ~25–33% lifetime prevalence of uveitis among SpA patients). So expect roughly </w:t>
            </w:r>
            <w:r>
              <w:rPr>
                <w:b/>
                <w:bCs/>
                <w:sz w:val="20"/>
                <w:szCs w:val="20"/>
                <w:lang w:val="en-US"/>
              </w:rPr>
              <w:t>~20–33%</w:t>
            </w:r>
            <w:r>
              <w:rPr>
                <w:sz w:val="20"/>
                <w:szCs w:val="20"/>
                <w:lang w:val="en-US"/>
              </w:rPr>
              <w:t xml:space="preserve"> in many axSpA cohorts (not NRW-specific).</w:t>
            </w:r>
          </w:p>
        </w:tc>
        <w:tc>
          <w:tcPr>
            <w:tcW w:w="1269" w:type="dxa"/>
          </w:tcPr>
          <w:p w14:paraId="689C3A5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5%</w:t>
            </w:r>
          </w:p>
        </w:tc>
      </w:tr>
      <w:tr w14:paraId="1498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0A8F8FC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20</w:t>
            </w:r>
          </w:p>
        </w:tc>
        <w:tc>
          <w:tcPr>
            <w:tcW w:w="7758" w:type="dxa"/>
          </w:tcPr>
          <w:p w14:paraId="52B8FAE4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Uveitis prevalence in PsA cohorts is </w:t>
            </w:r>
            <w:r>
              <w:rPr>
                <w:b/>
                <w:bCs/>
                <w:sz w:val="20"/>
                <w:szCs w:val="20"/>
                <w:lang w:val="en-US"/>
              </w:rPr>
              <w:t>lower than in axSpA</w:t>
            </w:r>
            <w:r>
              <w:rPr>
                <w:sz w:val="20"/>
                <w:szCs w:val="20"/>
                <w:lang w:val="en-US"/>
              </w:rPr>
              <w:t xml:space="preserve">, commonly reported in many studies at </w:t>
            </w:r>
            <w:r>
              <w:rPr>
                <w:b/>
                <w:bCs/>
                <w:sz w:val="20"/>
                <w:szCs w:val="20"/>
                <w:lang w:val="en-US"/>
              </w:rPr>
              <w:t>~5% (range ~2–18% depending on cohort)</w:t>
            </w:r>
            <w:r>
              <w:rPr>
                <w:sz w:val="20"/>
                <w:szCs w:val="20"/>
                <w:lang w:val="en-US"/>
              </w:rPr>
              <w:t>. Recent single-center and cohort studies report estimates ~4–7% in many PsA samples.</w:t>
            </w:r>
          </w:p>
        </w:tc>
        <w:tc>
          <w:tcPr>
            <w:tcW w:w="1269" w:type="dxa"/>
          </w:tcPr>
          <w:p w14:paraId="4C08E7E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1%</w:t>
            </w:r>
          </w:p>
        </w:tc>
      </w:tr>
      <w:tr w14:paraId="2533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7A27B988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21</w:t>
            </w:r>
          </w:p>
        </w:tc>
        <w:tc>
          <w:tcPr>
            <w:tcW w:w="7758" w:type="dxa"/>
          </w:tcPr>
          <w:p w14:paraId="12FA8067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Diarrhea per se is usually a symptom of concurrent IBD. Clinical IBD in axSpA cohorts is reported roughly </w:t>
            </w:r>
            <w:r>
              <w:rPr>
                <w:b/>
                <w:bCs/>
                <w:sz w:val="20"/>
                <w:szCs w:val="20"/>
                <w:lang w:val="en-US"/>
              </w:rPr>
              <w:t>5–10%</w:t>
            </w:r>
            <w:r>
              <w:rPr>
                <w:sz w:val="20"/>
                <w:szCs w:val="20"/>
                <w:lang w:val="en-US"/>
              </w:rPr>
              <w:t xml:space="preserve">; subclinical gut inflammation is much higher (up to ~40–50% in some studies). So expect </w:t>
            </w:r>
            <w:r>
              <w:rPr>
                <w:b/>
                <w:bCs/>
                <w:sz w:val="20"/>
                <w:szCs w:val="20"/>
                <w:lang w:val="en-US"/>
              </w:rPr>
              <w:t>~5–10%</w:t>
            </w:r>
            <w:r>
              <w:rPr>
                <w:sz w:val="20"/>
                <w:szCs w:val="20"/>
                <w:lang w:val="en-US"/>
              </w:rPr>
              <w:t xml:space="preserve"> clinical IBD (diarrhea as a symptom) in many axSpA samples, with higher rates of subclinical intestinal inflammation.</w:t>
            </w:r>
          </w:p>
        </w:tc>
        <w:tc>
          <w:tcPr>
            <w:tcW w:w="1269" w:type="dxa"/>
          </w:tcPr>
          <w:p w14:paraId="109CDCD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1%</w:t>
            </w:r>
          </w:p>
        </w:tc>
      </w:tr>
      <w:tr w14:paraId="0146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60B53FB3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22</w:t>
            </w:r>
          </w:p>
        </w:tc>
        <w:tc>
          <w:tcPr>
            <w:tcW w:w="7758" w:type="dxa"/>
          </w:tcPr>
          <w:p w14:paraId="452C80A0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Clinical IBD among PsA patients is less common than in axSpA but elevated compared with the general population; incidence/prevalence in PsA cohorts is variable (often ~1–5% for clinically manifest IBD, cohort dependent). Diarrhea as a symptom can also be medication-related or coincident GI disease; exact % depends on cohort and definitions.</w:t>
            </w:r>
          </w:p>
        </w:tc>
        <w:tc>
          <w:tcPr>
            <w:tcW w:w="1269" w:type="dxa"/>
          </w:tcPr>
          <w:p w14:paraId="6ACBF1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5%</w:t>
            </w:r>
          </w:p>
        </w:tc>
      </w:tr>
      <w:tr w14:paraId="4CA29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6EA6A06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23</w:t>
            </w:r>
          </w:p>
        </w:tc>
        <w:tc>
          <w:tcPr>
            <w:tcW w:w="7758" w:type="dxa"/>
          </w:tcPr>
          <w:p w14:paraId="0CAD1807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Dactylitis is a hallmark of PsA and is </w:t>
            </w:r>
            <w:r>
              <w:rPr>
                <w:b/>
                <w:bCs/>
                <w:sz w:val="20"/>
                <w:szCs w:val="20"/>
                <w:lang w:val="en-GB"/>
              </w:rPr>
              <w:t>uncommon in pure axSpA</w:t>
            </w:r>
            <w:r>
              <w:rPr>
                <w:sz w:val="20"/>
                <w:szCs w:val="20"/>
                <w:lang w:val="en-GB"/>
              </w:rPr>
              <w:t xml:space="preserve">. Most axSpA cohorts report dactylitis rarely (single-digit percentages). If a patient has concomitant peripheral SpA features, dactylitis may be more common. A rate of approximately </w:t>
            </w:r>
            <w:r>
              <w:rPr>
                <w:b/>
                <w:bCs/>
                <w:sz w:val="20"/>
                <w:szCs w:val="20"/>
                <w:lang w:val="en-GB"/>
              </w:rPr>
              <w:t>~</w:t>
            </w:r>
            <w:r>
              <w:rPr>
                <w:sz w:val="20"/>
                <w:szCs w:val="20"/>
                <w:lang w:val="en-GB"/>
              </w:rPr>
              <w:t xml:space="preserve">8-14% has been found. </w:t>
            </w:r>
          </w:p>
        </w:tc>
        <w:tc>
          <w:tcPr>
            <w:tcW w:w="1269" w:type="dxa"/>
          </w:tcPr>
          <w:p w14:paraId="09DC891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,0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18EF9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5FD13DDA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24</w:t>
            </w:r>
          </w:p>
        </w:tc>
        <w:tc>
          <w:tcPr>
            <w:tcW w:w="7758" w:type="dxa"/>
          </w:tcPr>
          <w:p w14:paraId="549EC0A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In PsA cohorts dactylitis is common — many series report </w:t>
            </w:r>
            <w:r>
              <w:rPr>
                <w:b/>
                <w:bCs/>
                <w:sz w:val="20"/>
                <w:szCs w:val="20"/>
                <w:lang w:val="en-US"/>
              </w:rPr>
              <w:t>~30–50%</w:t>
            </w:r>
            <w:r>
              <w:rPr>
                <w:sz w:val="20"/>
                <w:szCs w:val="20"/>
                <w:lang w:val="en-US"/>
              </w:rPr>
              <w:t xml:space="preserve"> lifetime prevalence of dactylitis (some reviews cite ~40%). Use that range cautiously for Germany; cohort definitions differ. </w:t>
            </w:r>
          </w:p>
        </w:tc>
        <w:tc>
          <w:tcPr>
            <w:tcW w:w="1269" w:type="dxa"/>
          </w:tcPr>
          <w:p w14:paraId="2A63733A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5%</w:t>
            </w:r>
          </w:p>
        </w:tc>
      </w:tr>
      <w:tr w14:paraId="50920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547562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25</w:t>
            </w:r>
          </w:p>
        </w:tc>
        <w:tc>
          <w:tcPr>
            <w:tcW w:w="7758" w:type="dxa"/>
          </w:tcPr>
          <w:p w14:paraId="3308FE76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Reduced spinal mobility is frequent in axSpA; many cohorts document measurable reductions in metrology indices at diagnosis. Exact % with clinically “limited ROM” depends on the definition used — objective tests and BASMI/metrology data are used in cohorts. </w:t>
            </w:r>
            <w:r>
              <w:rPr>
                <w:sz w:val="20"/>
                <w:szCs w:val="20"/>
                <w:lang w:val="en-GB"/>
              </w:rPr>
              <w:t xml:space="preserve">A rate of approximately </w:t>
            </w:r>
            <w:r>
              <w:rPr>
                <w:b/>
                <w:bCs/>
                <w:sz w:val="20"/>
                <w:szCs w:val="20"/>
                <w:lang w:val="en-GB"/>
              </w:rPr>
              <w:t>~</w:t>
            </w:r>
            <w:r>
              <w:rPr>
                <w:b/>
                <w:bCs/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GB"/>
              </w:rPr>
              <w:t>-1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GB"/>
              </w:rPr>
              <w:t>% has been found.</w:t>
            </w:r>
          </w:p>
        </w:tc>
        <w:tc>
          <w:tcPr>
            <w:tcW w:w="1269" w:type="dxa"/>
          </w:tcPr>
          <w:p w14:paraId="68BCB93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,0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6A3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17069977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26</w:t>
            </w:r>
          </w:p>
        </w:tc>
        <w:tc>
          <w:tcPr>
            <w:tcW w:w="7758" w:type="dxa"/>
          </w:tcPr>
          <w:p w14:paraId="162F4719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Range of motion limitations occur when axial involvement or severe peripheral joint damage exists; prevalence varies by cohort. A rate 10-18% has been found in public literature. </w:t>
            </w:r>
          </w:p>
        </w:tc>
        <w:tc>
          <w:tcPr>
            <w:tcW w:w="1269" w:type="dxa"/>
          </w:tcPr>
          <w:p w14:paraId="2F829DCA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2%</w:t>
            </w:r>
          </w:p>
        </w:tc>
      </w:tr>
      <w:tr w14:paraId="15E9F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0C488425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27</w:t>
            </w:r>
          </w:p>
        </w:tc>
        <w:tc>
          <w:tcPr>
            <w:tcW w:w="7758" w:type="dxa"/>
          </w:tcPr>
          <w:p w14:paraId="0B36E6A2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Across axSpA cohorts, </w:t>
            </w:r>
            <w:r>
              <w:rPr>
                <w:b/>
                <w:bCs/>
                <w:sz w:val="20"/>
                <w:szCs w:val="20"/>
                <w:lang w:val="en-US"/>
              </w:rPr>
              <w:t>CRP elevation at baseline</w:t>
            </w:r>
            <w:r>
              <w:rPr>
                <w:sz w:val="20"/>
                <w:szCs w:val="20"/>
                <w:lang w:val="en-US"/>
              </w:rPr>
              <w:t xml:space="preserve"> is variable; many studies report </w:t>
            </w:r>
            <w:r>
              <w:rPr>
                <w:b/>
                <w:bCs/>
                <w:sz w:val="20"/>
                <w:szCs w:val="20"/>
                <w:lang w:val="en-US"/>
              </w:rPr>
              <w:t>~30–50%</w:t>
            </w:r>
            <w:r>
              <w:rPr>
                <w:sz w:val="20"/>
                <w:szCs w:val="20"/>
                <w:lang w:val="en-US"/>
              </w:rPr>
              <w:t xml:space="preserve"> with elevated CRP at presentation (some lower, some higher). Elevated CRP is common but not universal. </w:t>
            </w:r>
          </w:p>
        </w:tc>
        <w:tc>
          <w:tcPr>
            <w:tcW w:w="1269" w:type="dxa"/>
          </w:tcPr>
          <w:p w14:paraId="6546B2D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6%</w:t>
            </w:r>
          </w:p>
        </w:tc>
      </w:tr>
      <w:tr w14:paraId="530B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  <w:shd w:val="clear" w:color="auto" w:fill="DEEAF6" w:themeFill="accent1" w:themeFillTint="33"/>
          </w:tcPr>
          <w:p w14:paraId="43043EA1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28</w:t>
            </w:r>
          </w:p>
        </w:tc>
        <w:tc>
          <w:tcPr>
            <w:tcW w:w="7758" w:type="dxa"/>
          </w:tcPr>
          <w:p w14:paraId="6CA7748E">
            <w:pPr>
              <w:spacing w:after="0" w:line="240" w:lineRule="auto"/>
              <w:jc w:val="both"/>
              <w:rPr>
                <w:rFonts w:eastAsia="Times New Roman"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In PsA cohorts, an elevated CRP is present in a </w:t>
            </w:r>
            <w:r>
              <w:rPr>
                <w:b/>
                <w:bCs/>
                <w:sz w:val="20"/>
                <w:szCs w:val="20"/>
                <w:lang w:val="en-US"/>
              </w:rPr>
              <w:t>substantial minority</w:t>
            </w:r>
            <w:r>
              <w:rPr>
                <w:sz w:val="20"/>
                <w:szCs w:val="20"/>
                <w:lang w:val="en-US"/>
              </w:rPr>
              <w:t xml:space="preserve"> (several reports cite ~30–40% depending on disease activity and cohort). Note that many PsA patients have normal CRP despite active disease. </w:t>
            </w:r>
          </w:p>
        </w:tc>
        <w:tc>
          <w:tcPr>
            <w:tcW w:w="1269" w:type="dxa"/>
          </w:tcPr>
          <w:p w14:paraId="4AF0760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8%</w:t>
            </w:r>
          </w:p>
        </w:tc>
      </w:tr>
    </w:tbl>
    <w:p w14:paraId="4A852F9F">
      <w:pPr>
        <w:spacing w:before="120" w:after="120" w:line="24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bCs/>
          <w:color w:val="0070C0"/>
          <w:lang w:val="en-US"/>
        </w:rPr>
        <w:t xml:space="preserve">Note: </w:t>
      </w:r>
      <w:r>
        <w:rPr>
          <w:bCs/>
          <w:lang w:val="en-US"/>
        </w:rPr>
        <w:t>All answers are marked "</w:t>
      </w:r>
      <w:r>
        <w:rPr>
          <w:bCs/>
          <w:i/>
          <w:lang w:val="en-US"/>
        </w:rPr>
        <w:t>There are no published data specifically for Rhineland-Westphalia limited to ages 26-72</w:t>
      </w:r>
      <w:r>
        <w:rPr>
          <w:bCs/>
          <w:lang w:val="en-US"/>
        </w:rPr>
        <w:t>".</w:t>
      </w:r>
    </w:p>
    <w:p w14:paraId="47267639">
      <w:pPr>
        <w:spacing w:before="120" w:after="120" w:line="240" w:lineRule="auto"/>
        <w:jc w:val="both"/>
        <w:rPr>
          <w:rFonts w:cstheme="minorHAnsi"/>
          <w:b/>
          <w:color w:val="0070C0"/>
          <w:sz w:val="24"/>
          <w:szCs w:val="24"/>
          <w:lang w:val="en-US"/>
        </w:rPr>
      </w:pPr>
    </w:p>
    <w:p w14:paraId="044599F2">
      <w:pPr>
        <w:spacing w:before="120" w:after="120" w:line="240" w:lineRule="auto"/>
        <w:jc w:val="both"/>
        <w:rPr>
          <w:rFonts w:cstheme="minorHAnsi"/>
          <w:b/>
          <w:color w:val="0070C0"/>
          <w:sz w:val="24"/>
          <w:szCs w:val="24"/>
          <w:lang w:val="en-US"/>
        </w:rPr>
      </w:pPr>
      <w:r>
        <w:rPr>
          <w:rFonts w:cstheme="minorHAnsi"/>
          <w:b/>
          <w:color w:val="0070C0"/>
          <w:sz w:val="24"/>
          <w:szCs w:val="24"/>
          <w:lang w:val="en-US"/>
        </w:rPr>
        <w:t>Table A-3: DeepSeek response results</w:t>
      </w:r>
    </w:p>
    <w:p w14:paraId="5D18AE40">
      <w:pPr>
        <w:spacing w:after="0" w:line="240" w:lineRule="auto"/>
        <w:rPr>
          <w:highlight w:val="lightGray"/>
          <w:lang w:val="en-GB"/>
        </w:rPr>
      </w:pPr>
      <w:r>
        <w:rPr>
          <w:b/>
          <w:bCs/>
          <w:highlight w:val="lightGray"/>
          <w:lang w:val="en-GB"/>
        </w:rPr>
        <w:t>Model and Inference Parameters:</w:t>
      </w:r>
    </w:p>
    <w:p w14:paraId="6B361FD4">
      <w:pPr>
        <w:numPr>
          <w:ilvl w:val="0"/>
          <w:numId w:val="1"/>
        </w:numPr>
        <w:spacing w:after="0" w:line="240" w:lineRule="auto"/>
        <w:rPr>
          <w:color w:val="843C0B" w:themeColor="accent2" w:themeShade="80"/>
          <w:sz w:val="24"/>
          <w:szCs w:val="24"/>
          <w:highlight w:val="lightGray"/>
          <w:lang w:val="en-GB"/>
        </w:rPr>
      </w:pPr>
      <w:r>
        <w:rPr>
          <w:b/>
          <w:bCs/>
          <w:color w:val="843C0B" w:themeColor="accent2" w:themeShade="80"/>
          <w:sz w:val="24"/>
          <w:szCs w:val="24"/>
          <w:highlight w:val="lightGray"/>
          <w:lang w:val="en-GB"/>
        </w:rPr>
        <w:t>Model Version:</w:t>
      </w:r>
      <w:r>
        <w:rPr>
          <w:color w:val="843C0B" w:themeColor="accent2" w:themeShade="80"/>
          <w:sz w:val="24"/>
          <w:szCs w:val="24"/>
          <w:highlight w:val="lightGray"/>
          <w:lang w:val="en-GB"/>
        </w:rPr>
        <w:t xml:space="preserve"> </w:t>
      </w:r>
      <w:r>
        <w:rPr>
          <w:b/>
          <w:color w:val="843C0B" w:themeColor="accent2" w:themeShade="80"/>
          <w:sz w:val="24"/>
          <w:szCs w:val="24"/>
          <w:highlight w:val="lightGray"/>
          <w:lang w:val="en-GB"/>
        </w:rPr>
        <w:t>DeepSeek-R1</w:t>
      </w:r>
    </w:p>
    <w:p w14:paraId="4DF1434E">
      <w:pPr>
        <w:numPr>
          <w:ilvl w:val="0"/>
          <w:numId w:val="1"/>
        </w:numPr>
        <w:spacing w:after="0" w:line="240" w:lineRule="auto"/>
        <w:rPr>
          <w:highlight w:val="lightGray"/>
          <w:lang w:val="en-GB"/>
        </w:rPr>
      </w:pPr>
      <w:r>
        <w:rPr>
          <w:b/>
          <w:bCs/>
          <w:highlight w:val="lightGray"/>
          <w:lang w:val="en-GB"/>
        </w:rPr>
        <w:t>Temperature:</w:t>
      </w:r>
      <w:r>
        <w:rPr>
          <w:highlight w:val="lightGray"/>
          <w:lang w:val="en-GB"/>
        </w:rPr>
        <w:t xml:space="preserve"> 0.3 (Selected for more deterministic and focused outputs)</w:t>
      </w:r>
    </w:p>
    <w:p w14:paraId="65F41ED7">
      <w:pPr>
        <w:numPr>
          <w:ilvl w:val="0"/>
          <w:numId w:val="1"/>
        </w:numPr>
        <w:spacing w:after="0" w:line="240" w:lineRule="auto"/>
        <w:rPr>
          <w:highlight w:val="lightGray"/>
          <w:lang w:val="en-GB"/>
        </w:rPr>
      </w:pPr>
      <w:r>
        <w:rPr>
          <w:b/>
          <w:bCs/>
          <w:highlight w:val="lightGray"/>
          <w:lang w:val="en-GB"/>
        </w:rPr>
        <w:t>Top-p:</w:t>
      </w:r>
      <w:r>
        <w:rPr>
          <w:highlight w:val="lightGray"/>
          <w:lang w:val="en-GB"/>
        </w:rPr>
        <w:t xml:space="preserve"> 0.7</w:t>
      </w:r>
    </w:p>
    <w:p w14:paraId="244A61B2">
      <w:pPr>
        <w:numPr>
          <w:ilvl w:val="0"/>
          <w:numId w:val="1"/>
        </w:numPr>
        <w:spacing w:after="120" w:line="240" w:lineRule="auto"/>
        <w:ind w:left="714" w:hanging="357"/>
        <w:rPr>
          <w:highlight w:val="lightGray"/>
          <w:lang w:val="en-GB"/>
        </w:rPr>
      </w:pPr>
      <w:r>
        <w:rPr>
          <w:b/>
          <w:bCs/>
          <w:highlight w:val="lightGray"/>
          <w:lang w:val="en-GB"/>
        </w:rPr>
        <w:t>Number of Runs:</w:t>
      </w:r>
      <w:r>
        <w:rPr>
          <w:highlight w:val="lightGray"/>
          <w:lang w:val="en-GB"/>
        </w:rPr>
        <w:t xml:space="preserve"> 1</w:t>
      </w:r>
    </w:p>
    <w:tbl>
      <w:tblPr>
        <w:tblStyle w:val="13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789"/>
      </w:tblGrid>
      <w:tr w14:paraId="05E0B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7CAAC" w:themeFill="accent2" w:themeFillTint="66"/>
          </w:tcPr>
          <w:p w14:paraId="5C56429C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8789" w:type="dxa"/>
            <w:shd w:val="clear" w:color="auto" w:fill="F7CAAC" w:themeFill="accent2" w:themeFillTint="66"/>
          </w:tcPr>
          <w:p w14:paraId="53D58B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Responses</w:t>
            </w:r>
          </w:p>
        </w:tc>
      </w:tr>
      <w:tr w14:paraId="5C5EF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7CA68D6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8789" w:type="dxa"/>
          </w:tcPr>
          <w:p w14:paraId="2284E2B8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An estimated </w:t>
            </w:r>
            <w:r>
              <w:rPr>
                <w:b/>
                <w:bCs/>
                <w:lang w:val="en-US"/>
              </w:rPr>
              <w:t>70-90%</w:t>
            </w:r>
            <w:r>
              <w:rPr>
                <w:lang w:val="en-US"/>
              </w:rPr>
              <w:t xml:space="preserve"> of patients with axSpA report morning stiffness in the spine at the time of diagnosis. This is a core clinical feature of the disease.</w:t>
            </w:r>
          </w:p>
        </w:tc>
      </w:tr>
      <w:tr w14:paraId="67F7D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37DA362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</w:t>
            </w:r>
          </w:p>
        </w:tc>
        <w:tc>
          <w:tcPr>
            <w:tcW w:w="8789" w:type="dxa"/>
          </w:tcPr>
          <w:p w14:paraId="4FBC6A52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An estimated </w:t>
            </w:r>
            <w:r>
              <w:rPr>
                <w:b/>
                <w:bCs/>
                <w:lang w:val="en-US"/>
              </w:rPr>
              <w:t>50-70%</w:t>
            </w:r>
            <w:r>
              <w:rPr>
                <w:lang w:val="en-US"/>
              </w:rPr>
              <w:t xml:space="preserve"> of patients with PsA present with morning stiffness. However, in PsA, stiffness is often more prominent in peripheral joints than in the spine, unless axial involvement is present.</w:t>
            </w:r>
          </w:p>
        </w:tc>
      </w:tr>
      <w:tr w14:paraId="2AA1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5699D28">
            <w:pPr>
              <w:spacing w:after="0"/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3</w:t>
            </w:r>
          </w:p>
        </w:tc>
        <w:tc>
          <w:tcPr>
            <w:tcW w:w="8789" w:type="dxa"/>
          </w:tcPr>
          <w:p w14:paraId="3AB0E926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An estimated </w:t>
            </w:r>
            <w:r>
              <w:rPr>
                <w:b/>
                <w:bCs/>
                <w:lang w:val="en-US"/>
              </w:rPr>
              <w:t>10-25%</w:t>
            </w:r>
            <w:r>
              <w:rPr>
                <w:lang w:val="en-US"/>
              </w:rPr>
              <w:t xml:space="preserve"> of patients with axSpA have a co-existing diagnosis of psoriasis.</w:t>
            </w:r>
          </w:p>
        </w:tc>
      </w:tr>
      <w:tr w14:paraId="0CFE7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5FA9EBE3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4</w:t>
            </w:r>
          </w:p>
        </w:tc>
        <w:tc>
          <w:tcPr>
            <w:tcW w:w="8789" w:type="dxa"/>
          </w:tcPr>
          <w:p w14:paraId="04A3DE1E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By definition, PsA occurs in the context of psoriasis. An estimated </w:t>
            </w:r>
            <w:r>
              <w:rPr>
                <w:b/>
                <w:bCs/>
                <w:lang w:val="en-US"/>
              </w:rPr>
              <w:t>85-100%</w:t>
            </w:r>
            <w:r>
              <w:rPr>
                <w:lang w:val="en-US"/>
              </w:rPr>
              <w:t xml:space="preserve"> of PsA patients have a current personal history of psoriasis or will develop it. In a small minority, arthritis can precede the skin manifestations.</w:t>
            </w:r>
          </w:p>
        </w:tc>
      </w:tr>
      <w:tr w14:paraId="3C821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32AD8F1D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5</w:t>
            </w:r>
          </w:p>
        </w:tc>
        <w:tc>
          <w:tcPr>
            <w:tcW w:w="8789" w:type="dxa"/>
          </w:tcPr>
          <w:p w14:paraId="15271D0A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 good to excellent response to NSAIDs is a key diagnostic feature. An estimated </w:t>
            </w:r>
            <w:r>
              <w:rPr>
                <w:b/>
                <w:bCs/>
                <w:lang w:val="en-US"/>
              </w:rPr>
              <w:t>70-90%</w:t>
            </w:r>
            <w:r>
              <w:rPr>
                <w:lang w:val="en-US"/>
              </w:rPr>
              <w:t xml:space="preserve"> of axSpA patients experience significant pain and stiffness improvement with NSAIDs.</w:t>
            </w:r>
          </w:p>
        </w:tc>
      </w:tr>
      <w:tr w14:paraId="6FDF1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F5328A7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6</w:t>
            </w:r>
          </w:p>
        </w:tc>
        <w:tc>
          <w:tcPr>
            <w:tcW w:w="8789" w:type="dxa"/>
          </w:tcPr>
          <w:p w14:paraId="7B3DA4B5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This question asks for a number, but without a total patient population, a percentage is more meaningful. An estimated </w:t>
            </w:r>
            <w:r>
              <w:rPr>
                <w:b/>
                <w:bCs/>
                <w:lang w:val="en-US"/>
              </w:rPr>
              <w:t>50-70%</w:t>
            </w:r>
            <w:r>
              <w:rPr>
                <w:lang w:val="en-US"/>
              </w:rPr>
              <w:t xml:space="preserve"> of PsA patients experience pain improvement with NSAIDs, though they are often insufficient as monotherapy.</w:t>
            </w:r>
          </w:p>
        </w:tc>
      </w:tr>
      <w:tr w14:paraId="472C8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5949271B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7</w:t>
            </w:r>
          </w:p>
        </w:tc>
        <w:tc>
          <w:tcPr>
            <w:tcW w:w="8789" w:type="dxa"/>
          </w:tcPr>
          <w:p w14:paraId="619CF0F7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axSpA typically has a symptom onset in the </w:t>
            </w:r>
            <w:r>
              <w:rPr>
                <w:b/>
                <w:bCs/>
                <w:lang w:val="en-US"/>
              </w:rPr>
              <w:t>late teens to late 20s</w:t>
            </w:r>
            <w:r>
              <w:rPr>
                <w:lang w:val="en-US"/>
              </w:rPr>
              <w:t xml:space="preserve">. The median age of onset is often cited as around </w:t>
            </w:r>
            <w:r>
              <w:rPr>
                <w:b/>
                <w:bCs/>
                <w:lang w:val="en-US"/>
              </w:rPr>
              <w:t>26 years</w:t>
            </w:r>
            <w:r>
              <w:rPr>
                <w:lang w:val="en-US"/>
              </w:rPr>
              <w:t>.</w:t>
            </w:r>
          </w:p>
        </w:tc>
      </w:tr>
      <w:tr w14:paraId="73776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2F163707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8</w:t>
            </w:r>
          </w:p>
        </w:tc>
        <w:tc>
          <w:tcPr>
            <w:tcW w:w="8789" w:type="dxa"/>
          </w:tcPr>
          <w:p w14:paraId="63655CA5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PsA typically develops between the ages of </w:t>
            </w:r>
            <w:r>
              <w:rPr>
                <w:b/>
                <w:bCs/>
                <w:lang w:val="en-US"/>
              </w:rPr>
              <w:t>30 and 50 years</w:t>
            </w:r>
            <w:r>
              <w:rPr>
                <w:lang w:val="en-US"/>
              </w:rPr>
              <w:t xml:space="preserve">, with a peak onset around </w:t>
            </w:r>
            <w:r>
              <w:rPr>
                <w:b/>
                <w:bCs/>
                <w:lang w:val="en-US"/>
              </w:rPr>
              <w:t>40 years</w:t>
            </w:r>
            <w:r>
              <w:rPr>
                <w:lang w:val="en-US"/>
              </w:rPr>
              <w:t>.</w:t>
            </w:r>
          </w:p>
        </w:tc>
      </w:tr>
      <w:tr w14:paraId="48609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5CFB61F8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9</w:t>
            </w:r>
          </w:p>
        </w:tc>
        <w:tc>
          <w:tcPr>
            <w:tcW w:w="8789" w:type="dxa"/>
          </w:tcPr>
          <w:p w14:paraId="3A8F23C6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Historically, axSpA was thought to be male-predominant. More recent data suggests the ratio is closer to </w:t>
            </w:r>
            <w:r>
              <w:rPr>
                <w:b/>
                <w:bCs/>
                <w:lang w:val="en-US"/>
              </w:rPr>
              <w:t>~2:1 to 1:1 (male:female)</w:t>
            </w:r>
            <w:r>
              <w:rPr>
                <w:lang w:val="en-US"/>
              </w:rPr>
              <w:t>, especially when non-radiographic axSpA is included, which is more common in women.</w:t>
            </w:r>
          </w:p>
        </w:tc>
      </w:tr>
      <w:tr w14:paraId="57F47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5AD19610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10</w:t>
            </w:r>
          </w:p>
        </w:tc>
        <w:tc>
          <w:tcPr>
            <w:tcW w:w="8789" w:type="dxa"/>
          </w:tcPr>
          <w:p w14:paraId="2169E6B0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PsA affects men and women nearly equally, with a ratio of approximately </w:t>
            </w:r>
            <w:r>
              <w:rPr>
                <w:b/>
                <w:bCs/>
                <w:lang w:val="en-US"/>
              </w:rPr>
              <w:t>1:1</w:t>
            </w:r>
            <w:r>
              <w:rPr>
                <w:lang w:val="en-US"/>
              </w:rPr>
              <w:t>.</w:t>
            </w:r>
          </w:p>
        </w:tc>
      </w:tr>
      <w:tr w14:paraId="4F031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3DD1B7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11</w:t>
            </w:r>
          </w:p>
        </w:tc>
        <w:tc>
          <w:tcPr>
            <w:tcW w:w="8789" w:type="dxa"/>
          </w:tcPr>
          <w:p w14:paraId="01CD3E3C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 layperson's (non-medical) guess would have a very low concordance rate. Based on the complexity of the diagnosis, the estimated percentage is </w:t>
            </w:r>
            <w:r>
              <w:rPr>
                <w:b/>
                <w:bCs/>
                <w:lang w:val="en-US"/>
              </w:rPr>
              <w:t>&lt;10%</w:t>
            </w:r>
            <w:r>
              <w:rPr>
                <w:lang w:val="en-US"/>
              </w:rPr>
              <w:t>.</w:t>
            </w:r>
          </w:p>
        </w:tc>
      </w:tr>
      <w:tr w14:paraId="34C5E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053EA3AC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12</w:t>
            </w:r>
          </w:p>
        </w:tc>
        <w:tc>
          <w:tcPr>
            <w:tcW w:w="8789" w:type="dxa"/>
          </w:tcPr>
          <w:p w14:paraId="51F388FD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 "lay doctor" (e.g., general practitioner) would have a better chance than a non-medical person. The concordance rate with a rheumatologist's diagnosis is estimated to be </w:t>
            </w:r>
            <w:r>
              <w:rPr>
                <w:b/>
                <w:bCs/>
                <w:lang w:val="en-US"/>
              </w:rPr>
              <w:t>~30-50%</w:t>
            </w:r>
            <w:r>
              <w:rPr>
                <w:lang w:val="en-US"/>
              </w:rPr>
              <w:t>, as PsA can mimic other forms of arthritis.</w:t>
            </w:r>
          </w:p>
        </w:tc>
      </w:tr>
      <w:tr w14:paraId="06E6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36213074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13</w:t>
            </w:r>
          </w:p>
        </w:tc>
        <w:tc>
          <w:tcPr>
            <w:tcW w:w="8789" w:type="dxa"/>
          </w:tcPr>
          <w:p w14:paraId="7CA42C53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The prevalence of HLA-B27 is high in axSpA. An estimated </w:t>
            </w:r>
            <w:r>
              <w:rPr>
                <w:b/>
                <w:bCs/>
                <w:lang w:val="en-US"/>
              </w:rPr>
              <w:t>80-90%</w:t>
            </w:r>
            <w:r>
              <w:rPr>
                <w:lang w:val="en-US"/>
              </w:rPr>
              <w:t xml:space="preserve"> of patients with radiographic axSpA (Ankylosing Spondylitis) are positive, and </w:t>
            </w:r>
            <w:r>
              <w:rPr>
                <w:b/>
                <w:bCs/>
                <w:lang w:val="en-US"/>
              </w:rPr>
              <w:t>50-70%</w:t>
            </w:r>
            <w:r>
              <w:rPr>
                <w:lang w:val="en-US"/>
              </w:rPr>
              <w:t xml:space="preserve"> of those with non-radiographic axSpA are positive.</w:t>
            </w:r>
          </w:p>
        </w:tc>
      </w:tr>
      <w:tr w14:paraId="27A2D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6479A985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14</w:t>
            </w:r>
          </w:p>
        </w:tc>
        <w:tc>
          <w:tcPr>
            <w:tcW w:w="8789" w:type="dxa"/>
          </w:tcPr>
          <w:p w14:paraId="3B03F0AC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HLA-B27 is less common in PsA than in axSpA. An estimated </w:t>
            </w:r>
            <w:r>
              <w:rPr>
                <w:b/>
                <w:bCs/>
                <w:lang w:val="en-US"/>
              </w:rPr>
              <w:t>10-25%</w:t>
            </w:r>
            <w:r>
              <w:rPr>
                <w:lang w:val="en-US"/>
              </w:rPr>
              <w:t xml:space="preserve"> of all PsA patients are positive. This percentage is higher in PsA patients with axial involvement.</w:t>
            </w:r>
          </w:p>
        </w:tc>
      </w:tr>
      <w:tr w14:paraId="3B10F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045BCE35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15</w:t>
            </w:r>
          </w:p>
        </w:tc>
        <w:tc>
          <w:tcPr>
            <w:tcW w:w="8789" w:type="dxa"/>
          </w:tcPr>
          <w:p w14:paraId="6D6E2DCD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>This question is phrased backwards. A more standard epidemiological measure is the risk associated with smoking. It is not possible to state what percentage of smokers develop axSpA. However, smoking is a known strong environmental risk factor for developing axSpA and is associated with worse disease severity.</w:t>
            </w:r>
          </w:p>
        </w:tc>
      </w:tr>
      <w:tr w14:paraId="7F7A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27F5B5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16</w:t>
            </w:r>
          </w:p>
        </w:tc>
        <w:tc>
          <w:tcPr>
            <w:tcW w:w="8789" w:type="dxa"/>
          </w:tcPr>
          <w:p w14:paraId="59B74863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>Similar to the previous question, a direct percentage is not standard. Smoking is a risk factor for psoriasis and may be associated with a higher risk of developing PsA, but a specific percentage for the development of PsA among smokers cannot be reliably estimated here.</w:t>
            </w:r>
          </w:p>
        </w:tc>
      </w:tr>
      <w:tr w14:paraId="0ED7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329AB0B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17</w:t>
            </w:r>
          </w:p>
        </w:tc>
        <w:tc>
          <w:tcPr>
            <w:tcW w:w="8789" w:type="dxa"/>
          </w:tcPr>
          <w:p w14:paraId="13CA03E1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Active inflammatory sacroiliitis on MRI is a key diagnostic criterion. An estimated </w:t>
            </w:r>
            <w:r>
              <w:rPr>
                <w:b/>
                <w:bCs/>
                <w:lang w:val="en-US"/>
              </w:rPr>
              <w:t>60-80%</w:t>
            </w:r>
            <w:r>
              <w:rPr>
                <w:lang w:val="en-US"/>
              </w:rPr>
              <w:t xml:space="preserve"> of patients with axSpA will have a positive MRI for sacroiliitis at diagnosis.</w:t>
            </w:r>
          </w:p>
        </w:tc>
      </w:tr>
      <w:tr w14:paraId="31271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4CB4E39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18</w:t>
            </w:r>
          </w:p>
        </w:tc>
        <w:tc>
          <w:tcPr>
            <w:tcW w:w="8789" w:type="dxa"/>
          </w:tcPr>
          <w:p w14:paraId="64EFE9AC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Axial involvement occurs in a subset of PsA patients. An estimated </w:t>
            </w:r>
            <w:r>
              <w:rPr>
                <w:b/>
                <w:bCs/>
                <w:lang w:val="en-US"/>
              </w:rPr>
              <w:t>25-40%</w:t>
            </w:r>
            <w:r>
              <w:rPr>
                <w:lang w:val="en-US"/>
              </w:rPr>
              <w:t xml:space="preserve"> of PsA patients have a positive MRI for sacroiliitis.</w:t>
            </w:r>
          </w:p>
        </w:tc>
      </w:tr>
      <w:tr w14:paraId="0F7CE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8570DC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19</w:t>
            </w:r>
          </w:p>
        </w:tc>
        <w:tc>
          <w:tcPr>
            <w:tcW w:w="8789" w:type="dxa"/>
          </w:tcPr>
          <w:p w14:paraId="4C60A1F1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Acute anterior uveitis is a common extra-articular manifestation. An estimated </w:t>
            </w:r>
            <w:r>
              <w:rPr>
                <w:b/>
                <w:bCs/>
                <w:lang w:val="en-US"/>
              </w:rPr>
              <w:t>25-40%</w:t>
            </w:r>
            <w:r>
              <w:rPr>
                <w:lang w:val="en-US"/>
              </w:rPr>
              <w:t xml:space="preserve"> of axSpA patients will experience at least one episode of uveitis.</w:t>
            </w:r>
          </w:p>
        </w:tc>
      </w:tr>
      <w:tr w14:paraId="3EF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04" w:type="dxa"/>
            <w:shd w:val="clear" w:color="auto" w:fill="DEEAF6" w:themeFill="accent1" w:themeFillTint="33"/>
          </w:tcPr>
          <w:p w14:paraId="3D19BE9F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20</w:t>
            </w:r>
          </w:p>
        </w:tc>
        <w:tc>
          <w:tcPr>
            <w:tcW w:w="8789" w:type="dxa"/>
          </w:tcPr>
          <w:p w14:paraId="1A45FFC1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Uveitis is less common in PsA than in axSpA. An estimated </w:t>
            </w:r>
            <w:r>
              <w:rPr>
                <w:b/>
                <w:bCs/>
                <w:lang w:val="en-US"/>
              </w:rPr>
              <w:t>7-15%</w:t>
            </w:r>
            <w:r>
              <w:rPr>
                <w:lang w:val="en-US"/>
              </w:rPr>
              <w:t xml:space="preserve"> of PsA patients develop uveitis.</w:t>
            </w:r>
          </w:p>
        </w:tc>
      </w:tr>
      <w:tr w14:paraId="08575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2B847996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21</w:t>
            </w:r>
          </w:p>
        </w:tc>
        <w:tc>
          <w:tcPr>
            <w:tcW w:w="8789" w:type="dxa"/>
          </w:tcPr>
          <w:p w14:paraId="0B5A3050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Diarrhea is not a direct symptom of axSpA but can occur due to associated Inflammatory Bowel Disease (IBD) or NSAID use. An estimated </w:t>
            </w:r>
            <w:r>
              <w:rPr>
                <w:b/>
                <w:bCs/>
                <w:lang w:val="en-US"/>
              </w:rPr>
              <w:t>5-10%</w:t>
            </w:r>
            <w:r>
              <w:rPr>
                <w:lang w:val="en-US"/>
              </w:rPr>
              <w:t xml:space="preserve"> of axSpA patients may experience chronic diarrhea, primarily linked to these comorbidities.</w:t>
            </w:r>
          </w:p>
        </w:tc>
      </w:tr>
      <w:tr w14:paraId="05BA5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E37CED4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22</w:t>
            </w:r>
          </w:p>
        </w:tc>
        <w:tc>
          <w:tcPr>
            <w:tcW w:w="8789" w:type="dxa"/>
          </w:tcPr>
          <w:p w14:paraId="56144F69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Similar to axSpA, diarrhea is not a primary feature. An estimated </w:t>
            </w:r>
            <w:r>
              <w:rPr>
                <w:b/>
                <w:bCs/>
                <w:lang w:val="en-US"/>
              </w:rPr>
              <w:t>&lt;5%</w:t>
            </w:r>
            <w:r>
              <w:rPr>
                <w:lang w:val="en-US"/>
              </w:rPr>
              <w:t xml:space="preserve"> of PsA patients experience diarrhea directly related to their condition, though it can also be a side effect of medications.</w:t>
            </w:r>
          </w:p>
        </w:tc>
      </w:tr>
      <w:tr w14:paraId="2E25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74934A1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23</w:t>
            </w:r>
          </w:p>
        </w:tc>
        <w:tc>
          <w:tcPr>
            <w:tcW w:w="8789" w:type="dxa"/>
          </w:tcPr>
          <w:p w14:paraId="3B7B510D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Dactylitis ("sausage digits") can occur in axSpA but is more characteristic of PsA. An estimated </w:t>
            </w:r>
            <w:r>
              <w:rPr>
                <w:b/>
                <w:bCs/>
                <w:lang w:val="en-US"/>
              </w:rPr>
              <w:t>5-15%</w:t>
            </w:r>
            <w:r>
              <w:rPr>
                <w:lang w:val="en-US"/>
              </w:rPr>
              <w:t xml:space="preserve"> of axSpA patients experience dactylitis.</w:t>
            </w:r>
          </w:p>
        </w:tc>
      </w:tr>
      <w:tr w14:paraId="34516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7EB5179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24</w:t>
            </w:r>
          </w:p>
        </w:tc>
        <w:tc>
          <w:tcPr>
            <w:tcW w:w="8789" w:type="dxa"/>
          </w:tcPr>
          <w:p w14:paraId="4A69234D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I assume this is a typo for "dactylitis." Dactylitis is a hallmark feature of PsA. An estimated </w:t>
            </w:r>
            <w:r>
              <w:rPr>
                <w:b/>
                <w:bCs/>
                <w:lang w:val="en-US"/>
              </w:rPr>
              <w:t>30-50%</w:t>
            </w:r>
            <w:r>
              <w:rPr>
                <w:lang w:val="en-US"/>
              </w:rPr>
              <w:t xml:space="preserve"> of PsA patients experience dactylitis.</w:t>
            </w:r>
          </w:p>
        </w:tc>
      </w:tr>
      <w:tr w14:paraId="3F04B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216AA4C2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25</w:t>
            </w:r>
          </w:p>
        </w:tc>
        <w:tc>
          <w:tcPr>
            <w:tcW w:w="8789" w:type="dxa"/>
          </w:tcPr>
          <w:p w14:paraId="4A7D21DD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Limited spinal mobility is a core feature. An estimated </w:t>
            </w:r>
            <w:r>
              <w:rPr>
                <w:b/>
                <w:bCs/>
                <w:lang w:val="en-US"/>
              </w:rPr>
              <w:t>60-80%</w:t>
            </w:r>
            <w:r>
              <w:rPr>
                <w:lang w:val="en-US"/>
              </w:rPr>
              <w:t xml:space="preserve"> of patients have some degree of objectively measured limited range of motion in the spine at diagnosis.</w:t>
            </w:r>
          </w:p>
        </w:tc>
      </w:tr>
      <w:tr w14:paraId="26D8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1E27379F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26</w:t>
            </w:r>
          </w:p>
        </w:tc>
        <w:tc>
          <w:tcPr>
            <w:tcW w:w="8789" w:type="dxa"/>
          </w:tcPr>
          <w:p w14:paraId="3676B677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Limited range of motion in PsA is common in affected joints. An estimated </w:t>
            </w:r>
            <w:r>
              <w:rPr>
                <w:b/>
                <w:bCs/>
                <w:lang w:val="en-US"/>
              </w:rPr>
              <w:t>50-70%</w:t>
            </w:r>
            <w:r>
              <w:rPr>
                <w:lang w:val="en-US"/>
              </w:rPr>
              <w:t xml:space="preserve"> of patients have limited range of motion in peripheral or axial joints at diagnosis.</w:t>
            </w:r>
          </w:p>
        </w:tc>
      </w:tr>
      <w:tr w14:paraId="427AA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317425A6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27</w:t>
            </w:r>
          </w:p>
        </w:tc>
        <w:tc>
          <w:tcPr>
            <w:tcW w:w="8789" w:type="dxa"/>
          </w:tcPr>
          <w:p w14:paraId="062917FC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CRP is elevated in a significant proportion, but not all, patients. An estimated </w:t>
            </w:r>
            <w:r>
              <w:rPr>
                <w:b/>
                <w:bCs/>
                <w:lang w:val="en-US"/>
              </w:rPr>
              <w:t>50-70%</w:t>
            </w:r>
            <w:r>
              <w:rPr>
                <w:lang w:val="en-US"/>
              </w:rPr>
              <w:t xml:space="preserve"> of axSpA patients have an elevated CRP at diagnosis, especially those with more active inflammatory disease.</w:t>
            </w:r>
          </w:p>
        </w:tc>
      </w:tr>
      <w:tr w14:paraId="5FAE4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DEEAF6" w:themeFill="accent1" w:themeFillTint="33"/>
          </w:tcPr>
          <w:p w14:paraId="27953CBF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28</w:t>
            </w:r>
          </w:p>
        </w:tc>
        <w:tc>
          <w:tcPr>
            <w:tcW w:w="8789" w:type="dxa"/>
          </w:tcPr>
          <w:p w14:paraId="1C66B7E0">
            <w:pPr>
              <w:spacing w:after="0" w:line="240" w:lineRule="auto"/>
              <w:jc w:val="both"/>
              <w:rPr>
                <w:rFonts w:eastAsia="Times New Roman" w:cstheme="minorHAnsi"/>
                <w:lang w:val="en-US"/>
              </w:rPr>
            </w:pPr>
            <w:r>
              <w:rPr>
                <w:lang w:val="en-US"/>
              </w:rPr>
              <w:t xml:space="preserve">CRP elevation is common but not universal. An estimated </w:t>
            </w:r>
            <w:r>
              <w:rPr>
                <w:b/>
                <w:bCs/>
                <w:lang w:val="en-US"/>
              </w:rPr>
              <w:t>40-60%</w:t>
            </w:r>
            <w:r>
              <w:rPr>
                <w:lang w:val="en-US"/>
              </w:rPr>
              <w:t xml:space="preserve"> of PsA patients have an elevated CRP at diagnosis.</w:t>
            </w:r>
          </w:p>
        </w:tc>
      </w:tr>
    </w:tbl>
    <w:p w14:paraId="14E3602B">
      <w:pPr>
        <w:rPr>
          <w:lang w:val="en-US"/>
        </w:rPr>
      </w:pPr>
    </w:p>
    <w:p w14:paraId="6CE07084">
      <w:pPr>
        <w:spacing w:after="0" w:line="240" w:lineRule="auto"/>
        <w:rPr>
          <w:lang w:val="en-US"/>
        </w:rPr>
      </w:pPr>
    </w:p>
    <w:sectPr>
      <w:footerReference r:id="rId5" w:type="default"/>
      <w:pgSz w:w="11906" w:h="16838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1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yriad Pro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A1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A1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b/>
      </w:rPr>
      <w:id w:val="-1117752624"/>
      <w:docPartObj>
        <w:docPartGallery w:val="autotext"/>
      </w:docPartObj>
    </w:sdtPr>
    <w:sdtEndPr>
      <w:rPr>
        <w:b/>
      </w:rPr>
    </w:sdtEndPr>
    <w:sdtContent>
      <w:p w14:paraId="357845BB">
        <w:pPr>
          <w:pStyle w:val="8"/>
          <w:jc w:val="center"/>
          <w:rPr>
            <w:b/>
          </w:rPr>
        </w:pPr>
        <w:r>
          <w:rPr>
            <w:b/>
            <w:lang w:val="en-US"/>
          </w:rPr>
          <w:t>-</w:t>
        </w:r>
        <w:r>
          <w:rPr>
            <w:b/>
          </w:rPr>
          <w:fldChar w:fldCharType="begin"/>
        </w:r>
        <w:r>
          <w:rPr>
            <w:b/>
          </w:rPr>
          <w:instrText xml:space="preserve"> PAGE   \* MERGEFORMAT </w:instrText>
        </w:r>
        <w:r>
          <w:rPr>
            <w:b/>
          </w:rPr>
          <w:fldChar w:fldCharType="separate"/>
        </w:r>
        <w:r>
          <w:rPr>
            <w:b/>
          </w:rPr>
          <w:t>1</w:t>
        </w:r>
        <w:r>
          <w:rPr>
            <w:b/>
          </w:rPr>
          <w:fldChar w:fldCharType="end"/>
        </w:r>
        <w:r>
          <w:rPr>
            <w:b/>
            <w:lang w:val="en-US"/>
          </w:rPr>
          <w:t>-</w:t>
        </w:r>
      </w:p>
    </w:sdtContent>
  </w:sdt>
  <w:p w14:paraId="3CB14B36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F5BC6"/>
    <w:multiLevelType w:val="multilevel"/>
    <w:tmpl w:val="358F5BC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665"/>
    <w:rsid w:val="00001B36"/>
    <w:rsid w:val="00002F63"/>
    <w:rsid w:val="000067CA"/>
    <w:rsid w:val="0000691B"/>
    <w:rsid w:val="0002006A"/>
    <w:rsid w:val="00020830"/>
    <w:rsid w:val="00020F9E"/>
    <w:rsid w:val="00021B1F"/>
    <w:rsid w:val="00030BDC"/>
    <w:rsid w:val="000313EA"/>
    <w:rsid w:val="000327B7"/>
    <w:rsid w:val="0003497B"/>
    <w:rsid w:val="00035EB3"/>
    <w:rsid w:val="0004262A"/>
    <w:rsid w:val="00045CB6"/>
    <w:rsid w:val="000479F3"/>
    <w:rsid w:val="000546BB"/>
    <w:rsid w:val="0006106D"/>
    <w:rsid w:val="000722E3"/>
    <w:rsid w:val="00075DFD"/>
    <w:rsid w:val="0009219D"/>
    <w:rsid w:val="000934C8"/>
    <w:rsid w:val="00094A4E"/>
    <w:rsid w:val="000972A5"/>
    <w:rsid w:val="000A2E6E"/>
    <w:rsid w:val="000B3229"/>
    <w:rsid w:val="000B695B"/>
    <w:rsid w:val="000C037D"/>
    <w:rsid w:val="000C0EDD"/>
    <w:rsid w:val="000C121E"/>
    <w:rsid w:val="000C1C2C"/>
    <w:rsid w:val="000C1D3F"/>
    <w:rsid w:val="000C58A1"/>
    <w:rsid w:val="000C5E6A"/>
    <w:rsid w:val="000C75D5"/>
    <w:rsid w:val="000D2B90"/>
    <w:rsid w:val="000E24E2"/>
    <w:rsid w:val="000F22B5"/>
    <w:rsid w:val="000F3F8B"/>
    <w:rsid w:val="00107898"/>
    <w:rsid w:val="00112DED"/>
    <w:rsid w:val="0012464F"/>
    <w:rsid w:val="001263A7"/>
    <w:rsid w:val="001279EF"/>
    <w:rsid w:val="00133A46"/>
    <w:rsid w:val="001356DA"/>
    <w:rsid w:val="001402E7"/>
    <w:rsid w:val="00144BCF"/>
    <w:rsid w:val="00146E1E"/>
    <w:rsid w:val="00146E7E"/>
    <w:rsid w:val="00150A16"/>
    <w:rsid w:val="00150BBA"/>
    <w:rsid w:val="00152338"/>
    <w:rsid w:val="00153FCE"/>
    <w:rsid w:val="00156175"/>
    <w:rsid w:val="0016185F"/>
    <w:rsid w:val="001636B9"/>
    <w:rsid w:val="001707CB"/>
    <w:rsid w:val="00174E8E"/>
    <w:rsid w:val="00177329"/>
    <w:rsid w:val="00181986"/>
    <w:rsid w:val="00181999"/>
    <w:rsid w:val="00185CA5"/>
    <w:rsid w:val="001866C0"/>
    <w:rsid w:val="00194E56"/>
    <w:rsid w:val="00197884"/>
    <w:rsid w:val="001A019E"/>
    <w:rsid w:val="001A1335"/>
    <w:rsid w:val="001A2C2B"/>
    <w:rsid w:val="001A38C7"/>
    <w:rsid w:val="001A63E8"/>
    <w:rsid w:val="001B1E6D"/>
    <w:rsid w:val="001B24CC"/>
    <w:rsid w:val="001B4763"/>
    <w:rsid w:val="001B4A41"/>
    <w:rsid w:val="001B6CBE"/>
    <w:rsid w:val="001C137C"/>
    <w:rsid w:val="001C285B"/>
    <w:rsid w:val="001C592B"/>
    <w:rsid w:val="001C7EC8"/>
    <w:rsid w:val="001D5443"/>
    <w:rsid w:val="001E1938"/>
    <w:rsid w:val="001E3783"/>
    <w:rsid w:val="001E45B1"/>
    <w:rsid w:val="001E6210"/>
    <w:rsid w:val="001E68AD"/>
    <w:rsid w:val="001F7913"/>
    <w:rsid w:val="00202D07"/>
    <w:rsid w:val="00204396"/>
    <w:rsid w:val="00204E51"/>
    <w:rsid w:val="0021350B"/>
    <w:rsid w:val="00214B07"/>
    <w:rsid w:val="0022456B"/>
    <w:rsid w:val="00226B53"/>
    <w:rsid w:val="00231929"/>
    <w:rsid w:val="002402CA"/>
    <w:rsid w:val="00240C10"/>
    <w:rsid w:val="00240D62"/>
    <w:rsid w:val="0025044D"/>
    <w:rsid w:val="002506D0"/>
    <w:rsid w:val="002512F4"/>
    <w:rsid w:val="00261018"/>
    <w:rsid w:val="0026284C"/>
    <w:rsid w:val="00267EF3"/>
    <w:rsid w:val="00270AFB"/>
    <w:rsid w:val="00272B91"/>
    <w:rsid w:val="00273A1C"/>
    <w:rsid w:val="002741A0"/>
    <w:rsid w:val="002771F7"/>
    <w:rsid w:val="002802E7"/>
    <w:rsid w:val="002903F2"/>
    <w:rsid w:val="00290423"/>
    <w:rsid w:val="002950E6"/>
    <w:rsid w:val="00295D52"/>
    <w:rsid w:val="002967BF"/>
    <w:rsid w:val="002A4E3C"/>
    <w:rsid w:val="002B4EB6"/>
    <w:rsid w:val="002B5684"/>
    <w:rsid w:val="002B7006"/>
    <w:rsid w:val="002B7937"/>
    <w:rsid w:val="002C5756"/>
    <w:rsid w:val="002D1046"/>
    <w:rsid w:val="002D390C"/>
    <w:rsid w:val="002D529A"/>
    <w:rsid w:val="002E0C9E"/>
    <w:rsid w:val="002E1100"/>
    <w:rsid w:val="0030011B"/>
    <w:rsid w:val="00301D2C"/>
    <w:rsid w:val="0030335B"/>
    <w:rsid w:val="00310A2C"/>
    <w:rsid w:val="003113C6"/>
    <w:rsid w:val="003113DD"/>
    <w:rsid w:val="00314050"/>
    <w:rsid w:val="0031749D"/>
    <w:rsid w:val="003206DD"/>
    <w:rsid w:val="003302A8"/>
    <w:rsid w:val="00332CAE"/>
    <w:rsid w:val="00342B74"/>
    <w:rsid w:val="0034793D"/>
    <w:rsid w:val="00350A1A"/>
    <w:rsid w:val="003529D0"/>
    <w:rsid w:val="00354205"/>
    <w:rsid w:val="00355507"/>
    <w:rsid w:val="0036430C"/>
    <w:rsid w:val="003664B6"/>
    <w:rsid w:val="00373AC7"/>
    <w:rsid w:val="003801BF"/>
    <w:rsid w:val="00381802"/>
    <w:rsid w:val="00390A05"/>
    <w:rsid w:val="00391C88"/>
    <w:rsid w:val="003974C0"/>
    <w:rsid w:val="003A24E3"/>
    <w:rsid w:val="003A6422"/>
    <w:rsid w:val="003B0A30"/>
    <w:rsid w:val="003B0A7F"/>
    <w:rsid w:val="003B196B"/>
    <w:rsid w:val="003B3E43"/>
    <w:rsid w:val="003E0F66"/>
    <w:rsid w:val="003E64C2"/>
    <w:rsid w:val="003F0DE9"/>
    <w:rsid w:val="003F588F"/>
    <w:rsid w:val="003F6621"/>
    <w:rsid w:val="003F6E20"/>
    <w:rsid w:val="003F7997"/>
    <w:rsid w:val="00400353"/>
    <w:rsid w:val="004004FA"/>
    <w:rsid w:val="004026D2"/>
    <w:rsid w:val="0040594E"/>
    <w:rsid w:val="00406C0E"/>
    <w:rsid w:val="00411CE7"/>
    <w:rsid w:val="00411D73"/>
    <w:rsid w:val="00413568"/>
    <w:rsid w:val="00415058"/>
    <w:rsid w:val="004176C8"/>
    <w:rsid w:val="0041775F"/>
    <w:rsid w:val="00421B7D"/>
    <w:rsid w:val="00437632"/>
    <w:rsid w:val="0044560C"/>
    <w:rsid w:val="00451775"/>
    <w:rsid w:val="00455DE3"/>
    <w:rsid w:val="004625EF"/>
    <w:rsid w:val="00463632"/>
    <w:rsid w:val="0046396A"/>
    <w:rsid w:val="00464ADD"/>
    <w:rsid w:val="00472B53"/>
    <w:rsid w:val="00472E2D"/>
    <w:rsid w:val="004732CC"/>
    <w:rsid w:val="00480AF7"/>
    <w:rsid w:val="004838F8"/>
    <w:rsid w:val="00490ED9"/>
    <w:rsid w:val="0049126A"/>
    <w:rsid w:val="004927F2"/>
    <w:rsid w:val="004A0C79"/>
    <w:rsid w:val="004A1DB1"/>
    <w:rsid w:val="004A3864"/>
    <w:rsid w:val="004B14B3"/>
    <w:rsid w:val="004C072C"/>
    <w:rsid w:val="004D0B39"/>
    <w:rsid w:val="004D2871"/>
    <w:rsid w:val="004D420D"/>
    <w:rsid w:val="004E789F"/>
    <w:rsid w:val="004F2203"/>
    <w:rsid w:val="004F4C41"/>
    <w:rsid w:val="004F5525"/>
    <w:rsid w:val="004F7948"/>
    <w:rsid w:val="00507368"/>
    <w:rsid w:val="005104FF"/>
    <w:rsid w:val="00510929"/>
    <w:rsid w:val="00523D42"/>
    <w:rsid w:val="005249E4"/>
    <w:rsid w:val="005329A2"/>
    <w:rsid w:val="00532AFC"/>
    <w:rsid w:val="0053392F"/>
    <w:rsid w:val="00536073"/>
    <w:rsid w:val="00540EB1"/>
    <w:rsid w:val="00545A06"/>
    <w:rsid w:val="00552DD1"/>
    <w:rsid w:val="00561DD3"/>
    <w:rsid w:val="00567AE7"/>
    <w:rsid w:val="0057170E"/>
    <w:rsid w:val="005736E7"/>
    <w:rsid w:val="00574A69"/>
    <w:rsid w:val="00575386"/>
    <w:rsid w:val="00580353"/>
    <w:rsid w:val="00583913"/>
    <w:rsid w:val="00583D3E"/>
    <w:rsid w:val="00585611"/>
    <w:rsid w:val="00586ED6"/>
    <w:rsid w:val="00591004"/>
    <w:rsid w:val="005955BA"/>
    <w:rsid w:val="00595DD1"/>
    <w:rsid w:val="00596AA5"/>
    <w:rsid w:val="00597291"/>
    <w:rsid w:val="005A7D3E"/>
    <w:rsid w:val="005B0BD2"/>
    <w:rsid w:val="005B331D"/>
    <w:rsid w:val="005C6729"/>
    <w:rsid w:val="005C6AF8"/>
    <w:rsid w:val="005C73C3"/>
    <w:rsid w:val="005D489F"/>
    <w:rsid w:val="005E4012"/>
    <w:rsid w:val="005F3D85"/>
    <w:rsid w:val="005F6DFD"/>
    <w:rsid w:val="00603757"/>
    <w:rsid w:val="00612821"/>
    <w:rsid w:val="00613C2E"/>
    <w:rsid w:val="006174C9"/>
    <w:rsid w:val="00622CCF"/>
    <w:rsid w:val="00627834"/>
    <w:rsid w:val="006310D5"/>
    <w:rsid w:val="00633586"/>
    <w:rsid w:val="00633E66"/>
    <w:rsid w:val="00641386"/>
    <w:rsid w:val="00643F42"/>
    <w:rsid w:val="0064629B"/>
    <w:rsid w:val="006462D1"/>
    <w:rsid w:val="00650E63"/>
    <w:rsid w:val="00651895"/>
    <w:rsid w:val="00653DF9"/>
    <w:rsid w:val="00654E71"/>
    <w:rsid w:val="00655CD4"/>
    <w:rsid w:val="006640CF"/>
    <w:rsid w:val="006643B4"/>
    <w:rsid w:val="006651DB"/>
    <w:rsid w:val="0067414B"/>
    <w:rsid w:val="00674C8E"/>
    <w:rsid w:val="0067639D"/>
    <w:rsid w:val="00676B75"/>
    <w:rsid w:val="00681C47"/>
    <w:rsid w:val="0068547B"/>
    <w:rsid w:val="00685A84"/>
    <w:rsid w:val="00686FD9"/>
    <w:rsid w:val="00692CA6"/>
    <w:rsid w:val="006943FB"/>
    <w:rsid w:val="00695A06"/>
    <w:rsid w:val="006B08B9"/>
    <w:rsid w:val="006B126E"/>
    <w:rsid w:val="006B1DB0"/>
    <w:rsid w:val="006B1E96"/>
    <w:rsid w:val="006B67F6"/>
    <w:rsid w:val="006C0C45"/>
    <w:rsid w:val="006C13E2"/>
    <w:rsid w:val="006C19B5"/>
    <w:rsid w:val="006C3FEC"/>
    <w:rsid w:val="006C7890"/>
    <w:rsid w:val="006C7AF8"/>
    <w:rsid w:val="006C7DA7"/>
    <w:rsid w:val="006D3E3A"/>
    <w:rsid w:val="006D797F"/>
    <w:rsid w:val="006D7CB8"/>
    <w:rsid w:val="006E05D6"/>
    <w:rsid w:val="006F1A5E"/>
    <w:rsid w:val="006F2DC1"/>
    <w:rsid w:val="006F75E0"/>
    <w:rsid w:val="00702875"/>
    <w:rsid w:val="0070394D"/>
    <w:rsid w:val="00704DBE"/>
    <w:rsid w:val="007076BE"/>
    <w:rsid w:val="00712B9C"/>
    <w:rsid w:val="00732F73"/>
    <w:rsid w:val="00733E5C"/>
    <w:rsid w:val="00742932"/>
    <w:rsid w:val="00742C30"/>
    <w:rsid w:val="00743FA0"/>
    <w:rsid w:val="00746AB6"/>
    <w:rsid w:val="00750231"/>
    <w:rsid w:val="00753048"/>
    <w:rsid w:val="007530F8"/>
    <w:rsid w:val="00753251"/>
    <w:rsid w:val="007602D1"/>
    <w:rsid w:val="00763665"/>
    <w:rsid w:val="0076592E"/>
    <w:rsid w:val="007678F3"/>
    <w:rsid w:val="00774665"/>
    <w:rsid w:val="0078185C"/>
    <w:rsid w:val="007825B2"/>
    <w:rsid w:val="00785595"/>
    <w:rsid w:val="00787EC4"/>
    <w:rsid w:val="007918D6"/>
    <w:rsid w:val="00793BFF"/>
    <w:rsid w:val="0079667E"/>
    <w:rsid w:val="007B425A"/>
    <w:rsid w:val="007B7AB4"/>
    <w:rsid w:val="007B7F08"/>
    <w:rsid w:val="007C10FA"/>
    <w:rsid w:val="007D2E86"/>
    <w:rsid w:val="007E2786"/>
    <w:rsid w:val="0080273D"/>
    <w:rsid w:val="008029E2"/>
    <w:rsid w:val="00803901"/>
    <w:rsid w:val="0080693E"/>
    <w:rsid w:val="00812041"/>
    <w:rsid w:val="0082185C"/>
    <w:rsid w:val="00823133"/>
    <w:rsid w:val="008245E5"/>
    <w:rsid w:val="0082626B"/>
    <w:rsid w:val="00831ABC"/>
    <w:rsid w:val="00841AB8"/>
    <w:rsid w:val="00843086"/>
    <w:rsid w:val="00846483"/>
    <w:rsid w:val="00846E46"/>
    <w:rsid w:val="00850730"/>
    <w:rsid w:val="00856F91"/>
    <w:rsid w:val="00861266"/>
    <w:rsid w:val="0086131C"/>
    <w:rsid w:val="008648F0"/>
    <w:rsid w:val="008666A3"/>
    <w:rsid w:val="008667D3"/>
    <w:rsid w:val="008904A6"/>
    <w:rsid w:val="008977E6"/>
    <w:rsid w:val="00897ECD"/>
    <w:rsid w:val="008A14A2"/>
    <w:rsid w:val="008A1F96"/>
    <w:rsid w:val="008B2FD8"/>
    <w:rsid w:val="008B45A9"/>
    <w:rsid w:val="008D1804"/>
    <w:rsid w:val="008E1ABA"/>
    <w:rsid w:val="008E2A4C"/>
    <w:rsid w:val="008E6408"/>
    <w:rsid w:val="008E70E2"/>
    <w:rsid w:val="008F08B6"/>
    <w:rsid w:val="008F1AF1"/>
    <w:rsid w:val="008F5D5F"/>
    <w:rsid w:val="008F73EB"/>
    <w:rsid w:val="009033F5"/>
    <w:rsid w:val="00903B58"/>
    <w:rsid w:val="009040C2"/>
    <w:rsid w:val="00914DFE"/>
    <w:rsid w:val="00925419"/>
    <w:rsid w:val="00925C00"/>
    <w:rsid w:val="00927232"/>
    <w:rsid w:val="009348F4"/>
    <w:rsid w:val="00935DB0"/>
    <w:rsid w:val="0094324D"/>
    <w:rsid w:val="009447D7"/>
    <w:rsid w:val="00946712"/>
    <w:rsid w:val="00947248"/>
    <w:rsid w:val="00954F2C"/>
    <w:rsid w:val="00956856"/>
    <w:rsid w:val="00963664"/>
    <w:rsid w:val="00965A86"/>
    <w:rsid w:val="00980C2B"/>
    <w:rsid w:val="00986457"/>
    <w:rsid w:val="0099421A"/>
    <w:rsid w:val="00994851"/>
    <w:rsid w:val="009A3DD4"/>
    <w:rsid w:val="009B2409"/>
    <w:rsid w:val="009B5620"/>
    <w:rsid w:val="009B65C3"/>
    <w:rsid w:val="009C10F7"/>
    <w:rsid w:val="009C15B7"/>
    <w:rsid w:val="009C36F1"/>
    <w:rsid w:val="009D74D4"/>
    <w:rsid w:val="009E3F63"/>
    <w:rsid w:val="009E66DF"/>
    <w:rsid w:val="009F1813"/>
    <w:rsid w:val="00A02AB6"/>
    <w:rsid w:val="00A055DE"/>
    <w:rsid w:val="00A07E79"/>
    <w:rsid w:val="00A104ED"/>
    <w:rsid w:val="00A107CF"/>
    <w:rsid w:val="00A15294"/>
    <w:rsid w:val="00A1724E"/>
    <w:rsid w:val="00A21838"/>
    <w:rsid w:val="00A24359"/>
    <w:rsid w:val="00A26CBF"/>
    <w:rsid w:val="00A30065"/>
    <w:rsid w:val="00A41855"/>
    <w:rsid w:val="00A5063C"/>
    <w:rsid w:val="00A509A1"/>
    <w:rsid w:val="00A50BDA"/>
    <w:rsid w:val="00A606C5"/>
    <w:rsid w:val="00A61B07"/>
    <w:rsid w:val="00A61FF5"/>
    <w:rsid w:val="00A629D0"/>
    <w:rsid w:val="00A654B9"/>
    <w:rsid w:val="00A65A18"/>
    <w:rsid w:val="00A66467"/>
    <w:rsid w:val="00A6702F"/>
    <w:rsid w:val="00A73AEE"/>
    <w:rsid w:val="00A8156F"/>
    <w:rsid w:val="00A94A41"/>
    <w:rsid w:val="00A966F7"/>
    <w:rsid w:val="00AA1125"/>
    <w:rsid w:val="00AA3CFC"/>
    <w:rsid w:val="00AB3390"/>
    <w:rsid w:val="00AD072E"/>
    <w:rsid w:val="00AD489D"/>
    <w:rsid w:val="00AD51B1"/>
    <w:rsid w:val="00AD77C2"/>
    <w:rsid w:val="00AE3C95"/>
    <w:rsid w:val="00AE5508"/>
    <w:rsid w:val="00AE65A6"/>
    <w:rsid w:val="00AE7BBF"/>
    <w:rsid w:val="00AF1F8F"/>
    <w:rsid w:val="00AF7D93"/>
    <w:rsid w:val="00B02459"/>
    <w:rsid w:val="00B03CB6"/>
    <w:rsid w:val="00B12569"/>
    <w:rsid w:val="00B23A28"/>
    <w:rsid w:val="00B24410"/>
    <w:rsid w:val="00B33944"/>
    <w:rsid w:val="00B34358"/>
    <w:rsid w:val="00B35234"/>
    <w:rsid w:val="00B35FC2"/>
    <w:rsid w:val="00B378F8"/>
    <w:rsid w:val="00B471BE"/>
    <w:rsid w:val="00B53726"/>
    <w:rsid w:val="00B54FA2"/>
    <w:rsid w:val="00B56DD0"/>
    <w:rsid w:val="00B60F0F"/>
    <w:rsid w:val="00B61596"/>
    <w:rsid w:val="00B64724"/>
    <w:rsid w:val="00B64F15"/>
    <w:rsid w:val="00B657A3"/>
    <w:rsid w:val="00B6678E"/>
    <w:rsid w:val="00B7164B"/>
    <w:rsid w:val="00B71872"/>
    <w:rsid w:val="00B74722"/>
    <w:rsid w:val="00B7571C"/>
    <w:rsid w:val="00B76BD6"/>
    <w:rsid w:val="00B8097C"/>
    <w:rsid w:val="00B8308B"/>
    <w:rsid w:val="00B840ED"/>
    <w:rsid w:val="00B9172D"/>
    <w:rsid w:val="00BA6CDB"/>
    <w:rsid w:val="00BB2AC1"/>
    <w:rsid w:val="00BB77C4"/>
    <w:rsid w:val="00BC4CC9"/>
    <w:rsid w:val="00BC7291"/>
    <w:rsid w:val="00BD4B1F"/>
    <w:rsid w:val="00BD6760"/>
    <w:rsid w:val="00BE227A"/>
    <w:rsid w:val="00BF09A9"/>
    <w:rsid w:val="00BF7A02"/>
    <w:rsid w:val="00C01B4F"/>
    <w:rsid w:val="00C02DA8"/>
    <w:rsid w:val="00C03F4A"/>
    <w:rsid w:val="00C05E5A"/>
    <w:rsid w:val="00C14D72"/>
    <w:rsid w:val="00C27AC4"/>
    <w:rsid w:val="00C3281F"/>
    <w:rsid w:val="00C567E9"/>
    <w:rsid w:val="00C56B28"/>
    <w:rsid w:val="00C63B0E"/>
    <w:rsid w:val="00C67050"/>
    <w:rsid w:val="00C748E1"/>
    <w:rsid w:val="00C8744D"/>
    <w:rsid w:val="00C8764D"/>
    <w:rsid w:val="00C90F7A"/>
    <w:rsid w:val="00C939BE"/>
    <w:rsid w:val="00C93B81"/>
    <w:rsid w:val="00C966F1"/>
    <w:rsid w:val="00C97DE2"/>
    <w:rsid w:val="00CA43ED"/>
    <w:rsid w:val="00CA5B87"/>
    <w:rsid w:val="00CB5FC7"/>
    <w:rsid w:val="00CC3FC0"/>
    <w:rsid w:val="00CC72A7"/>
    <w:rsid w:val="00CD31C8"/>
    <w:rsid w:val="00CE1212"/>
    <w:rsid w:val="00CE6580"/>
    <w:rsid w:val="00CE659A"/>
    <w:rsid w:val="00CF5F0E"/>
    <w:rsid w:val="00D138E9"/>
    <w:rsid w:val="00D16752"/>
    <w:rsid w:val="00D167F8"/>
    <w:rsid w:val="00D16FD7"/>
    <w:rsid w:val="00D26D9A"/>
    <w:rsid w:val="00D27B2C"/>
    <w:rsid w:val="00D27D28"/>
    <w:rsid w:val="00D31573"/>
    <w:rsid w:val="00D342D8"/>
    <w:rsid w:val="00D37F88"/>
    <w:rsid w:val="00D43B94"/>
    <w:rsid w:val="00D44D20"/>
    <w:rsid w:val="00D47E6B"/>
    <w:rsid w:val="00D50F90"/>
    <w:rsid w:val="00D522AF"/>
    <w:rsid w:val="00D53653"/>
    <w:rsid w:val="00D666A1"/>
    <w:rsid w:val="00D70D13"/>
    <w:rsid w:val="00D760BB"/>
    <w:rsid w:val="00D85A56"/>
    <w:rsid w:val="00D95BDD"/>
    <w:rsid w:val="00D971BC"/>
    <w:rsid w:val="00DA04B8"/>
    <w:rsid w:val="00DA2BA1"/>
    <w:rsid w:val="00DA3F38"/>
    <w:rsid w:val="00DB6446"/>
    <w:rsid w:val="00DB7C24"/>
    <w:rsid w:val="00DC0DD2"/>
    <w:rsid w:val="00DC5286"/>
    <w:rsid w:val="00DD0ACD"/>
    <w:rsid w:val="00DD303B"/>
    <w:rsid w:val="00DD41FA"/>
    <w:rsid w:val="00DD48FF"/>
    <w:rsid w:val="00DE1233"/>
    <w:rsid w:val="00DE2F7D"/>
    <w:rsid w:val="00DE3E5B"/>
    <w:rsid w:val="00DE7239"/>
    <w:rsid w:val="00DF0931"/>
    <w:rsid w:val="00E031E4"/>
    <w:rsid w:val="00E063D1"/>
    <w:rsid w:val="00E139DA"/>
    <w:rsid w:val="00E14920"/>
    <w:rsid w:val="00E22B91"/>
    <w:rsid w:val="00E248A9"/>
    <w:rsid w:val="00E40808"/>
    <w:rsid w:val="00E41FB2"/>
    <w:rsid w:val="00E44CD6"/>
    <w:rsid w:val="00E51493"/>
    <w:rsid w:val="00E56B70"/>
    <w:rsid w:val="00E57012"/>
    <w:rsid w:val="00E87973"/>
    <w:rsid w:val="00E927BF"/>
    <w:rsid w:val="00EA612B"/>
    <w:rsid w:val="00EC5000"/>
    <w:rsid w:val="00EC6A6F"/>
    <w:rsid w:val="00EE0C5D"/>
    <w:rsid w:val="00EE0ED7"/>
    <w:rsid w:val="00EE2C76"/>
    <w:rsid w:val="00EE4B8F"/>
    <w:rsid w:val="00EE4E8C"/>
    <w:rsid w:val="00EE708E"/>
    <w:rsid w:val="00EF2F32"/>
    <w:rsid w:val="00F04284"/>
    <w:rsid w:val="00F0553B"/>
    <w:rsid w:val="00F273B4"/>
    <w:rsid w:val="00F300E4"/>
    <w:rsid w:val="00F32AAE"/>
    <w:rsid w:val="00F34C89"/>
    <w:rsid w:val="00F35C2F"/>
    <w:rsid w:val="00F44437"/>
    <w:rsid w:val="00F44B2F"/>
    <w:rsid w:val="00F46077"/>
    <w:rsid w:val="00F46333"/>
    <w:rsid w:val="00F476E5"/>
    <w:rsid w:val="00F51E6B"/>
    <w:rsid w:val="00F62661"/>
    <w:rsid w:val="00F66509"/>
    <w:rsid w:val="00F73B89"/>
    <w:rsid w:val="00F75545"/>
    <w:rsid w:val="00F77608"/>
    <w:rsid w:val="00F77CBB"/>
    <w:rsid w:val="00F81AFD"/>
    <w:rsid w:val="00F830DD"/>
    <w:rsid w:val="00F83BA4"/>
    <w:rsid w:val="00F83BDB"/>
    <w:rsid w:val="00F851FE"/>
    <w:rsid w:val="00F90146"/>
    <w:rsid w:val="00F96C61"/>
    <w:rsid w:val="00FA0E9C"/>
    <w:rsid w:val="00FA3C27"/>
    <w:rsid w:val="00FA6F5A"/>
    <w:rsid w:val="00FB7842"/>
    <w:rsid w:val="00FC4C00"/>
    <w:rsid w:val="00FD02F7"/>
    <w:rsid w:val="00FD5B49"/>
    <w:rsid w:val="00FD6E3A"/>
    <w:rsid w:val="00FE0E9E"/>
    <w:rsid w:val="00FF24AB"/>
    <w:rsid w:val="00FF4E91"/>
    <w:rsid w:val="00FF6EF8"/>
    <w:rsid w:val="00FF73CB"/>
    <w:rsid w:val="091C35B6"/>
    <w:rsid w:val="3317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l-GR" w:eastAsia="en-US" w:bidi="ar-SA"/>
    </w:rPr>
  </w:style>
  <w:style w:type="paragraph" w:styleId="2">
    <w:name w:val="heading 3"/>
    <w:basedOn w:val="1"/>
    <w:link w:val="23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l-GR"/>
    </w:rPr>
  </w:style>
  <w:style w:type="paragraph" w:styleId="3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9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0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character" w:styleId="12">
    <w:name w:val="Strong"/>
    <w:basedOn w:val="4"/>
    <w:qFormat/>
    <w:uiPriority w:val="22"/>
    <w:rPr>
      <w:b/>
      <w:bCs/>
    </w:rPr>
  </w:style>
  <w:style w:type="table" w:styleId="13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itle"/>
    <w:basedOn w:val="1"/>
    <w:next w:val="1"/>
    <w:link w:val="21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15">
    <w:name w:val="Pa5+7"/>
    <w:basedOn w:val="1"/>
    <w:next w:val="1"/>
    <w:uiPriority w:val="99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character" w:customStyle="1" w:styleId="16">
    <w:name w:val="A2+7"/>
    <w:qFormat/>
    <w:uiPriority w:val="99"/>
    <w:rPr>
      <w:rFonts w:cs="Myriad Pro"/>
      <w:b/>
      <w:bCs/>
      <w:color w:val="000000"/>
      <w:sz w:val="22"/>
      <w:szCs w:val="22"/>
    </w:rPr>
  </w:style>
  <w:style w:type="paragraph" w:customStyle="1" w:styleId="17">
    <w:name w:val="Pa8+7"/>
    <w:basedOn w:val="1"/>
    <w:next w:val="1"/>
    <w:uiPriority w:val="99"/>
    <w:pPr>
      <w:autoSpaceDE w:val="0"/>
      <w:autoSpaceDN w:val="0"/>
      <w:adjustRightInd w:val="0"/>
      <w:spacing w:after="0" w:line="191" w:lineRule="atLeast"/>
    </w:pPr>
    <w:rPr>
      <w:rFonts w:ascii="Myriad Pro" w:hAnsi="Myriad Pro"/>
      <w:sz w:val="24"/>
      <w:szCs w:val="24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Κεφαλίδα Char"/>
    <w:basedOn w:val="4"/>
    <w:link w:val="9"/>
    <w:uiPriority w:val="99"/>
  </w:style>
  <w:style w:type="character" w:customStyle="1" w:styleId="20">
    <w:name w:val="Υποσέλιδο Char"/>
    <w:basedOn w:val="4"/>
    <w:link w:val="8"/>
    <w:uiPriority w:val="99"/>
  </w:style>
  <w:style w:type="character" w:customStyle="1" w:styleId="21">
    <w:name w:val="Τίτλος Char"/>
    <w:basedOn w:val="4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22">
    <w:name w:val="Default"/>
    <w:uiPriority w:val="0"/>
    <w:pPr>
      <w:autoSpaceDE w:val="0"/>
      <w:autoSpaceDN w:val="0"/>
      <w:adjustRightInd w:val="0"/>
    </w:pPr>
    <w:rPr>
      <w:rFonts w:ascii="Myriad Pro" w:hAnsi="Myriad Pro" w:cs="Myriad Pro" w:eastAsiaTheme="minorHAnsi"/>
      <w:color w:val="000000"/>
      <w:sz w:val="24"/>
      <w:szCs w:val="24"/>
      <w:lang w:val="el-GR" w:eastAsia="en-US" w:bidi="ar-SA"/>
    </w:rPr>
  </w:style>
  <w:style w:type="character" w:customStyle="1" w:styleId="23">
    <w:name w:val="Επικεφαλίδα 3 Char"/>
    <w:basedOn w:val="4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el-GR"/>
    </w:rPr>
  </w:style>
  <w:style w:type="character" w:customStyle="1" w:styleId="24">
    <w:name w:val="Επικεφαλίδα 4 Char"/>
    <w:basedOn w:val="4"/>
    <w:link w:val="3"/>
    <w:semiHidden/>
    <w:qFormat/>
    <w:uiPriority w:val="9"/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paragraph" w:customStyle="1" w:styleId="25">
    <w:name w:val="z-Αρχή φόρμας1"/>
    <w:basedOn w:val="1"/>
    <w:next w:val="1"/>
    <w:link w:val="26"/>
    <w:semiHidden/>
    <w:unhideWhenUsed/>
    <w:qFormat/>
    <w:uiPriority w:val="99"/>
    <w:pPr>
      <w:pBdr>
        <w:bottom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el-GR"/>
    </w:rPr>
  </w:style>
  <w:style w:type="character" w:customStyle="1" w:styleId="26">
    <w:name w:val="z-Αρχή φόρμας Char"/>
    <w:basedOn w:val="4"/>
    <w:link w:val="25"/>
    <w:semiHidden/>
    <w:qFormat/>
    <w:uiPriority w:val="99"/>
    <w:rPr>
      <w:rFonts w:ascii="Arial" w:hAnsi="Arial" w:eastAsia="Times New Roman" w:cs="Arial"/>
      <w:vanish/>
      <w:sz w:val="16"/>
      <w:szCs w:val="16"/>
      <w:lang w:eastAsia="el-GR"/>
    </w:rPr>
  </w:style>
  <w:style w:type="paragraph" w:customStyle="1" w:styleId="27">
    <w:name w:val="z-Τέλος φόρμας1"/>
    <w:basedOn w:val="1"/>
    <w:next w:val="1"/>
    <w:link w:val="28"/>
    <w:semiHidden/>
    <w:unhideWhenUsed/>
    <w:qFormat/>
    <w:uiPriority w:val="99"/>
    <w:pPr>
      <w:pBdr>
        <w:top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el-GR"/>
    </w:rPr>
  </w:style>
  <w:style w:type="character" w:customStyle="1" w:styleId="28">
    <w:name w:val="z-Τέλος φόρμας Char"/>
    <w:basedOn w:val="4"/>
    <w:link w:val="27"/>
    <w:semiHidden/>
    <w:qFormat/>
    <w:uiPriority w:val="99"/>
    <w:rPr>
      <w:rFonts w:ascii="Arial" w:hAnsi="Arial" w:eastAsia="Times New Roman" w:cs="Arial"/>
      <w:vanish/>
      <w:sz w:val="16"/>
      <w:szCs w:val="16"/>
      <w:lang w:eastAsia="el-GR"/>
    </w:rPr>
  </w:style>
  <w:style w:type="character" w:customStyle="1" w:styleId="29">
    <w:name w:val="Κείμενο πλαισίου Char"/>
    <w:basedOn w:val="4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w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D47D7-5184-443F-8E5B-D63D46102E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6</Pages>
  <Words>2984</Words>
  <Characters>16116</Characters>
  <Lines>134</Lines>
  <Paragraphs>38</Paragraphs>
  <TotalTime>0</TotalTime>
  <ScaleCrop>false</ScaleCrop>
  <LinksUpToDate>false</LinksUpToDate>
  <CharactersWithSpaces>19062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2026-01-07T07:18:00Z</dcterms:created>
  <dc:creator>Maria Polyzou</dc:creator>
  <cp:lastModifiedBy>user</cp:lastModifiedBy>
  <cp:lastPrinted>2025-10-10T10:33:00Z</cp:lastPrinted>
  <dcterms:modified xsi:type="dcterms:W3CDTF">2026-01-07T18:36:23Z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B20C7A6EC0164C54AA9E5667696B7D6E_13</vt:lpwstr>
  </property>
</Properties>
</file>