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D6E19" w14:textId="2AAF4127" w:rsidR="00BA6B60" w:rsidRDefault="00BA6B60"/>
    <w:p w14:paraId="1B5C829A" w14:textId="77777777" w:rsidR="00DD3AF6" w:rsidRDefault="00DD3AF6" w:rsidP="00DD3AF6">
      <w:pPr>
        <w:rPr>
          <w:b/>
          <w:bCs/>
          <w:color w:val="000000" w:themeColor="text1"/>
        </w:rPr>
      </w:pPr>
      <w:r>
        <w:rPr>
          <w:rFonts w:ascii="Arial Unicode MS" w:cs="Arial Unicode MS"/>
          <w:b/>
          <w:bCs/>
          <w:color w:val="000000" w:themeColor="text1"/>
          <w:sz w:val="40"/>
          <w:szCs w:val="40"/>
        </w:rPr>
        <w:t>Tables/Figures</w:t>
      </w:r>
    </w:p>
    <w:p w14:paraId="470B0BFC" w14:textId="77777777" w:rsidR="00DD3AF6" w:rsidRDefault="00DD3AF6" w:rsidP="00DD3AF6">
      <w:pPr>
        <w:rPr>
          <w:b/>
          <w:bCs/>
          <w:color w:val="000000" w:themeColor="text1"/>
          <w:sz w:val="36"/>
          <w:szCs w:val="36"/>
        </w:rPr>
      </w:pPr>
      <w:r>
        <w:rPr>
          <w:rFonts w:ascii="Arial Unicode MS" w:cs="Arial Unicode MS"/>
          <w:b/>
          <w:bCs/>
          <w:color w:val="000000" w:themeColor="text1"/>
          <w:sz w:val="36"/>
          <w:szCs w:val="36"/>
        </w:rPr>
        <w:t>Tables</w:t>
      </w:r>
    </w:p>
    <w:p w14:paraId="0DD7ABAD" w14:textId="77777777" w:rsidR="00DD3AF6" w:rsidRDefault="00DD3AF6" w:rsidP="00DD3AF6">
      <w:pPr>
        <w:rPr>
          <w:color w:val="000000" w:themeColor="text1"/>
          <w:lang w:eastAsia="ja-JP"/>
        </w:rPr>
      </w:pPr>
      <w:r>
        <w:rPr>
          <w:rFonts w:ascii="Arial Unicode MS" w:cs="Arial Unicode MS"/>
          <w:color w:val="000000" w:themeColor="text1"/>
          <w:lang w:eastAsia="ja-JP"/>
        </w:rPr>
        <w:t>Continuous variables are presented as mean (standard deviation) or median (interquartile range) for skewed distributions. Categorical variables are presented as number (%). Differences between groups are shown with their 95% confidence intervals and p-values. Continuous variables were analyzed using the Wilcoxon rank-sum test. Categorical variables were analyzed using the chi-square test or Fisher</w:t>
      </w:r>
      <w:r>
        <w:rPr>
          <w:rFonts w:ascii="Arial Unicode MS" w:cs="Arial Unicode MS"/>
          <w:color w:val="000000" w:themeColor="text1"/>
          <w:lang w:eastAsia="ja-JP"/>
        </w:rPr>
        <w:t>’</w:t>
      </w:r>
      <w:r>
        <w:rPr>
          <w:rFonts w:ascii="Arial Unicode MS" w:cs="Arial Unicode MS"/>
          <w:color w:val="000000" w:themeColor="text1"/>
          <w:lang w:eastAsia="ja-JP"/>
        </w:rPr>
        <w:t xml:space="preserve">s exact test when expected cell counts were less than 5. ACPA, anti-citrullinated peptide antibody; CRP, C-reactive protein; ESR, erythrocyte sedimentation rate; IQR, interquartile range; </w:t>
      </w:r>
      <w:proofErr w:type="spellStart"/>
      <w:r>
        <w:rPr>
          <w:rFonts w:ascii="Arial Unicode MS" w:cs="Arial Unicode MS"/>
          <w:color w:val="000000" w:themeColor="text1"/>
          <w:lang w:eastAsia="ja-JP"/>
        </w:rPr>
        <w:t>nonRA</w:t>
      </w:r>
      <w:proofErr w:type="spellEnd"/>
      <w:r>
        <w:rPr>
          <w:rFonts w:ascii="Arial Unicode MS" w:cs="Arial Unicode MS"/>
          <w:color w:val="000000" w:themeColor="text1"/>
          <w:lang w:eastAsia="ja-JP"/>
        </w:rPr>
        <w:t>, non-rheumatoid arthritis; RA, rheumatoid arthritis; RF, rheumatoid factor; SD, standard deviation; 95% C.I., 95% confidence interval</w:t>
      </w:r>
    </w:p>
    <w:p w14:paraId="25E1B942" w14:textId="77777777" w:rsidR="00DD3AF6" w:rsidRDefault="00DD3AF6" w:rsidP="00DD3AF6">
      <w:pPr>
        <w:rPr>
          <w:b/>
          <w:bCs/>
          <w:color w:val="000000" w:themeColor="text1"/>
          <w:lang w:eastAsia="ja-JP"/>
        </w:rPr>
      </w:pPr>
      <w:r>
        <w:rPr>
          <w:rFonts w:ascii="Arial Unicode MS" w:cs="Arial Unicode MS"/>
          <w:b/>
          <w:bCs/>
          <w:color w:val="000000" w:themeColor="text1"/>
        </w:rPr>
        <w:t>learning model in the diagnosis of RA</w:t>
      </w:r>
    </w:p>
    <w:p w14:paraId="5F8CCF4C" w14:textId="77777777" w:rsidR="00DD3AF6" w:rsidRDefault="00DD3AF6" w:rsidP="00DD3AF6">
      <w:pPr>
        <w:rPr>
          <w:color w:val="000000" w:themeColor="text1"/>
          <w:lang w:eastAsia="ja-JP"/>
        </w:rPr>
      </w:pPr>
      <w:r>
        <w:rPr>
          <w:rFonts w:ascii="Arial Unicode MS" w:cs="Arial Unicode MS"/>
          <w:color w:val="000000" w:themeColor="text1"/>
          <w:lang w:eastAsia="ja-JP"/>
        </w:rPr>
        <w:t xml:space="preserve">Metrics include sensitivity, specificity, accuracy, and F1-score for three diagnostic approaches: ACR/EULAR RA criteria, uncalibrated deep learning RA score, and calibrated deep learning RA score. </w:t>
      </w:r>
      <w:r>
        <w:rPr>
          <w:rFonts w:ascii="Arial Unicode MS" w:cs="Arial Unicode MS"/>
          <w:color w:val="000000" w:themeColor="text1"/>
          <w:lang w:eastAsia="ja-JP"/>
        </w:rPr>
        <w:t>†</w:t>
      </w:r>
      <w:r>
        <w:rPr>
          <w:rFonts w:ascii="Arial Unicode MS" w:cs="Arial Unicode MS"/>
          <w:color w:val="000000" w:themeColor="text1"/>
          <w:lang w:eastAsia="ja-JP"/>
        </w:rPr>
        <w:t xml:space="preserve">Using the established cutoff score of 6 points for the ACR/EULAR criteria. </w:t>
      </w:r>
      <w:r>
        <w:rPr>
          <w:rFonts w:ascii="Arial Unicode MS" w:cs="Arial Unicode MS"/>
          <w:color w:val="000000" w:themeColor="text1"/>
          <w:lang w:eastAsia="ja-JP"/>
        </w:rPr>
        <w:t>‡</w:t>
      </w:r>
      <w:r>
        <w:rPr>
          <w:rFonts w:ascii="Arial Unicode MS" w:cs="Arial Unicode MS"/>
          <w:color w:val="000000" w:themeColor="text1"/>
          <w:lang w:eastAsia="ja-JP"/>
        </w:rPr>
        <w:t>Using a cutoff value of 0.564 for the calibrated deep learning model. ACR/EULAR, American College of Rheumatology and European Alliance of Associations for Rheumatology; RA, rheumatoid arthritis.</w:t>
      </w:r>
    </w:p>
    <w:p w14:paraId="37F98AE6" w14:textId="77777777" w:rsidR="00DD3AF6" w:rsidRDefault="00DD3AF6" w:rsidP="00DD3AF6">
      <w:pPr>
        <w:rPr>
          <w:b/>
          <w:bCs/>
          <w:color w:val="000000" w:themeColor="text1"/>
        </w:rPr>
      </w:pPr>
      <w:r>
        <w:rPr>
          <w:rFonts w:ascii="Arial Unicode MS" w:cs="Arial Unicode MS"/>
          <w:b/>
          <w:bCs/>
          <w:color w:val="000000" w:themeColor="text1"/>
          <w:sz w:val="36"/>
          <w:szCs w:val="36"/>
        </w:rPr>
        <w:t>Figures</w:t>
      </w:r>
    </w:p>
    <w:p w14:paraId="7B526FCB" w14:textId="77777777" w:rsidR="00DD3AF6" w:rsidRDefault="00DD3AF6" w:rsidP="00DD3AF6">
      <w:pPr>
        <w:rPr>
          <w:color w:val="000000" w:themeColor="text1"/>
        </w:rPr>
      </w:pPr>
      <w:r>
        <w:rPr>
          <w:rFonts w:ascii="Arial Unicode MS" w:cs="Arial Unicode MS"/>
          <w:color w:val="000000" w:themeColor="text1"/>
        </w:rPr>
        <w:t>Initial enrolment included 97 RA patients (15 males, 82 females) and 84 non-RA subjects (4 males, 80 females). To address gender imbalance, age-based 1:1 matching was performed among the male patients, resulting in the exclusion of 11 male RA cases. This yielded a final cohort of 86 RA patients (4 males, 82 females) and 84 non-RA subjects (4 males, 80 females). Digital images of bilateral dorsal hands underwent preprocessing steps including background removal, bilateral hand separation, and horizontal flipping of left-hand images, resulting in 172 RA images and 168 non-RA images. The processed image dataset was then divided into training, validation, and test sets in a 6:3:1 ratio while maintaining stratification of RA and non-RA cases.</w:t>
      </w:r>
    </w:p>
    <w:p w14:paraId="2497C193" w14:textId="77777777" w:rsidR="00DD3AF6" w:rsidRDefault="00DD3AF6" w:rsidP="00DD3AF6">
      <w:pPr>
        <w:rPr>
          <w:color w:val="000000" w:themeColor="text1"/>
        </w:rPr>
      </w:pPr>
      <w:r>
        <w:rPr>
          <w:rFonts w:ascii="Arial Unicode MS" w:cs="Arial Unicode MS"/>
          <w:color w:val="000000" w:themeColor="text1"/>
        </w:rPr>
        <w:t>Calibration curves comparing the ACR/EULAR RA criteria (blue line) and Deep Learning RA Score (red line) against perfect calibration (dashed diagonal line). The plot shows the relationship between predicted probabilities and observed frequencies, with both methods showing different calibration patterns across probability ranges.</w:t>
      </w:r>
    </w:p>
    <w:p w14:paraId="6CE9DD92" w14:textId="77777777" w:rsidR="00DD3AF6" w:rsidRDefault="00DD3AF6" w:rsidP="00DD3AF6">
      <w:pPr>
        <w:rPr>
          <w:color w:val="000000" w:themeColor="text1"/>
        </w:rPr>
      </w:pPr>
      <w:r>
        <w:rPr>
          <w:rFonts w:ascii="Arial Unicode MS" w:cs="Arial Unicode MS"/>
          <w:color w:val="000000" w:themeColor="text1"/>
        </w:rPr>
        <w:t>The ROC curves demonstrate the diagnostic performance of the ACR/EULAR RA classification criteria (blue line) and the deep learning RA score (red line) in discriminating between RA and non-RA cases. The ACR/EULAR criteria achieved an AUC of 0.981 (95% CI: 0.953</w:t>
      </w:r>
      <w:r>
        <w:rPr>
          <w:rFonts w:ascii="Arial Unicode MS" w:cs="Arial Unicode MS"/>
          <w:color w:val="000000" w:themeColor="text1"/>
        </w:rPr>
        <w:t>–</w:t>
      </w:r>
      <w:r>
        <w:rPr>
          <w:rFonts w:ascii="Arial Unicode MS" w:cs="Arial Unicode MS"/>
          <w:color w:val="000000" w:themeColor="text1"/>
        </w:rPr>
        <w:t>1.010), while the deep learning model achieved an AUC of 0.870 (95% CI: 0.730</w:t>
      </w:r>
      <w:r>
        <w:rPr>
          <w:rFonts w:ascii="Arial Unicode MS" w:cs="Arial Unicode MS"/>
          <w:color w:val="000000" w:themeColor="text1"/>
        </w:rPr>
        <w:t>–</w:t>
      </w:r>
      <w:r>
        <w:rPr>
          <w:rFonts w:ascii="Arial Unicode MS" w:cs="Arial Unicode MS"/>
          <w:color w:val="000000" w:themeColor="text1"/>
        </w:rPr>
        <w:t>1.010). Although the ACR/EULAR criteria showed numerically superior performance with a difference in AUC of 0.111, this difference did not reach statistical significance (p</w:t>
      </w:r>
      <w:r>
        <w:rPr>
          <w:rFonts w:ascii="Arial Unicode MS" w:cs="Arial Unicode MS"/>
          <w:color w:val="000000" w:themeColor="text1"/>
        </w:rPr>
        <w:t> </w:t>
      </w:r>
      <w:r>
        <w:rPr>
          <w:rFonts w:ascii="Arial Unicode MS" w:cs="Arial Unicode MS"/>
          <w:color w:val="000000" w:themeColor="text1"/>
        </w:rPr>
        <w:t>=</w:t>
      </w:r>
      <w:r>
        <w:rPr>
          <w:rFonts w:ascii="Arial Unicode MS" w:cs="Arial Unicode MS"/>
          <w:color w:val="000000" w:themeColor="text1"/>
        </w:rPr>
        <w:t> </w:t>
      </w:r>
      <w:r>
        <w:rPr>
          <w:rFonts w:ascii="Arial Unicode MS" w:cs="Arial Unicode MS"/>
          <w:color w:val="000000" w:themeColor="text1"/>
        </w:rPr>
        <w:t>0.131). The diagonal dashed line represents random classification (AUC</w:t>
      </w:r>
      <w:r>
        <w:rPr>
          <w:rFonts w:ascii="Arial Unicode MS" w:cs="Arial Unicode MS"/>
          <w:color w:val="000000" w:themeColor="text1"/>
        </w:rPr>
        <w:t> </w:t>
      </w:r>
      <w:r>
        <w:rPr>
          <w:rFonts w:ascii="Arial Unicode MS" w:cs="Arial Unicode MS"/>
          <w:color w:val="000000" w:themeColor="text1"/>
        </w:rPr>
        <w:t>=</w:t>
      </w:r>
      <w:r>
        <w:rPr>
          <w:rFonts w:ascii="Arial Unicode MS" w:cs="Arial Unicode MS"/>
          <w:color w:val="000000" w:themeColor="text1"/>
        </w:rPr>
        <w:t> </w:t>
      </w:r>
      <w:r>
        <w:rPr>
          <w:rFonts w:ascii="Arial Unicode MS" w:cs="Arial Unicode MS"/>
          <w:color w:val="000000" w:themeColor="text1"/>
        </w:rPr>
        <w:t>0.5). Both methods demonstrated performance substantially better than random classification, with the deep learning model showing particularly high sensitivity at the expense of specificity, as evidenced by the steep initial rise in its ROC curve.</w:t>
      </w:r>
    </w:p>
    <w:p w14:paraId="62E61A94" w14:textId="77777777" w:rsidR="00DD3AF6" w:rsidRDefault="00DD3AF6" w:rsidP="00DD3AF6">
      <w:pPr>
        <w:rPr>
          <w:color w:val="000000" w:themeColor="text1"/>
        </w:rPr>
      </w:pPr>
      <w:r>
        <w:rPr>
          <w:rFonts w:ascii="Arial Unicode MS" w:cs="Arial Unicode MS"/>
          <w:color w:val="000000" w:themeColor="text1"/>
        </w:rPr>
        <w:t xml:space="preserve">Representative Grad-CAM visualizations demonstrating the regions of interest that influenced the deep learning model's decision-making process in diagnosing RA. (A) </w:t>
      </w:r>
      <w:r>
        <w:rPr>
          <w:rFonts w:ascii="Arial Unicode MS" w:cs="Arial Unicode MS"/>
          <w:color w:val="000000" w:themeColor="text1"/>
        </w:rPr>
        <w:lastRenderedPageBreak/>
        <w:t>A patient with RA correctly classified by the model. The heat maps (shown in blue-purple overlay) highlight the areas where the model focused its attention, particularly the skin creases on the extensor surface of the finger joints (white arrows). (B) A patient without RA correctly classified as non-RA by the model. The model appropriately focused on clinically relevant anatomical features, particularly the metacarpophalangeal and proximal interphalangeal joints and their surrounding soft tissues. These regions are typically affected in early RA, and this analysis confirms that the model learned to identify clinically meaningful features. The varying intensity of the activation patterns across different hand regions suggests the model's ability to detect subtle morphological changes characteristic of RA involvement.</w:t>
      </w:r>
    </w:p>
    <w:p w14:paraId="30969960" w14:textId="77777777" w:rsidR="00DD3AF6" w:rsidRDefault="00DD3AF6" w:rsidP="00DD3AF6">
      <w:pPr>
        <w:rPr>
          <w:rFonts w:ascii="Arial Unicode MS" w:cstheme="minorHAnsi"/>
          <w:b/>
          <w:bCs/>
          <w:color w:val="000000" w:themeColor="text1"/>
          <w:sz w:val="36"/>
          <w:szCs w:val="36"/>
        </w:rPr>
      </w:pPr>
    </w:p>
    <w:p w14:paraId="2063450B" w14:textId="77777777" w:rsidR="00DD3AF6" w:rsidRDefault="00DD3AF6"/>
    <w:sectPr w:rsidR="00DD3A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AF6"/>
    <w:rsid w:val="00816D9B"/>
    <w:rsid w:val="008D3025"/>
    <w:rsid w:val="00AE41EB"/>
    <w:rsid w:val="00B230BE"/>
    <w:rsid w:val="00BA6B60"/>
    <w:rsid w:val="00DD3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4768C"/>
  <w15:chartTrackingRefBased/>
  <w15:docId w15:val="{00DE65AE-821D-4431-A5EB-FAFE5BD3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AF6"/>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3554</Characters>
  <Application>Microsoft Office Word</Application>
  <DocSecurity>0</DocSecurity>
  <Lines>29</Lines>
  <Paragraphs>8</Paragraphs>
  <ScaleCrop>false</ScaleCrop>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Lingeshwar Sundaramoorthi (Integra)</dc:creator>
  <cp:keywords/>
  <dc:description/>
  <cp:lastModifiedBy>Lingeshwar Sundaramoorthi (Integra)</cp:lastModifiedBy>
  <cp:revision>1</cp:revision>
  <dcterms:created xsi:type="dcterms:W3CDTF">2026-03-21T12:33:00Z</dcterms:created>
  <dcterms:modified xsi:type="dcterms:W3CDTF">2026-03-21T12:33:00Z</dcterms:modified>
</cp:coreProperties>
</file>