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526DB7" w14:textId="6CC72293" w:rsidR="00FA640E" w:rsidRDefault="00FA640E" w:rsidP="00FA640E">
      <w:pPr>
        <w:spacing w:after="0"/>
        <w:jc w:val="both"/>
        <w:rPr>
          <w:rFonts w:asciiTheme="majorBidi" w:hAnsiTheme="majorBidi" w:cstheme="majorBidi"/>
          <w:sz w:val="20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Table (S1):</w:t>
      </w:r>
      <w:r w:rsidR="00146C8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Variance </w:t>
      </w:r>
      <w:r w:rsidR="00146C88">
        <w:rPr>
          <w:rFonts w:asciiTheme="majorBidi" w:hAnsiTheme="majorBidi" w:cstheme="majorBidi"/>
          <w:b/>
          <w:bCs/>
          <w:sz w:val="24"/>
          <w:szCs w:val="24"/>
        </w:rPr>
        <w:t>I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nflation </w:t>
      </w:r>
      <w:r w:rsidR="00146C88">
        <w:rPr>
          <w:rFonts w:asciiTheme="majorBidi" w:hAnsiTheme="majorBidi" w:cstheme="majorBidi"/>
          <w:b/>
          <w:bCs/>
          <w:sz w:val="24"/>
          <w:szCs w:val="24"/>
        </w:rPr>
        <w:t>F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actors (VIFs) for predictors in the sex </w:t>
      </w:r>
      <w:r w:rsidR="00146C88">
        <w:rPr>
          <w:rFonts w:asciiTheme="majorBidi" w:hAnsiTheme="majorBidi" w:cstheme="majorBidi"/>
          <w:b/>
          <w:bCs/>
          <w:sz w:val="24"/>
          <w:szCs w:val="24"/>
        </w:rPr>
        <w:t xml:space="preserve">prediction </w:t>
      </w:r>
      <w:r>
        <w:rPr>
          <w:rFonts w:asciiTheme="majorBidi" w:hAnsiTheme="majorBidi" w:cstheme="majorBidi"/>
          <w:b/>
          <w:bCs/>
          <w:sz w:val="24"/>
          <w:szCs w:val="24"/>
        </w:rPr>
        <w:t>model.</w:t>
      </w:r>
    </w:p>
    <w:tbl>
      <w:tblPr>
        <w:tblStyle w:val="TableGridLight122"/>
        <w:tblW w:w="5000" w:type="pct"/>
        <w:jc w:val="center"/>
        <w:tblInd w:w="0" w:type="dxa"/>
        <w:tblBorders>
          <w:top w:val="single" w:sz="12" w:space="0" w:color="4472C4" w:themeColor="accent1"/>
          <w:left w:val="single" w:sz="12" w:space="0" w:color="4472C4" w:themeColor="accent1"/>
          <w:bottom w:val="single" w:sz="12" w:space="0" w:color="4472C4" w:themeColor="accent1"/>
          <w:right w:val="single" w:sz="12" w:space="0" w:color="4472C4" w:themeColor="accent1"/>
          <w:insideH w:val="single" w:sz="12" w:space="0" w:color="4472C4" w:themeColor="accent1"/>
          <w:insideV w:val="single" w:sz="12" w:space="0" w:color="4472C4" w:themeColor="accent1"/>
        </w:tblBorders>
        <w:tblLook w:val="04A0" w:firstRow="1" w:lastRow="0" w:firstColumn="1" w:lastColumn="0" w:noHBand="0" w:noVBand="1"/>
      </w:tblPr>
      <w:tblGrid>
        <w:gridCol w:w="4731"/>
        <w:gridCol w:w="1222"/>
        <w:gridCol w:w="1533"/>
        <w:gridCol w:w="1510"/>
      </w:tblGrid>
      <w:tr w:rsidR="00FA640E" w14:paraId="3FE9FD6E" w14:textId="77777777" w:rsidTr="00FA640E">
        <w:trPr>
          <w:trHeight w:val="444"/>
          <w:tblHeader/>
          <w:jc w:val="center"/>
        </w:trPr>
        <w:tc>
          <w:tcPr>
            <w:tcW w:w="2630" w:type="pct"/>
            <w:vMerge w:val="restart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8EAADB" w:themeFill="accent1" w:themeFillTint="99"/>
            <w:vAlign w:val="center"/>
            <w:hideMark/>
          </w:tcPr>
          <w:p w14:paraId="6B480707" w14:textId="77777777" w:rsidR="00FA640E" w:rsidRDefault="00FA640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</w:rPr>
              <w:t>Measurement</w:t>
            </w:r>
          </w:p>
        </w:tc>
        <w:tc>
          <w:tcPr>
            <w:tcW w:w="679" w:type="pct"/>
            <w:vMerge w:val="restart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8EAADB" w:themeFill="accent1" w:themeFillTint="99"/>
            <w:vAlign w:val="center"/>
            <w:hideMark/>
          </w:tcPr>
          <w:p w14:paraId="454299FE" w14:textId="77777777" w:rsidR="00FA640E" w:rsidRDefault="00FA640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</w:rPr>
              <w:t>VIF</w:t>
            </w:r>
          </w:p>
        </w:tc>
        <w:tc>
          <w:tcPr>
            <w:tcW w:w="1691" w:type="pct"/>
            <w:gridSpan w:val="2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8EAADB" w:themeFill="accent1" w:themeFillTint="99"/>
            <w:vAlign w:val="center"/>
            <w:hideMark/>
          </w:tcPr>
          <w:p w14:paraId="271A8841" w14:textId="77777777" w:rsidR="00FA640E" w:rsidRDefault="00FA640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</w:rPr>
              <w:t>95% CI</w:t>
            </w:r>
          </w:p>
        </w:tc>
      </w:tr>
      <w:tr w:rsidR="00FA640E" w14:paraId="52A5A34C" w14:textId="77777777" w:rsidTr="00FA640E">
        <w:trPr>
          <w:trHeight w:val="444"/>
          <w:tblHeader/>
          <w:jc w:val="center"/>
        </w:trPr>
        <w:tc>
          <w:tcPr>
            <w:tcW w:w="0" w:type="auto"/>
            <w:vMerge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center"/>
            <w:hideMark/>
          </w:tcPr>
          <w:p w14:paraId="0EAC3A4F" w14:textId="77777777" w:rsidR="00FA640E" w:rsidRDefault="00FA640E">
            <w:pPr>
              <w:spacing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center"/>
            <w:hideMark/>
          </w:tcPr>
          <w:p w14:paraId="004597E9" w14:textId="77777777" w:rsidR="00FA640E" w:rsidRDefault="00FA640E">
            <w:pPr>
              <w:spacing w:line="240" w:lineRule="auto"/>
              <w:rPr>
                <w:rFonts w:asciiTheme="majorBidi" w:hAnsiTheme="majorBidi" w:cstheme="majorBidi"/>
                <w:b/>
                <w:sz w:val="18"/>
                <w:szCs w:val="18"/>
              </w:rPr>
            </w:pPr>
          </w:p>
        </w:tc>
        <w:tc>
          <w:tcPr>
            <w:tcW w:w="852" w:type="pct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8EAADB" w:themeFill="accent1" w:themeFillTint="99"/>
            <w:vAlign w:val="center"/>
            <w:hideMark/>
          </w:tcPr>
          <w:p w14:paraId="08E16365" w14:textId="77777777" w:rsidR="00FA640E" w:rsidRDefault="00FA640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</w:rPr>
              <w:t>Lower</w:t>
            </w:r>
          </w:p>
        </w:tc>
        <w:tc>
          <w:tcPr>
            <w:tcW w:w="840" w:type="pct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8EAADB" w:themeFill="accent1" w:themeFillTint="99"/>
            <w:vAlign w:val="center"/>
            <w:hideMark/>
          </w:tcPr>
          <w:p w14:paraId="49AED170" w14:textId="77777777" w:rsidR="00FA640E" w:rsidRDefault="00FA640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</w:rPr>
              <w:t>Upper</w:t>
            </w:r>
          </w:p>
        </w:tc>
      </w:tr>
      <w:tr w:rsidR="00FA640E" w14:paraId="28B6DF29" w14:textId="77777777" w:rsidTr="00FA640E">
        <w:trPr>
          <w:trHeight w:val="457"/>
          <w:jc w:val="center"/>
        </w:trPr>
        <w:tc>
          <w:tcPr>
            <w:tcW w:w="2630" w:type="pct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8EAADB" w:themeFill="accent1" w:themeFillTint="99"/>
            <w:vAlign w:val="center"/>
            <w:hideMark/>
          </w:tcPr>
          <w:p w14:paraId="37768190" w14:textId="77777777" w:rsidR="00FA640E" w:rsidRDefault="00FA640E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Inferior-superior distance</w:t>
            </w:r>
          </w:p>
        </w:tc>
        <w:tc>
          <w:tcPr>
            <w:tcW w:w="679" w:type="pct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center"/>
            <w:hideMark/>
          </w:tcPr>
          <w:p w14:paraId="58553AD1" w14:textId="77777777" w:rsidR="00FA640E" w:rsidRDefault="00FA640E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</w:rPr>
              <w:t>1.27</w:t>
            </w:r>
          </w:p>
        </w:tc>
        <w:tc>
          <w:tcPr>
            <w:tcW w:w="852" w:type="pct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center"/>
            <w:hideMark/>
          </w:tcPr>
          <w:p w14:paraId="58BE4508" w14:textId="77777777" w:rsidR="00FA640E" w:rsidRDefault="00FA640E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</w:rPr>
              <w:t>1.14</w:t>
            </w:r>
          </w:p>
        </w:tc>
        <w:tc>
          <w:tcPr>
            <w:tcW w:w="840" w:type="pct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center"/>
            <w:hideMark/>
          </w:tcPr>
          <w:p w14:paraId="166B2D55" w14:textId="77777777" w:rsidR="00FA640E" w:rsidRDefault="00FA640E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</w:rPr>
              <w:t>1.51</w:t>
            </w:r>
          </w:p>
        </w:tc>
      </w:tr>
      <w:tr w:rsidR="00FA640E" w14:paraId="0D8B4007" w14:textId="77777777" w:rsidTr="00FA640E">
        <w:trPr>
          <w:trHeight w:val="393"/>
          <w:jc w:val="center"/>
        </w:trPr>
        <w:tc>
          <w:tcPr>
            <w:tcW w:w="2630" w:type="pct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8EAADB" w:themeFill="accent1" w:themeFillTint="99"/>
            <w:vAlign w:val="center"/>
            <w:hideMark/>
          </w:tcPr>
          <w:p w14:paraId="0A9BF41A" w14:textId="77777777" w:rsidR="00FA640E" w:rsidRDefault="00FA640E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</w:rPr>
              <w:t>Anteroposterior distance</w:t>
            </w:r>
          </w:p>
        </w:tc>
        <w:tc>
          <w:tcPr>
            <w:tcW w:w="679" w:type="pct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center"/>
            <w:hideMark/>
          </w:tcPr>
          <w:p w14:paraId="1BF03282" w14:textId="77777777" w:rsidR="00FA640E" w:rsidRDefault="00FA640E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t>1.19</w:t>
            </w:r>
          </w:p>
        </w:tc>
        <w:tc>
          <w:tcPr>
            <w:tcW w:w="852" w:type="pct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center"/>
            <w:hideMark/>
          </w:tcPr>
          <w:p w14:paraId="68CE6D61" w14:textId="77777777" w:rsidR="00FA640E" w:rsidRDefault="00FA640E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t>1.08</w:t>
            </w:r>
          </w:p>
        </w:tc>
        <w:tc>
          <w:tcPr>
            <w:tcW w:w="840" w:type="pct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center"/>
            <w:hideMark/>
          </w:tcPr>
          <w:p w14:paraId="52471F5E" w14:textId="77777777" w:rsidR="00FA640E" w:rsidRDefault="00FA640E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t>1.43</w:t>
            </w:r>
          </w:p>
        </w:tc>
      </w:tr>
      <w:tr w:rsidR="00FA640E" w14:paraId="3B236F06" w14:textId="77777777" w:rsidTr="00FA640E">
        <w:trPr>
          <w:trHeight w:val="393"/>
          <w:jc w:val="center"/>
        </w:trPr>
        <w:tc>
          <w:tcPr>
            <w:tcW w:w="2630" w:type="pct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8EAADB" w:themeFill="accent1" w:themeFillTint="99"/>
            <w:vAlign w:val="center"/>
            <w:hideMark/>
          </w:tcPr>
          <w:p w14:paraId="32240F15" w14:textId="77777777" w:rsidR="00FA640E" w:rsidRDefault="00FA640E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</w:rPr>
              <w:t>Latero-lateral distance</w:t>
            </w:r>
          </w:p>
        </w:tc>
        <w:tc>
          <w:tcPr>
            <w:tcW w:w="679" w:type="pct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center"/>
            <w:hideMark/>
          </w:tcPr>
          <w:p w14:paraId="2C63577F" w14:textId="77777777" w:rsidR="00FA640E" w:rsidRDefault="00FA640E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t>1.46</w:t>
            </w:r>
          </w:p>
        </w:tc>
        <w:tc>
          <w:tcPr>
            <w:tcW w:w="852" w:type="pct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center"/>
            <w:hideMark/>
          </w:tcPr>
          <w:p w14:paraId="7A2065D2" w14:textId="77777777" w:rsidR="00FA640E" w:rsidRDefault="00FA640E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t>1.29</w:t>
            </w:r>
          </w:p>
        </w:tc>
        <w:tc>
          <w:tcPr>
            <w:tcW w:w="840" w:type="pct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center"/>
            <w:hideMark/>
          </w:tcPr>
          <w:p w14:paraId="47EF1C74" w14:textId="77777777" w:rsidR="00FA640E" w:rsidRDefault="00FA640E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t>1.74</w:t>
            </w:r>
          </w:p>
        </w:tc>
      </w:tr>
    </w:tbl>
    <w:p w14:paraId="59670DB3" w14:textId="52B1097E" w:rsidR="00FA640E" w:rsidRDefault="00FA640E" w:rsidP="00FA640E">
      <w:pPr>
        <w:spacing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CI: Confidence interval.</w:t>
      </w:r>
    </w:p>
    <w:p w14:paraId="6CC60AA7" w14:textId="04938762" w:rsidR="00FA640E" w:rsidRDefault="00FA640E" w:rsidP="00FA640E">
      <w:pPr>
        <w:spacing w:after="0"/>
        <w:jc w:val="both"/>
      </w:pPr>
    </w:p>
    <w:p w14:paraId="2ABD5E7E" w14:textId="0987290F" w:rsidR="00FA640E" w:rsidRDefault="00FA640E" w:rsidP="00FA640E">
      <w:pPr>
        <w:spacing w:after="0"/>
        <w:jc w:val="both"/>
      </w:pPr>
    </w:p>
    <w:p w14:paraId="213ED18F" w14:textId="01FA1BC4" w:rsidR="00FA640E" w:rsidRDefault="00FA640E" w:rsidP="00FA640E">
      <w:pPr>
        <w:spacing w:after="0"/>
        <w:jc w:val="both"/>
      </w:pPr>
    </w:p>
    <w:p w14:paraId="7307E63F" w14:textId="77777777" w:rsidR="00FA640E" w:rsidRDefault="00FA640E" w:rsidP="00FA640E">
      <w:pPr>
        <w:spacing w:after="0"/>
        <w:jc w:val="both"/>
      </w:pPr>
    </w:p>
    <w:p w14:paraId="2A8AB552" w14:textId="77777777" w:rsidR="00FA640E" w:rsidRDefault="00FA640E" w:rsidP="00FA640E">
      <w:pPr>
        <w:spacing w:after="0"/>
        <w:jc w:val="both"/>
      </w:pPr>
    </w:p>
    <w:p w14:paraId="5E904FE8" w14:textId="376638CB" w:rsidR="00FA640E" w:rsidRDefault="00FA640E" w:rsidP="00FA640E">
      <w:pPr>
        <w:spacing w:after="0"/>
        <w:jc w:val="both"/>
        <w:rPr>
          <w:rFonts w:asciiTheme="majorBidi" w:hAnsiTheme="majorBidi" w:cstheme="majorBidi"/>
          <w:sz w:val="20"/>
          <w:lang w:bidi="ar-EG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Table (S2): Variance </w:t>
      </w:r>
      <w:r w:rsidR="00146C88">
        <w:rPr>
          <w:rFonts w:asciiTheme="majorBidi" w:hAnsiTheme="majorBidi" w:cstheme="majorBidi"/>
          <w:b/>
          <w:bCs/>
          <w:sz w:val="24"/>
          <w:szCs w:val="24"/>
        </w:rPr>
        <w:t>I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nflation </w:t>
      </w:r>
      <w:r w:rsidR="00146C88">
        <w:rPr>
          <w:rFonts w:asciiTheme="majorBidi" w:hAnsiTheme="majorBidi" w:cstheme="majorBidi"/>
          <w:b/>
          <w:bCs/>
          <w:sz w:val="24"/>
          <w:szCs w:val="24"/>
        </w:rPr>
        <w:t>F</w:t>
      </w:r>
      <w:r>
        <w:rPr>
          <w:rFonts w:asciiTheme="majorBidi" w:hAnsiTheme="majorBidi" w:cstheme="majorBidi"/>
          <w:b/>
          <w:bCs/>
          <w:sz w:val="24"/>
          <w:szCs w:val="24"/>
        </w:rPr>
        <w:t>actors (VIFs) for predictors in the age prediction model.</w:t>
      </w:r>
    </w:p>
    <w:p w14:paraId="61566BF1" w14:textId="77777777" w:rsidR="00FA640E" w:rsidRDefault="00FA640E" w:rsidP="00FA640E">
      <w:pPr>
        <w:spacing w:after="0"/>
        <w:jc w:val="both"/>
        <w:rPr>
          <w:rFonts w:asciiTheme="majorBidi" w:hAnsiTheme="majorBidi" w:cstheme="majorBidi"/>
          <w:sz w:val="20"/>
          <w:rtl/>
        </w:rPr>
      </w:pPr>
    </w:p>
    <w:tbl>
      <w:tblPr>
        <w:tblStyle w:val="TableGridLight122"/>
        <w:tblW w:w="5000" w:type="pct"/>
        <w:jc w:val="center"/>
        <w:tblInd w:w="0" w:type="dxa"/>
        <w:tblBorders>
          <w:top w:val="single" w:sz="12" w:space="0" w:color="4472C4" w:themeColor="accent1"/>
          <w:left w:val="single" w:sz="12" w:space="0" w:color="4472C4" w:themeColor="accent1"/>
          <w:bottom w:val="single" w:sz="12" w:space="0" w:color="4472C4" w:themeColor="accent1"/>
          <w:right w:val="single" w:sz="12" w:space="0" w:color="4472C4" w:themeColor="accent1"/>
          <w:insideH w:val="single" w:sz="12" w:space="0" w:color="4472C4" w:themeColor="accent1"/>
          <w:insideV w:val="single" w:sz="12" w:space="0" w:color="4472C4" w:themeColor="accent1"/>
        </w:tblBorders>
        <w:tblLook w:val="04A0" w:firstRow="1" w:lastRow="0" w:firstColumn="1" w:lastColumn="0" w:noHBand="0" w:noVBand="1"/>
      </w:tblPr>
      <w:tblGrid>
        <w:gridCol w:w="4731"/>
        <w:gridCol w:w="1222"/>
        <w:gridCol w:w="1533"/>
        <w:gridCol w:w="1510"/>
      </w:tblGrid>
      <w:tr w:rsidR="00FA640E" w14:paraId="32BD301C" w14:textId="77777777" w:rsidTr="00FA640E">
        <w:trPr>
          <w:trHeight w:val="444"/>
          <w:tblHeader/>
          <w:jc w:val="center"/>
        </w:trPr>
        <w:tc>
          <w:tcPr>
            <w:tcW w:w="2630" w:type="pct"/>
            <w:vMerge w:val="restart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8EAADB" w:themeFill="accent1" w:themeFillTint="99"/>
            <w:vAlign w:val="center"/>
            <w:hideMark/>
          </w:tcPr>
          <w:p w14:paraId="4B77F5A2" w14:textId="77777777" w:rsidR="00FA640E" w:rsidRDefault="00FA640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</w:rPr>
              <w:t>Measurement</w:t>
            </w:r>
          </w:p>
        </w:tc>
        <w:tc>
          <w:tcPr>
            <w:tcW w:w="679" w:type="pct"/>
            <w:vMerge w:val="restart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8EAADB" w:themeFill="accent1" w:themeFillTint="99"/>
            <w:vAlign w:val="center"/>
            <w:hideMark/>
          </w:tcPr>
          <w:p w14:paraId="54173612" w14:textId="77777777" w:rsidR="00FA640E" w:rsidRDefault="00FA640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</w:rPr>
              <w:t>VIF</w:t>
            </w:r>
          </w:p>
        </w:tc>
        <w:tc>
          <w:tcPr>
            <w:tcW w:w="1691" w:type="pct"/>
            <w:gridSpan w:val="2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8EAADB" w:themeFill="accent1" w:themeFillTint="99"/>
            <w:vAlign w:val="center"/>
            <w:hideMark/>
          </w:tcPr>
          <w:p w14:paraId="198231CC" w14:textId="77777777" w:rsidR="00FA640E" w:rsidRDefault="00FA640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</w:rPr>
              <w:t>95% CI</w:t>
            </w:r>
          </w:p>
        </w:tc>
      </w:tr>
      <w:tr w:rsidR="00FA640E" w14:paraId="55634B15" w14:textId="77777777" w:rsidTr="00FA640E">
        <w:trPr>
          <w:trHeight w:val="444"/>
          <w:tblHeader/>
          <w:jc w:val="center"/>
        </w:trPr>
        <w:tc>
          <w:tcPr>
            <w:tcW w:w="0" w:type="auto"/>
            <w:vMerge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center"/>
            <w:hideMark/>
          </w:tcPr>
          <w:p w14:paraId="1EEB6336" w14:textId="77777777" w:rsidR="00FA640E" w:rsidRDefault="00FA640E">
            <w:pPr>
              <w:spacing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center"/>
            <w:hideMark/>
          </w:tcPr>
          <w:p w14:paraId="4749DB92" w14:textId="77777777" w:rsidR="00FA640E" w:rsidRDefault="00FA640E">
            <w:pPr>
              <w:spacing w:line="240" w:lineRule="auto"/>
              <w:rPr>
                <w:rFonts w:asciiTheme="majorBidi" w:hAnsiTheme="majorBidi" w:cstheme="majorBidi"/>
                <w:b/>
                <w:sz w:val="18"/>
                <w:szCs w:val="18"/>
              </w:rPr>
            </w:pPr>
          </w:p>
        </w:tc>
        <w:tc>
          <w:tcPr>
            <w:tcW w:w="852" w:type="pct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8EAADB" w:themeFill="accent1" w:themeFillTint="99"/>
            <w:vAlign w:val="center"/>
            <w:hideMark/>
          </w:tcPr>
          <w:p w14:paraId="7779386B" w14:textId="77777777" w:rsidR="00FA640E" w:rsidRDefault="00FA640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</w:rPr>
              <w:t>Lower</w:t>
            </w:r>
          </w:p>
        </w:tc>
        <w:tc>
          <w:tcPr>
            <w:tcW w:w="839" w:type="pct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8EAADB" w:themeFill="accent1" w:themeFillTint="99"/>
            <w:vAlign w:val="center"/>
            <w:hideMark/>
          </w:tcPr>
          <w:p w14:paraId="00764C8C" w14:textId="77777777" w:rsidR="00FA640E" w:rsidRDefault="00FA640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</w:rPr>
              <w:t>Upper</w:t>
            </w:r>
          </w:p>
        </w:tc>
      </w:tr>
      <w:tr w:rsidR="00FA640E" w14:paraId="7DED7AB5" w14:textId="77777777" w:rsidTr="00FA640E">
        <w:trPr>
          <w:trHeight w:val="457"/>
          <w:jc w:val="center"/>
        </w:trPr>
        <w:tc>
          <w:tcPr>
            <w:tcW w:w="2630" w:type="pct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8EAADB" w:themeFill="accent1" w:themeFillTint="99"/>
            <w:vAlign w:val="center"/>
            <w:hideMark/>
          </w:tcPr>
          <w:p w14:paraId="5D44559F" w14:textId="77777777" w:rsidR="00FA640E" w:rsidRDefault="00FA640E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Inferior-superior distance</w:t>
            </w:r>
          </w:p>
        </w:tc>
        <w:tc>
          <w:tcPr>
            <w:tcW w:w="679" w:type="pct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center"/>
            <w:hideMark/>
          </w:tcPr>
          <w:p w14:paraId="219596C5" w14:textId="77777777" w:rsidR="00FA640E" w:rsidRDefault="00FA640E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</w:rPr>
              <w:t>1.35</w:t>
            </w:r>
          </w:p>
        </w:tc>
        <w:tc>
          <w:tcPr>
            <w:tcW w:w="852" w:type="pct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center"/>
            <w:hideMark/>
          </w:tcPr>
          <w:p w14:paraId="02C5CD86" w14:textId="77777777" w:rsidR="00FA640E" w:rsidRDefault="00FA640E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</w:rPr>
              <w:t>1.21</w:t>
            </w:r>
          </w:p>
        </w:tc>
        <w:tc>
          <w:tcPr>
            <w:tcW w:w="839" w:type="pct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center"/>
            <w:hideMark/>
          </w:tcPr>
          <w:p w14:paraId="796A4BDE" w14:textId="77777777" w:rsidR="00FA640E" w:rsidRDefault="00FA640E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</w:rPr>
              <w:t>1.61</w:t>
            </w:r>
          </w:p>
        </w:tc>
      </w:tr>
      <w:tr w:rsidR="00FA640E" w14:paraId="4CB1D1CC" w14:textId="77777777" w:rsidTr="00FA640E">
        <w:trPr>
          <w:trHeight w:val="393"/>
          <w:jc w:val="center"/>
        </w:trPr>
        <w:tc>
          <w:tcPr>
            <w:tcW w:w="2630" w:type="pct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8EAADB" w:themeFill="accent1" w:themeFillTint="99"/>
            <w:vAlign w:val="center"/>
            <w:hideMark/>
          </w:tcPr>
          <w:p w14:paraId="1A897AA7" w14:textId="77777777" w:rsidR="00FA640E" w:rsidRDefault="00FA640E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</w:rPr>
              <w:t>Anteroposterior distance</w:t>
            </w:r>
          </w:p>
        </w:tc>
        <w:tc>
          <w:tcPr>
            <w:tcW w:w="679" w:type="pct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center"/>
            <w:hideMark/>
          </w:tcPr>
          <w:p w14:paraId="273306C0" w14:textId="77777777" w:rsidR="00FA640E" w:rsidRDefault="00FA640E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t>1.13</w:t>
            </w:r>
          </w:p>
        </w:tc>
        <w:tc>
          <w:tcPr>
            <w:tcW w:w="852" w:type="pct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center"/>
            <w:hideMark/>
          </w:tcPr>
          <w:p w14:paraId="6B96C26C" w14:textId="77777777" w:rsidR="00FA640E" w:rsidRDefault="00FA640E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t>1.04</w:t>
            </w:r>
          </w:p>
        </w:tc>
        <w:tc>
          <w:tcPr>
            <w:tcW w:w="839" w:type="pct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center"/>
            <w:hideMark/>
          </w:tcPr>
          <w:p w14:paraId="11AD9ECD" w14:textId="77777777" w:rsidR="00FA640E" w:rsidRDefault="00FA640E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t>1.39</w:t>
            </w:r>
          </w:p>
        </w:tc>
      </w:tr>
      <w:tr w:rsidR="00FA640E" w14:paraId="49874128" w14:textId="77777777" w:rsidTr="00FA640E">
        <w:trPr>
          <w:trHeight w:val="393"/>
          <w:jc w:val="center"/>
        </w:trPr>
        <w:tc>
          <w:tcPr>
            <w:tcW w:w="2630" w:type="pct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8EAADB" w:themeFill="accent1" w:themeFillTint="99"/>
            <w:vAlign w:val="center"/>
            <w:hideMark/>
          </w:tcPr>
          <w:p w14:paraId="5CCA6935" w14:textId="77777777" w:rsidR="00FA640E" w:rsidRDefault="00FA640E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</w:rPr>
              <w:t>Latero-lateral distance</w:t>
            </w:r>
          </w:p>
        </w:tc>
        <w:tc>
          <w:tcPr>
            <w:tcW w:w="679" w:type="pct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center"/>
            <w:hideMark/>
          </w:tcPr>
          <w:p w14:paraId="5C32F7E2" w14:textId="77777777" w:rsidR="00FA640E" w:rsidRDefault="00FA640E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t>1.49</w:t>
            </w:r>
          </w:p>
        </w:tc>
        <w:tc>
          <w:tcPr>
            <w:tcW w:w="852" w:type="pct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center"/>
            <w:hideMark/>
          </w:tcPr>
          <w:p w14:paraId="2A5C8CF1" w14:textId="77777777" w:rsidR="00FA640E" w:rsidRDefault="00FA640E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t>1.31</w:t>
            </w:r>
          </w:p>
        </w:tc>
        <w:tc>
          <w:tcPr>
            <w:tcW w:w="839" w:type="pct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center"/>
            <w:hideMark/>
          </w:tcPr>
          <w:p w14:paraId="3B97CC59" w14:textId="77777777" w:rsidR="00FA640E" w:rsidRDefault="00FA640E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t>1.77</w:t>
            </w:r>
          </w:p>
        </w:tc>
      </w:tr>
    </w:tbl>
    <w:p w14:paraId="682169AD" w14:textId="1CEE5B3D" w:rsidR="004756C7" w:rsidRDefault="00FA640E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CI: Confidence interval.</w:t>
      </w:r>
    </w:p>
    <w:p w14:paraId="7F2F02F5" w14:textId="49915C00" w:rsidR="00D474B4" w:rsidRDefault="00D474B4"/>
    <w:p w14:paraId="68835486" w14:textId="114E816F" w:rsidR="00D474B4" w:rsidRDefault="00D474B4"/>
    <w:p w14:paraId="0BC83042" w14:textId="19EFF88B" w:rsidR="00D474B4" w:rsidRDefault="00D474B4"/>
    <w:p w14:paraId="261EB88D" w14:textId="039ABAB7" w:rsidR="00D474B4" w:rsidRDefault="00D474B4"/>
    <w:p w14:paraId="61F9A883" w14:textId="41C2A5F9" w:rsidR="00D474B4" w:rsidRDefault="00D474B4"/>
    <w:p w14:paraId="63660903" w14:textId="5C74A3D6" w:rsidR="00D474B4" w:rsidRDefault="00D474B4"/>
    <w:p w14:paraId="01BE2A3A" w14:textId="7766B29B" w:rsidR="00D474B4" w:rsidRDefault="00D474B4"/>
    <w:p w14:paraId="39DEE5B6" w14:textId="371F5C32" w:rsidR="00D474B4" w:rsidRDefault="00D474B4"/>
    <w:p w14:paraId="4920C547" w14:textId="093D09D7" w:rsidR="00D474B4" w:rsidRDefault="00D474B4"/>
    <w:p w14:paraId="05AF36CE" w14:textId="2DD62B11" w:rsidR="00D474B4" w:rsidRDefault="00D474B4"/>
    <w:p w14:paraId="0C3F07CA" w14:textId="691A9756" w:rsidR="00D474B4" w:rsidRDefault="00D474B4"/>
    <w:p w14:paraId="3C2CBEF8" w14:textId="1BA70C2F" w:rsidR="00D474B4" w:rsidRDefault="00D474B4"/>
    <w:p w14:paraId="728B239D" w14:textId="5EE2353F" w:rsidR="00D474B4" w:rsidRDefault="00D474B4"/>
    <w:p w14:paraId="22EFCCCB" w14:textId="649055F8" w:rsidR="00D474B4" w:rsidRDefault="00D474B4"/>
    <w:p w14:paraId="404E1BB3" w14:textId="77777777" w:rsidR="00D474B4" w:rsidRDefault="00D474B4" w:rsidP="00D474B4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0F8984F0" w14:textId="77777777" w:rsidR="00D474B4" w:rsidRDefault="00D474B4" w:rsidP="00D474B4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29BD95AC" w14:textId="77777777" w:rsidR="00D474B4" w:rsidRDefault="00D474B4" w:rsidP="00D474B4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6923C0F2" w14:textId="77777777" w:rsidR="00D474B4" w:rsidRDefault="00D474B4" w:rsidP="00D474B4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1BADFF79" w14:textId="7C4B4C47" w:rsidR="00D474B4" w:rsidRDefault="00D474B4" w:rsidP="00D474B4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34E18934" wp14:editId="107053D7">
            <wp:extent cx="5731510" cy="3094355"/>
            <wp:effectExtent l="0" t="0" r="2540" b="0"/>
            <wp:docPr id="2" name="Picture 2" descr="A graph with a li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 graph with a li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09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b/>
          <w:bCs/>
          <w:sz w:val="24"/>
          <w:szCs w:val="24"/>
        </w:rPr>
        <w:t>Figure (</w:t>
      </w:r>
      <w:r>
        <w:rPr>
          <w:rFonts w:asciiTheme="majorBidi" w:hAnsiTheme="majorBidi" w:cstheme="majorBidi"/>
          <w:b/>
          <w:bCs/>
          <w:sz w:val="24"/>
          <w:szCs w:val="24"/>
        </w:rPr>
        <w:t>S1</w:t>
      </w:r>
      <w:r>
        <w:rPr>
          <w:rFonts w:asciiTheme="majorBidi" w:hAnsiTheme="majorBidi" w:cstheme="majorBidi"/>
          <w:b/>
          <w:bCs/>
          <w:sz w:val="24"/>
          <w:szCs w:val="24"/>
        </w:rPr>
        <w:t>): Q–Q plot of simulation-based residuals for the sex classification model.</w:t>
      </w:r>
    </w:p>
    <w:p w14:paraId="6FBA411E" w14:textId="57610984" w:rsidR="00D474B4" w:rsidRDefault="00D474B4" w:rsidP="00D474B4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40B70344" w14:textId="77777777" w:rsidR="00D474B4" w:rsidRDefault="00D474B4" w:rsidP="00D474B4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7D2E8C96" w14:textId="06CDCFB7" w:rsidR="00D474B4" w:rsidRDefault="00D474B4" w:rsidP="00D474B4">
      <w:pPr>
        <w:spacing w:after="0"/>
        <w:jc w:val="center"/>
        <w:rPr>
          <w:rFonts w:asciiTheme="majorBidi" w:hAnsiTheme="majorBidi" w:cstheme="majorBidi"/>
          <w:sz w:val="20"/>
          <w:lang w:bidi="ar-EG"/>
        </w:rPr>
      </w:pPr>
      <w:r>
        <w:rPr>
          <w:noProof/>
        </w:rPr>
        <w:drawing>
          <wp:inline distT="0" distB="0" distL="0" distR="0" wp14:anchorId="4B596A41" wp14:editId="1864E258">
            <wp:extent cx="5731510" cy="2970530"/>
            <wp:effectExtent l="0" t="0" r="2540" b="1270"/>
            <wp:docPr id="1" name="Picture 1" descr="A graph showing the growth of a numb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 graph showing the growth of a numb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97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b/>
          <w:bCs/>
          <w:sz w:val="24"/>
          <w:szCs w:val="24"/>
        </w:rPr>
        <w:t>Figure (</w:t>
      </w:r>
      <w:r>
        <w:rPr>
          <w:rFonts w:asciiTheme="majorBidi" w:hAnsiTheme="majorBidi" w:cstheme="majorBidi"/>
          <w:b/>
          <w:bCs/>
          <w:sz w:val="24"/>
          <w:szCs w:val="24"/>
        </w:rPr>
        <w:t>S2</w:t>
      </w:r>
      <w:bookmarkStart w:id="0" w:name="_GoBack"/>
      <w:bookmarkEnd w:id="0"/>
      <w:r>
        <w:rPr>
          <w:rFonts w:asciiTheme="majorBidi" w:hAnsiTheme="majorBidi" w:cstheme="majorBidi"/>
          <w:b/>
          <w:bCs/>
          <w:sz w:val="24"/>
          <w:szCs w:val="24"/>
        </w:rPr>
        <w:t>): Q–Q plot of standardized residuals for the age prediction model.</w:t>
      </w:r>
    </w:p>
    <w:p w14:paraId="103EFD36" w14:textId="5B84CC98" w:rsidR="00D474B4" w:rsidRDefault="00D474B4"/>
    <w:p w14:paraId="10A9C41B" w14:textId="5BD4EDF7" w:rsidR="00D474B4" w:rsidRDefault="00D474B4"/>
    <w:p w14:paraId="12B9F260" w14:textId="77777777" w:rsidR="00D474B4" w:rsidRDefault="00D474B4"/>
    <w:sectPr w:rsidR="00D474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16C"/>
    <w:rsid w:val="00146C88"/>
    <w:rsid w:val="004756C7"/>
    <w:rsid w:val="00D474B4"/>
    <w:rsid w:val="00DF016C"/>
    <w:rsid w:val="00FA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8561AB"/>
  <w15:chartTrackingRefBased/>
  <w15:docId w15:val="{86160B20-1750-4F91-B41F-85A8E6D1A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A640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Light122">
    <w:name w:val="Table Grid Light122"/>
    <w:basedOn w:val="TableNormal"/>
    <w:uiPriority w:val="40"/>
    <w:rsid w:val="00FA640E"/>
    <w:pPr>
      <w:spacing w:after="0" w:line="240" w:lineRule="auto"/>
    </w:pPr>
    <w:rPr>
      <w:rFonts w:ascii="Calibri" w:eastAsia="Calibri" w:hAnsi="Calibri" w:cs="Arial"/>
      <w:lang w:val="en-US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619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2025-12-20T17:35:00Z</dcterms:created>
  <dcterms:modified xsi:type="dcterms:W3CDTF">2025-12-21T16:58:00Z</dcterms:modified>
</cp:coreProperties>
</file>