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62093" w14:textId="437A163D" w:rsidR="0094375C" w:rsidRDefault="0094375C" w:rsidP="0094375C">
      <w:pPr>
        <w:pStyle w:val="NormalWeb"/>
        <w:spacing w:line="360" w:lineRule="auto"/>
        <w:jc w:val="both"/>
        <w:rPr>
          <w:rStyle w:val="Strong"/>
          <w:rFonts w:asciiTheme="majorBidi" w:hAnsiTheme="majorBidi" w:cstheme="majorBidi"/>
        </w:rPr>
      </w:pPr>
      <w:r>
        <w:rPr>
          <w:rStyle w:val="Strong"/>
          <w:rFonts w:asciiTheme="majorBidi" w:hAnsiTheme="majorBidi" w:cstheme="majorBidi"/>
        </w:rPr>
        <w:t>Supplementary tables</w:t>
      </w:r>
    </w:p>
    <w:p w14:paraId="587B5931" w14:textId="08F68FC5" w:rsidR="0094375C" w:rsidRPr="008F25BE" w:rsidRDefault="0094375C" w:rsidP="0094375C">
      <w:pPr>
        <w:pStyle w:val="NormalWeb"/>
        <w:spacing w:line="360" w:lineRule="auto"/>
        <w:jc w:val="both"/>
        <w:rPr>
          <w:rFonts w:asciiTheme="majorBidi" w:hAnsiTheme="majorBidi" w:cstheme="majorBidi"/>
        </w:rPr>
      </w:pPr>
      <w:r w:rsidRPr="008F25BE">
        <w:rPr>
          <w:rStyle w:val="Strong"/>
          <w:rFonts w:asciiTheme="majorBidi" w:hAnsiTheme="majorBidi" w:cstheme="majorBidi"/>
        </w:rPr>
        <w:t>Table (</w:t>
      </w:r>
      <w:r>
        <w:rPr>
          <w:rStyle w:val="Strong"/>
          <w:rFonts w:asciiTheme="majorBidi" w:hAnsiTheme="majorBidi" w:cstheme="majorBidi"/>
        </w:rPr>
        <w:t>S</w:t>
      </w:r>
      <w:r w:rsidRPr="008F25BE">
        <w:rPr>
          <w:rStyle w:val="Strong"/>
          <w:rFonts w:asciiTheme="majorBidi" w:hAnsiTheme="majorBidi" w:cstheme="majorBidi"/>
        </w:rPr>
        <w:t>1):</w:t>
      </w:r>
      <w:r w:rsidRPr="008F25BE">
        <w:rPr>
          <w:rFonts w:asciiTheme="majorBidi" w:hAnsiTheme="majorBidi" w:cstheme="majorBidi"/>
        </w:rPr>
        <w:t xml:space="preserve"> Leipzig criteria: diagnostic criteria for Wilson disease </w:t>
      </w:r>
    </w:p>
    <w:tbl>
      <w:tblPr>
        <w:tblW w:w="903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8"/>
        <w:gridCol w:w="4462"/>
        <w:gridCol w:w="1022"/>
      </w:tblGrid>
      <w:tr w:rsidR="0094375C" w:rsidRPr="008F25BE" w14:paraId="7A5C7F53" w14:textId="77777777" w:rsidTr="00297AF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19A524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Clinical or Laboratory Findings</w:t>
            </w:r>
          </w:p>
        </w:tc>
        <w:tc>
          <w:tcPr>
            <w:tcW w:w="443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E0FE9D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Criteria / Result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94B125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Points</w:t>
            </w:r>
          </w:p>
        </w:tc>
      </w:tr>
      <w:tr w:rsidR="0094375C" w:rsidRPr="008F25BE" w14:paraId="400D9458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D9DC5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Kayser-Fleischer Rings</w:t>
            </w:r>
          </w:p>
        </w:tc>
        <w:tc>
          <w:tcPr>
            <w:tcW w:w="4432" w:type="dxa"/>
            <w:vAlign w:val="center"/>
            <w:hideMark/>
          </w:tcPr>
          <w:p w14:paraId="58EA69E7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977" w:type="dxa"/>
            <w:vAlign w:val="center"/>
            <w:hideMark/>
          </w:tcPr>
          <w:p w14:paraId="33EDACDE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</w:tr>
      <w:tr w:rsidR="0094375C" w:rsidRPr="008F25BE" w14:paraId="0B32BD7F" w14:textId="77777777" w:rsidTr="00297AF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00C9AF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  <w:vAlign w:val="center"/>
            <w:hideMark/>
          </w:tcPr>
          <w:p w14:paraId="0D4636FD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Absent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  <w:hideMark/>
          </w:tcPr>
          <w:p w14:paraId="59B8376A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</w:tr>
      <w:tr w:rsidR="0094375C" w:rsidRPr="008F25BE" w14:paraId="3BA5C9C4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C5866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Neurological Symptoms or MRI Findings</w:t>
            </w:r>
          </w:p>
        </w:tc>
        <w:tc>
          <w:tcPr>
            <w:tcW w:w="4432" w:type="dxa"/>
            <w:vAlign w:val="center"/>
            <w:hideMark/>
          </w:tcPr>
          <w:p w14:paraId="6CF821C9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Severe</w:t>
            </w:r>
          </w:p>
        </w:tc>
        <w:tc>
          <w:tcPr>
            <w:tcW w:w="977" w:type="dxa"/>
            <w:vAlign w:val="center"/>
            <w:hideMark/>
          </w:tcPr>
          <w:p w14:paraId="063508F8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</w:tr>
      <w:tr w:rsidR="0094375C" w:rsidRPr="008F25BE" w14:paraId="2397758F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A3C78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vAlign w:val="center"/>
            <w:hideMark/>
          </w:tcPr>
          <w:p w14:paraId="6F2EA062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Mild</w:t>
            </w:r>
          </w:p>
        </w:tc>
        <w:tc>
          <w:tcPr>
            <w:tcW w:w="977" w:type="dxa"/>
            <w:vAlign w:val="center"/>
            <w:hideMark/>
          </w:tcPr>
          <w:p w14:paraId="6ACBB2CE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</w:tr>
      <w:tr w:rsidR="0094375C" w:rsidRPr="008F25BE" w14:paraId="055FCA21" w14:textId="77777777" w:rsidTr="00297AF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485B802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  <w:vAlign w:val="center"/>
            <w:hideMark/>
          </w:tcPr>
          <w:p w14:paraId="18F0DC07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Absent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  <w:hideMark/>
          </w:tcPr>
          <w:p w14:paraId="6B35ADF7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</w:tr>
      <w:tr w:rsidR="0094375C" w:rsidRPr="008F25BE" w14:paraId="1328AD34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A0EF5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Serum Ceruloplasmin Level (g/L)</w:t>
            </w:r>
          </w:p>
        </w:tc>
        <w:tc>
          <w:tcPr>
            <w:tcW w:w="4432" w:type="dxa"/>
            <w:vAlign w:val="center"/>
            <w:hideMark/>
          </w:tcPr>
          <w:p w14:paraId="367CA4F8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&lt;0.1</w:t>
            </w:r>
          </w:p>
        </w:tc>
        <w:tc>
          <w:tcPr>
            <w:tcW w:w="977" w:type="dxa"/>
            <w:vAlign w:val="center"/>
            <w:hideMark/>
          </w:tcPr>
          <w:p w14:paraId="66D1A15F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</w:tr>
      <w:tr w:rsidR="0094375C" w:rsidRPr="008F25BE" w14:paraId="0EC00F7B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968C1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vAlign w:val="center"/>
            <w:hideMark/>
          </w:tcPr>
          <w:p w14:paraId="248464D2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0.1–0.2</w:t>
            </w:r>
          </w:p>
        </w:tc>
        <w:tc>
          <w:tcPr>
            <w:tcW w:w="977" w:type="dxa"/>
            <w:vAlign w:val="center"/>
            <w:hideMark/>
          </w:tcPr>
          <w:p w14:paraId="061C8251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</w:tr>
      <w:tr w:rsidR="0094375C" w:rsidRPr="008F25BE" w14:paraId="2C64D005" w14:textId="77777777" w:rsidTr="00297AF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91EA20B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  <w:vAlign w:val="center"/>
            <w:hideMark/>
          </w:tcPr>
          <w:p w14:paraId="273B8153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Normal (&gt;0.2)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  <w:hideMark/>
          </w:tcPr>
          <w:p w14:paraId="30DD1469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</w:tr>
      <w:tr w:rsidR="0094375C" w:rsidRPr="008F25BE" w14:paraId="5E4EC55B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D1B6C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24-h Urinary Copper</w:t>
            </w:r>
          </w:p>
        </w:tc>
        <w:tc>
          <w:tcPr>
            <w:tcW w:w="4432" w:type="dxa"/>
            <w:vAlign w:val="center"/>
            <w:hideMark/>
          </w:tcPr>
          <w:p w14:paraId="6A61BC46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&gt;2× upper limit of normal</w:t>
            </w:r>
          </w:p>
        </w:tc>
        <w:tc>
          <w:tcPr>
            <w:tcW w:w="977" w:type="dxa"/>
            <w:vAlign w:val="center"/>
            <w:hideMark/>
          </w:tcPr>
          <w:p w14:paraId="4280B28E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</w:tr>
      <w:tr w:rsidR="0094375C" w:rsidRPr="008F25BE" w14:paraId="15BD18CD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610C0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vAlign w:val="center"/>
            <w:hideMark/>
          </w:tcPr>
          <w:p w14:paraId="10ED3D51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1–2× upper limit of normal</w:t>
            </w:r>
          </w:p>
        </w:tc>
        <w:tc>
          <w:tcPr>
            <w:tcW w:w="977" w:type="dxa"/>
            <w:vAlign w:val="center"/>
            <w:hideMark/>
          </w:tcPr>
          <w:p w14:paraId="7855FC4D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</w:tr>
      <w:tr w:rsidR="0094375C" w:rsidRPr="008F25BE" w14:paraId="765596C1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D29A5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vAlign w:val="center"/>
            <w:hideMark/>
          </w:tcPr>
          <w:p w14:paraId="00E36920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Normal</w:t>
            </w:r>
          </w:p>
        </w:tc>
        <w:tc>
          <w:tcPr>
            <w:tcW w:w="977" w:type="dxa"/>
            <w:vAlign w:val="center"/>
            <w:hideMark/>
          </w:tcPr>
          <w:p w14:paraId="2F449D5C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</w:tr>
      <w:tr w:rsidR="0094375C" w:rsidRPr="008F25BE" w14:paraId="17CF2975" w14:textId="77777777" w:rsidTr="00297AF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C8568A1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  <w:vAlign w:val="center"/>
            <w:hideMark/>
          </w:tcPr>
          <w:p w14:paraId="350BCA1F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Normal, but &gt;5× upper limit of normal after D-penicillamine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  <w:hideMark/>
          </w:tcPr>
          <w:p w14:paraId="2055D4BD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</w:tr>
      <w:tr w:rsidR="0094375C" w:rsidRPr="008F25BE" w14:paraId="4DEF5E03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63C55" w14:textId="0AB33243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Coombs-negative</w:t>
            </w:r>
            <w:r w:rsidR="00297AF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Hemolytic Anemia</w:t>
            </w:r>
          </w:p>
        </w:tc>
        <w:tc>
          <w:tcPr>
            <w:tcW w:w="4432" w:type="dxa"/>
            <w:vAlign w:val="center"/>
            <w:hideMark/>
          </w:tcPr>
          <w:p w14:paraId="2FF53FA7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Present</w:t>
            </w:r>
          </w:p>
        </w:tc>
        <w:tc>
          <w:tcPr>
            <w:tcW w:w="977" w:type="dxa"/>
            <w:vAlign w:val="center"/>
            <w:hideMark/>
          </w:tcPr>
          <w:p w14:paraId="6E97BB0A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</w:tr>
      <w:tr w:rsidR="0094375C" w:rsidRPr="008F25BE" w14:paraId="610B7F72" w14:textId="77777777" w:rsidTr="00297AF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2F6868F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  <w:vAlign w:val="center"/>
            <w:hideMark/>
          </w:tcPr>
          <w:p w14:paraId="7695043F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Absent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  <w:hideMark/>
          </w:tcPr>
          <w:p w14:paraId="4DD0DF18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</w:tr>
      <w:tr w:rsidR="0094375C" w:rsidRPr="008F25BE" w14:paraId="434ADE27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52F8E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Total Liver Copper Level (Micromol/g)</w:t>
            </w:r>
          </w:p>
        </w:tc>
        <w:tc>
          <w:tcPr>
            <w:tcW w:w="4432" w:type="dxa"/>
            <w:vAlign w:val="center"/>
            <w:hideMark/>
          </w:tcPr>
          <w:p w14:paraId="5A9E06B8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&gt;5× upper limit of normal (&gt;4)</w:t>
            </w:r>
          </w:p>
        </w:tc>
        <w:tc>
          <w:tcPr>
            <w:tcW w:w="977" w:type="dxa"/>
            <w:vAlign w:val="center"/>
            <w:hideMark/>
          </w:tcPr>
          <w:p w14:paraId="7B749A28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</w:tr>
      <w:tr w:rsidR="0094375C" w:rsidRPr="008F25BE" w14:paraId="645A28F2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94E1E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vAlign w:val="center"/>
            <w:hideMark/>
          </w:tcPr>
          <w:p w14:paraId="7376A777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Increased (0.8–4)</w:t>
            </w:r>
          </w:p>
        </w:tc>
        <w:tc>
          <w:tcPr>
            <w:tcW w:w="977" w:type="dxa"/>
            <w:vAlign w:val="center"/>
            <w:hideMark/>
          </w:tcPr>
          <w:p w14:paraId="2A0386E1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</w:tr>
      <w:tr w:rsidR="0094375C" w:rsidRPr="008F25BE" w14:paraId="285B9109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1C97E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vAlign w:val="center"/>
            <w:hideMark/>
          </w:tcPr>
          <w:p w14:paraId="7DFBD118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Normal (&lt;0.8)</w:t>
            </w:r>
          </w:p>
        </w:tc>
        <w:tc>
          <w:tcPr>
            <w:tcW w:w="977" w:type="dxa"/>
            <w:vAlign w:val="center"/>
            <w:hideMark/>
          </w:tcPr>
          <w:p w14:paraId="40917C55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-1</w:t>
            </w:r>
          </w:p>
        </w:tc>
      </w:tr>
      <w:tr w:rsidR="0094375C" w:rsidRPr="008F25BE" w14:paraId="4855A3D6" w14:textId="77777777" w:rsidTr="00297AF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BD7DD09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  <w:vAlign w:val="center"/>
            <w:hideMark/>
          </w:tcPr>
          <w:p w14:paraId="03478926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Rhodanine-positive granules present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  <w:hideMark/>
          </w:tcPr>
          <w:p w14:paraId="6A653957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</w:tr>
      <w:tr w:rsidR="0094375C" w:rsidRPr="008F25BE" w14:paraId="79CFB01A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B226F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Genetic Mutation</w:t>
            </w:r>
          </w:p>
        </w:tc>
        <w:tc>
          <w:tcPr>
            <w:tcW w:w="4432" w:type="dxa"/>
            <w:vAlign w:val="center"/>
            <w:hideMark/>
          </w:tcPr>
          <w:p w14:paraId="46E4C00F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Present on both chromosomes</w:t>
            </w:r>
          </w:p>
        </w:tc>
        <w:tc>
          <w:tcPr>
            <w:tcW w:w="977" w:type="dxa"/>
            <w:vAlign w:val="center"/>
            <w:hideMark/>
          </w:tcPr>
          <w:p w14:paraId="50A8E115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</w:tr>
      <w:tr w:rsidR="0094375C" w:rsidRPr="008F25BE" w14:paraId="5B5D0EAC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3CE9B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vAlign w:val="center"/>
            <w:hideMark/>
          </w:tcPr>
          <w:p w14:paraId="3A39DF35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Present on 1 chromosome</w:t>
            </w:r>
          </w:p>
        </w:tc>
        <w:tc>
          <w:tcPr>
            <w:tcW w:w="977" w:type="dxa"/>
            <w:vAlign w:val="center"/>
            <w:hideMark/>
          </w:tcPr>
          <w:p w14:paraId="5934D85B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</w:tr>
      <w:tr w:rsidR="0094375C" w:rsidRPr="008F25BE" w14:paraId="25A22F68" w14:textId="77777777" w:rsidTr="00297AF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C08C0BE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  <w:vAlign w:val="center"/>
            <w:hideMark/>
          </w:tcPr>
          <w:p w14:paraId="16D6EDDA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Absent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  <w:hideMark/>
          </w:tcPr>
          <w:p w14:paraId="4E6F79D8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</w:tr>
      <w:tr w:rsidR="0094375C" w:rsidRPr="008F25BE" w14:paraId="0CEDA387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017DC0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Total Score</w:t>
            </w:r>
          </w:p>
        </w:tc>
        <w:tc>
          <w:tcPr>
            <w:tcW w:w="4432" w:type="dxa"/>
            <w:vAlign w:val="center"/>
            <w:hideMark/>
          </w:tcPr>
          <w:p w14:paraId="064207D8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Diagnosis established</w:t>
            </w:r>
          </w:p>
        </w:tc>
        <w:tc>
          <w:tcPr>
            <w:tcW w:w="977" w:type="dxa"/>
            <w:vAlign w:val="center"/>
            <w:hideMark/>
          </w:tcPr>
          <w:p w14:paraId="2E339BD2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</w:tr>
      <w:tr w:rsidR="0094375C" w:rsidRPr="008F25BE" w14:paraId="6AE40D72" w14:textId="77777777" w:rsidTr="00297A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73C86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vAlign w:val="center"/>
            <w:hideMark/>
          </w:tcPr>
          <w:p w14:paraId="11C9A94A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Diagnosis possible</w:t>
            </w:r>
          </w:p>
        </w:tc>
        <w:tc>
          <w:tcPr>
            <w:tcW w:w="977" w:type="dxa"/>
            <w:vAlign w:val="center"/>
            <w:hideMark/>
          </w:tcPr>
          <w:p w14:paraId="00702FBD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</w:tr>
      <w:tr w:rsidR="0094375C" w:rsidRPr="008F25BE" w14:paraId="74E25EDE" w14:textId="77777777" w:rsidTr="00297AFE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9E4B990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4432" w:type="dxa"/>
            <w:tcBorders>
              <w:bottom w:val="single" w:sz="4" w:space="0" w:color="auto"/>
            </w:tcBorders>
            <w:vAlign w:val="center"/>
            <w:hideMark/>
          </w:tcPr>
          <w:p w14:paraId="66AFA4F3" w14:textId="77777777" w:rsidR="0094375C" w:rsidRPr="008F25BE" w:rsidRDefault="0094375C" w:rsidP="00297AF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Diagnosis unlikely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center"/>
            <w:hideMark/>
          </w:tcPr>
          <w:p w14:paraId="7B57DDBC" w14:textId="77777777" w:rsidR="0094375C" w:rsidRPr="008F25BE" w:rsidRDefault="0094375C" w:rsidP="00B422A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F25BE">
              <w:rPr>
                <w:rFonts w:asciiTheme="majorBidi" w:eastAsia="Times New Roman" w:hAnsiTheme="majorBidi" w:cstheme="majorBidi"/>
                <w:sz w:val="24"/>
                <w:szCs w:val="24"/>
              </w:rPr>
              <w:t>2 or less</w:t>
            </w:r>
          </w:p>
        </w:tc>
      </w:tr>
    </w:tbl>
    <w:p w14:paraId="2B5E684E" w14:textId="47709316" w:rsidR="0094375C" w:rsidRDefault="0094375C" w:rsidP="0094375C">
      <w:pPr>
        <w:pStyle w:val="NormalWeb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Adapted from </w:t>
      </w:r>
      <w:r w:rsidR="003A1377" w:rsidRPr="003A1377">
        <w:rPr>
          <w:rFonts w:asciiTheme="majorBidi" w:hAnsiTheme="majorBidi" w:cstheme="majorBidi"/>
          <w:noProof/>
          <w:vertAlign w:val="superscript"/>
        </w:rPr>
        <w:t>1</w:t>
      </w:r>
      <w:r w:rsidRPr="007B182A">
        <w:rPr>
          <w:rFonts w:asciiTheme="majorBidi" w:hAnsiTheme="majorBidi" w:cstheme="majorBidi"/>
        </w:rPr>
        <w:t>.</w:t>
      </w:r>
      <w:bookmarkStart w:id="0" w:name="_GoBack"/>
      <w:bookmarkEnd w:id="0"/>
    </w:p>
    <w:p w14:paraId="58E199A3" w14:textId="631D2663" w:rsidR="003A1377" w:rsidRPr="003A1377" w:rsidRDefault="003A1377" w:rsidP="003A1377">
      <w:pPr>
        <w:pStyle w:val="NormalWeb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Reference:</w:t>
      </w:r>
    </w:p>
    <w:p w14:paraId="192FF504" w14:textId="7048DB30" w:rsidR="003A1377" w:rsidRPr="003A1377" w:rsidRDefault="003A1377" w:rsidP="003A1377">
      <w:pPr>
        <w:pStyle w:val="EndNoteBibliography"/>
      </w:pPr>
      <w:r w:rsidRPr="003A1377">
        <w:t>1.</w:t>
      </w:r>
      <w:r w:rsidRPr="003A1377">
        <w:tab/>
        <w:t>Ferenci P. Diagnosis of Wilson disease. Handbook of clinical neurology 2017;142:171-180.</w:t>
      </w:r>
    </w:p>
    <w:p w14:paraId="6C651796" w14:textId="0405DF01" w:rsidR="0094375C" w:rsidRDefault="0094375C" w:rsidP="003A1377"/>
    <w:sectPr w:rsidR="0094375C" w:rsidSect="003A1377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AxNzO0MDU2tzAzMDNR0lEKTi0uzszPAykwqgUA2p9UpCwAAAA="/>
    <w:docVar w:name="EN.Layout" w:val="&lt;ENLayout&gt;&lt;Style&gt;Movement Disorder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4375C"/>
    <w:rsid w:val="00165570"/>
    <w:rsid w:val="00207BB7"/>
    <w:rsid w:val="00297AFE"/>
    <w:rsid w:val="003A1377"/>
    <w:rsid w:val="004C60E3"/>
    <w:rsid w:val="006B20BF"/>
    <w:rsid w:val="0094375C"/>
    <w:rsid w:val="00B570BC"/>
    <w:rsid w:val="00F014DC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2BC20"/>
  <w15:chartTrackingRefBased/>
  <w15:docId w15:val="{1DA1DD13-E001-4807-903F-DED0F4A1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943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375C"/>
    <w:rPr>
      <w:b/>
      <w:bCs/>
    </w:rPr>
  </w:style>
  <w:style w:type="character" w:customStyle="1" w:styleId="NormalWebChar">
    <w:name w:val="Normal (Web) Char"/>
    <w:basedOn w:val="DefaultParagraphFont"/>
    <w:link w:val="NormalWeb"/>
    <w:uiPriority w:val="99"/>
    <w:rsid w:val="0094375C"/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3A137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3A1377"/>
    <w:rPr>
      <w:rFonts w:ascii="Calibri" w:eastAsia="Times New Roman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3A137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rmalWebChar"/>
    <w:link w:val="EndNoteBibliography"/>
    <w:rsid w:val="003A1377"/>
    <w:rPr>
      <w:rFonts w:ascii="Calibri" w:eastAsia="Times New Roman" w:hAnsi="Calibri" w:cs="Calibri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Nourelhoda Ahmed Ahmed Haridy</dc:creator>
  <cp:keywords/>
  <dc:description/>
  <cp:lastModifiedBy>Abdul Sakuber</cp:lastModifiedBy>
  <cp:revision>8</cp:revision>
  <dcterms:created xsi:type="dcterms:W3CDTF">2026-05-21T09:08:00Z</dcterms:created>
  <dcterms:modified xsi:type="dcterms:W3CDTF">2026-07-11T05:50:00Z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e4971fa5-cd13-4084-8bbd-2acd6b7ebdc0</vt:lpwstr>
  </property>
</Properties>
</file>