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0CEDA" w14:textId="6FD7E138" w:rsidR="00F943D2" w:rsidRDefault="00F943D2" w:rsidP="003F3240">
      <w:pPr>
        <w:keepNext/>
        <w:jc w:val="both"/>
        <w:rPr>
          <w:rFonts w:ascii="Times New Roman" w:hAnsi="Times New Roman" w:cs="Times New Roman"/>
          <w:b/>
          <w:bCs/>
          <w:noProof/>
        </w:rPr>
      </w:pPr>
      <w:r w:rsidRPr="00FC468A">
        <w:rPr>
          <w:rFonts w:ascii="Times New Roman" w:hAnsi="Times New Roman" w:cs="Times New Roman"/>
          <w:b/>
          <w:bCs/>
          <w:noProof/>
        </w:rPr>
        <w:t>Supple</w:t>
      </w:r>
      <w:r w:rsidR="00536381" w:rsidRPr="00FC468A">
        <w:rPr>
          <w:rFonts w:ascii="Times New Roman" w:hAnsi="Times New Roman" w:cs="Times New Roman"/>
          <w:b/>
          <w:bCs/>
          <w:noProof/>
        </w:rPr>
        <w:t xml:space="preserve">mentary </w:t>
      </w:r>
      <w:r w:rsidR="000075AC">
        <w:rPr>
          <w:rFonts w:ascii="Times New Roman" w:hAnsi="Times New Roman" w:cs="Times New Roman"/>
          <w:b/>
          <w:bCs/>
          <w:noProof/>
        </w:rPr>
        <w:t>information</w:t>
      </w:r>
    </w:p>
    <w:p w14:paraId="20F0CCC0" w14:textId="04B62B66" w:rsidR="00F943D2" w:rsidRDefault="00621B63" w:rsidP="00621B63">
      <w:pPr>
        <w:keepNext/>
        <w:spacing w:after="100" w:afterAutospacing="1"/>
        <w:jc w:val="both"/>
        <w:rPr>
          <w:rFonts w:ascii="Times New Roman" w:hAnsi="Times New Roman" w:cs="Times New Roman"/>
          <w:b/>
          <w:bCs/>
          <w:noProof/>
        </w:rPr>
      </w:pPr>
      <w:r w:rsidRPr="00621B63">
        <w:rPr>
          <w:rFonts w:ascii="Times New Roman" w:hAnsi="Times New Roman" w:cs="Times New Roman"/>
          <w:b/>
          <w:bCs/>
          <w:noProof/>
        </w:rPr>
        <w:t>Cannabidiol selectively downregulates FAM111B expression and induces apoptosis in fibrosarcoma cells: An in vitro study</w:t>
      </w:r>
    </w:p>
    <w:p w14:paraId="16F30314" w14:textId="76622B16" w:rsidR="00201E42" w:rsidRPr="00201E42" w:rsidRDefault="00201E42" w:rsidP="007D7957">
      <w:pPr>
        <w:keepNext/>
        <w:spacing w:after="100" w:afterAutospacing="1" w:line="480" w:lineRule="auto"/>
        <w:jc w:val="both"/>
        <w:rPr>
          <w:rFonts w:ascii="Times New Roman" w:hAnsi="Times New Roman" w:cs="Times New Roman"/>
          <w:noProof/>
        </w:rPr>
      </w:pPr>
      <w:r w:rsidRPr="00201E42">
        <w:rPr>
          <w:rFonts w:ascii="Times New Roman" w:hAnsi="Times New Roman" w:cs="Times New Roman"/>
          <w:noProof/>
        </w:rPr>
        <w:t xml:space="preserve">This supplementary information </w:t>
      </w:r>
      <w:r w:rsidR="009E725E">
        <w:rPr>
          <w:rFonts w:ascii="Times New Roman" w:hAnsi="Times New Roman" w:cs="Times New Roman"/>
          <w:noProof/>
        </w:rPr>
        <w:t>includes representative bright-field images of untreated and CBD-treated cells (Figure S1) and an independent manual-gating analysis of cell-cycle distribution (Figure S2), which complement</w:t>
      </w:r>
      <w:r w:rsidRPr="00201E42">
        <w:rPr>
          <w:rFonts w:ascii="Times New Roman" w:hAnsi="Times New Roman" w:cs="Times New Roman"/>
          <w:noProof/>
        </w:rPr>
        <w:t xml:space="preserve"> the findings presented in the main manuscript.</w:t>
      </w:r>
    </w:p>
    <w:p w14:paraId="02ED35EF" w14:textId="582BBCA4" w:rsidR="00F943D2" w:rsidRPr="00536381" w:rsidRDefault="008958B1" w:rsidP="00F943D2">
      <w:pPr>
        <w:keepNext/>
        <w:jc w:val="center"/>
        <w:rPr>
          <w:rFonts w:ascii="Times New Roman" w:hAnsi="Times New Roman" w:cs="Times New Roman"/>
        </w:rPr>
      </w:pPr>
      <w:r w:rsidRPr="00536381">
        <w:rPr>
          <w:rFonts w:ascii="Times New Roman" w:hAnsi="Times New Roman" w:cs="Times New Roman"/>
          <w:noProof/>
        </w:rPr>
        <w:drawing>
          <wp:inline distT="0" distB="0" distL="0" distR="0" wp14:anchorId="47AD18EF" wp14:editId="187EF4CE">
            <wp:extent cx="5642683" cy="4473526"/>
            <wp:effectExtent l="0" t="0" r="0" b="3810"/>
            <wp:docPr id="327164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677" cy="4487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0140B3" w14:textId="19C10194" w:rsidR="004609B9" w:rsidRPr="002E0B14" w:rsidRDefault="00F943D2" w:rsidP="002E0B14">
      <w:pPr>
        <w:pStyle w:val="Caption"/>
        <w:spacing w:line="48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E0B14"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S1</w:t>
      </w:r>
      <w:r w:rsidR="007D7957" w:rsidRPr="002E0B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 w:rsidR="002E0B14" w:rsidRPr="002E0B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Representative bright-field images of untreated and CBD-treated FG0 and HT1080 cells following 24 h of CBD treatment. </w:t>
      </w:r>
      <w:r w:rsidR="002E0B14" w:rsidRPr="002E0B14">
        <w:rPr>
          <w:rFonts w:ascii="Times New Roman" w:hAnsi="Times New Roman" w:cs="Times New Roman"/>
          <w:color w:val="auto"/>
          <w:sz w:val="24"/>
          <w:szCs w:val="24"/>
        </w:rPr>
        <w:t>Representative bright-field images (20× magnification) of untreated (Control) and CBD-treated FG0 fibroblasts (A) and HT1080 fibrosarcoma cells (B). Images are representative of three independent biological experiments.</w:t>
      </w:r>
    </w:p>
    <w:p w14:paraId="6A5DD57F" w14:textId="77777777" w:rsidR="003E5224" w:rsidRDefault="003E5224" w:rsidP="003E5224"/>
    <w:p w14:paraId="68702797" w14:textId="77777777" w:rsidR="003E5224" w:rsidRDefault="003E5224" w:rsidP="003E5224"/>
    <w:p w14:paraId="3D9C2637" w14:textId="77777777" w:rsidR="003E5224" w:rsidRDefault="003E5224" w:rsidP="003E5224">
      <w:pPr>
        <w:sectPr w:rsidR="003E5224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8A52103" w14:textId="77777777" w:rsidR="003E5224" w:rsidRPr="003E5224" w:rsidRDefault="003E5224" w:rsidP="003E5224">
      <w:pPr>
        <w:keepNext/>
        <w:jc w:val="center"/>
        <w:rPr>
          <w:rFonts w:ascii="Times New Roman" w:hAnsi="Times New Roman" w:cs="Times New Roman"/>
          <w:b/>
          <w:bCs/>
        </w:rPr>
      </w:pPr>
      <w:r w:rsidRPr="003E5224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10799433" wp14:editId="4A3EF542">
            <wp:extent cx="8427104" cy="5493434"/>
            <wp:effectExtent l="0" t="0" r="0" b="0"/>
            <wp:docPr id="8467982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3499" cy="5497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A214BC" w14:textId="77777777" w:rsidR="0033573A" w:rsidRDefault="003E5224" w:rsidP="003E5224">
      <w:pPr>
        <w:pStyle w:val="Caption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7147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Figure S2</w:t>
      </w:r>
      <w:r w:rsidR="00D7147B" w:rsidRPr="00D714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 w:rsidR="00D7147B" w:rsidRPr="00D7147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Independent manual-gating analysis of cell-cycle distribution following CBD treatment. </w:t>
      </w:r>
    </w:p>
    <w:p w14:paraId="24B504A9" w14:textId="69E1E6EE" w:rsidR="003E5224" w:rsidRPr="003E5224" w:rsidRDefault="00D7147B" w:rsidP="00676586">
      <w:pPr>
        <w:pStyle w:val="Caption"/>
        <w:spacing w:line="480" w:lineRule="auto"/>
        <w:jc w:val="both"/>
      </w:pPr>
      <w:r w:rsidRPr="0033573A">
        <w:rPr>
          <w:rFonts w:ascii="Times New Roman" w:hAnsi="Times New Roman" w:cs="Times New Roman"/>
          <w:color w:val="auto"/>
          <w:sz w:val="24"/>
          <w:szCs w:val="24"/>
        </w:rPr>
        <w:t xml:space="preserve">Representative DNA-content histograms generated from manual gating of propidium iodide (PI)-stained FG0 cells (A) and HT1080 cells (C), with the corresponding quantitative analyses shown in (B) and (D), respectively. Cell-cycle distributions were </w:t>
      </w:r>
      <w:proofErr w:type="spellStart"/>
      <w:r w:rsidRPr="0033573A">
        <w:rPr>
          <w:rFonts w:ascii="Times New Roman" w:hAnsi="Times New Roman" w:cs="Times New Roman"/>
          <w:color w:val="auto"/>
          <w:sz w:val="24"/>
          <w:szCs w:val="24"/>
        </w:rPr>
        <w:t>analyzed</w:t>
      </w:r>
      <w:proofErr w:type="spellEnd"/>
      <w:r w:rsidRPr="0033573A">
        <w:rPr>
          <w:rFonts w:ascii="Times New Roman" w:hAnsi="Times New Roman" w:cs="Times New Roman"/>
          <w:color w:val="auto"/>
          <w:sz w:val="24"/>
          <w:szCs w:val="24"/>
        </w:rPr>
        <w:t xml:space="preserve"> independently by manual gating as a complementary approach to the Dean–Jett–Fox </w:t>
      </w:r>
      <w:proofErr w:type="spellStart"/>
      <w:r w:rsidRPr="0033573A">
        <w:rPr>
          <w:rFonts w:ascii="Times New Roman" w:hAnsi="Times New Roman" w:cs="Times New Roman"/>
          <w:color w:val="auto"/>
          <w:sz w:val="24"/>
          <w:szCs w:val="24"/>
        </w:rPr>
        <w:t>modeling</w:t>
      </w:r>
      <w:proofErr w:type="spellEnd"/>
      <w:r w:rsidRPr="0033573A">
        <w:rPr>
          <w:rFonts w:ascii="Times New Roman" w:hAnsi="Times New Roman" w:cs="Times New Roman"/>
          <w:color w:val="auto"/>
          <w:sz w:val="24"/>
          <w:szCs w:val="24"/>
        </w:rPr>
        <w:t xml:space="preserve"> algorithm used for the primary analysis presented in the main manuscript. Quantitative data are presented as mean ± SD from three independent biological experiments. Statistical analysis was performed using two-way ANOVA</w:t>
      </w:r>
      <w:r w:rsidR="0033573A">
        <w:rPr>
          <w:rFonts w:ascii="Times New Roman" w:hAnsi="Times New Roman" w:cs="Times New Roman"/>
          <w:color w:val="auto"/>
          <w:sz w:val="24"/>
          <w:szCs w:val="24"/>
        </w:rPr>
        <w:t xml:space="preserve">, followed by </w:t>
      </w:r>
      <w:proofErr w:type="spellStart"/>
      <w:r w:rsidR="0033573A">
        <w:rPr>
          <w:rFonts w:ascii="Times New Roman" w:hAnsi="Times New Roman" w:cs="Times New Roman"/>
          <w:color w:val="auto"/>
          <w:sz w:val="24"/>
          <w:szCs w:val="24"/>
        </w:rPr>
        <w:t>Šídák's</w:t>
      </w:r>
      <w:proofErr w:type="spellEnd"/>
      <w:r w:rsidR="0033573A">
        <w:rPr>
          <w:rFonts w:ascii="Times New Roman" w:hAnsi="Times New Roman" w:cs="Times New Roman"/>
          <w:color w:val="auto"/>
          <w:sz w:val="24"/>
          <w:szCs w:val="24"/>
        </w:rPr>
        <w:t xml:space="preserve"> post hoc multiple comparisons</w:t>
      </w:r>
      <w:r w:rsidRPr="0033573A">
        <w:rPr>
          <w:rFonts w:ascii="Times New Roman" w:hAnsi="Times New Roman" w:cs="Times New Roman"/>
          <w:color w:val="auto"/>
          <w:sz w:val="24"/>
          <w:szCs w:val="24"/>
        </w:rPr>
        <w:t xml:space="preserve"> test. Manual gating </w:t>
      </w:r>
      <w:r w:rsidR="0033573A">
        <w:rPr>
          <w:rFonts w:ascii="Times New Roman" w:hAnsi="Times New Roman" w:cs="Times New Roman"/>
          <w:color w:val="auto"/>
          <w:sz w:val="24"/>
          <w:szCs w:val="24"/>
        </w:rPr>
        <w:t>showed trends comparable to those from</w:t>
      </w:r>
      <w:r w:rsidRPr="0033573A">
        <w:rPr>
          <w:rFonts w:ascii="Times New Roman" w:hAnsi="Times New Roman" w:cs="Times New Roman"/>
          <w:color w:val="auto"/>
          <w:sz w:val="24"/>
          <w:szCs w:val="24"/>
        </w:rPr>
        <w:t xml:space="preserve"> the DJF model.</w:t>
      </w:r>
    </w:p>
    <w:sectPr w:rsidR="003E5224" w:rsidRPr="003E5224" w:rsidSect="00676586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13B6C" w14:textId="77777777" w:rsidR="00B9579F" w:rsidRDefault="00B9579F" w:rsidP="00EB2693">
      <w:pPr>
        <w:spacing w:after="0" w:line="240" w:lineRule="auto"/>
      </w:pPr>
      <w:r>
        <w:separator/>
      </w:r>
    </w:p>
  </w:endnote>
  <w:endnote w:type="continuationSeparator" w:id="0">
    <w:p w14:paraId="5B29713E" w14:textId="77777777" w:rsidR="00B9579F" w:rsidRDefault="00B9579F" w:rsidP="00EB2693">
      <w:pPr>
        <w:spacing w:after="0" w:line="240" w:lineRule="auto"/>
      </w:pPr>
      <w:r>
        <w:continuationSeparator/>
      </w:r>
    </w:p>
  </w:endnote>
  <w:endnote w:type="continuationNotice" w:id="1">
    <w:p w14:paraId="39DE6725" w14:textId="77777777" w:rsidR="00B9579F" w:rsidRDefault="00B957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11924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A1E595" w14:textId="065DB05A" w:rsidR="00676586" w:rsidRDefault="006765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CAE183" w14:textId="77777777" w:rsidR="00676586" w:rsidRDefault="006765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89053" w14:textId="77777777" w:rsidR="00B9579F" w:rsidRDefault="00B9579F" w:rsidP="00EB2693">
      <w:pPr>
        <w:spacing w:after="0" w:line="240" w:lineRule="auto"/>
      </w:pPr>
      <w:r>
        <w:separator/>
      </w:r>
    </w:p>
  </w:footnote>
  <w:footnote w:type="continuationSeparator" w:id="0">
    <w:p w14:paraId="40FC697F" w14:textId="77777777" w:rsidR="00B9579F" w:rsidRDefault="00B9579F" w:rsidP="00EB2693">
      <w:pPr>
        <w:spacing w:after="0" w:line="240" w:lineRule="auto"/>
      </w:pPr>
      <w:r>
        <w:continuationSeparator/>
      </w:r>
    </w:p>
  </w:footnote>
  <w:footnote w:type="continuationNotice" w:id="1">
    <w:p w14:paraId="66D242A6" w14:textId="77777777" w:rsidR="00B9579F" w:rsidRDefault="00B9579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F2E46"/>
    <w:multiLevelType w:val="hybridMultilevel"/>
    <w:tmpl w:val="0756CE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7107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D056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4944699">
    <w:abstractNumId w:val="2"/>
  </w:num>
  <w:num w:numId="2" w16cid:durableId="2082867107">
    <w:abstractNumId w:val="1"/>
  </w:num>
  <w:num w:numId="3" w16cid:durableId="1652557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9B9"/>
    <w:rsid w:val="000031C9"/>
    <w:rsid w:val="000075AC"/>
    <w:rsid w:val="0001480E"/>
    <w:rsid w:val="000230E7"/>
    <w:rsid w:val="00025420"/>
    <w:rsid w:val="000572EA"/>
    <w:rsid w:val="00065FC8"/>
    <w:rsid w:val="00092F99"/>
    <w:rsid w:val="00097A18"/>
    <w:rsid w:val="000A04BE"/>
    <w:rsid w:val="000B364F"/>
    <w:rsid w:val="000C18B4"/>
    <w:rsid w:val="000C77AB"/>
    <w:rsid w:val="000E5906"/>
    <w:rsid w:val="000E723E"/>
    <w:rsid w:val="000F662E"/>
    <w:rsid w:val="00137126"/>
    <w:rsid w:val="001401BA"/>
    <w:rsid w:val="00144FB1"/>
    <w:rsid w:val="0015672F"/>
    <w:rsid w:val="00190A35"/>
    <w:rsid w:val="001E0C0E"/>
    <w:rsid w:val="00201E42"/>
    <w:rsid w:val="002079CB"/>
    <w:rsid w:val="002150CA"/>
    <w:rsid w:val="00215477"/>
    <w:rsid w:val="00222853"/>
    <w:rsid w:val="002240D2"/>
    <w:rsid w:val="002317A9"/>
    <w:rsid w:val="00251F9D"/>
    <w:rsid w:val="00267089"/>
    <w:rsid w:val="0027364A"/>
    <w:rsid w:val="00287635"/>
    <w:rsid w:val="00292406"/>
    <w:rsid w:val="0029339D"/>
    <w:rsid w:val="00295553"/>
    <w:rsid w:val="002A07EE"/>
    <w:rsid w:val="002B1EF4"/>
    <w:rsid w:val="002B2634"/>
    <w:rsid w:val="002C561E"/>
    <w:rsid w:val="002C6A0D"/>
    <w:rsid w:val="002C738B"/>
    <w:rsid w:val="002D65F2"/>
    <w:rsid w:val="002E0645"/>
    <w:rsid w:val="002E0B14"/>
    <w:rsid w:val="002E1261"/>
    <w:rsid w:val="00332DE7"/>
    <w:rsid w:val="0033573A"/>
    <w:rsid w:val="00350033"/>
    <w:rsid w:val="00350DE9"/>
    <w:rsid w:val="0035738D"/>
    <w:rsid w:val="00363B79"/>
    <w:rsid w:val="003738C2"/>
    <w:rsid w:val="0038500E"/>
    <w:rsid w:val="003A015A"/>
    <w:rsid w:val="003A40AB"/>
    <w:rsid w:val="003B01E2"/>
    <w:rsid w:val="003C6390"/>
    <w:rsid w:val="003E0E88"/>
    <w:rsid w:val="003E5224"/>
    <w:rsid w:val="003F1388"/>
    <w:rsid w:val="003F3240"/>
    <w:rsid w:val="00402040"/>
    <w:rsid w:val="004609B9"/>
    <w:rsid w:val="00474FD3"/>
    <w:rsid w:val="00494046"/>
    <w:rsid w:val="004A5120"/>
    <w:rsid w:val="004B1681"/>
    <w:rsid w:val="004C2164"/>
    <w:rsid w:val="004D262D"/>
    <w:rsid w:val="004D69D1"/>
    <w:rsid w:val="004D7CE0"/>
    <w:rsid w:val="004E40C2"/>
    <w:rsid w:val="004F1CCD"/>
    <w:rsid w:val="004F513E"/>
    <w:rsid w:val="005140B2"/>
    <w:rsid w:val="00536381"/>
    <w:rsid w:val="00536CBD"/>
    <w:rsid w:val="005408C1"/>
    <w:rsid w:val="00581F5A"/>
    <w:rsid w:val="00587223"/>
    <w:rsid w:val="005A0AF8"/>
    <w:rsid w:val="005C36EF"/>
    <w:rsid w:val="005C3D78"/>
    <w:rsid w:val="005D2104"/>
    <w:rsid w:val="005F1704"/>
    <w:rsid w:val="005F5189"/>
    <w:rsid w:val="005F79BA"/>
    <w:rsid w:val="0061665E"/>
    <w:rsid w:val="00621B63"/>
    <w:rsid w:val="00624B7B"/>
    <w:rsid w:val="00633158"/>
    <w:rsid w:val="00642712"/>
    <w:rsid w:val="00660F82"/>
    <w:rsid w:val="0067184C"/>
    <w:rsid w:val="00676586"/>
    <w:rsid w:val="00680F38"/>
    <w:rsid w:val="0068560A"/>
    <w:rsid w:val="00697ECF"/>
    <w:rsid w:val="006A076F"/>
    <w:rsid w:val="006A17F2"/>
    <w:rsid w:val="006A4FE7"/>
    <w:rsid w:val="006C2C3B"/>
    <w:rsid w:val="006C6A2D"/>
    <w:rsid w:val="006E05EA"/>
    <w:rsid w:val="00703DF2"/>
    <w:rsid w:val="0077174D"/>
    <w:rsid w:val="00772083"/>
    <w:rsid w:val="007733D3"/>
    <w:rsid w:val="007A2B96"/>
    <w:rsid w:val="007B5E9D"/>
    <w:rsid w:val="007C69FB"/>
    <w:rsid w:val="007D7957"/>
    <w:rsid w:val="008029AF"/>
    <w:rsid w:val="00810E96"/>
    <w:rsid w:val="00835BFB"/>
    <w:rsid w:val="00840F60"/>
    <w:rsid w:val="008515A1"/>
    <w:rsid w:val="0085670C"/>
    <w:rsid w:val="00887E59"/>
    <w:rsid w:val="008958B1"/>
    <w:rsid w:val="008A610E"/>
    <w:rsid w:val="008A6579"/>
    <w:rsid w:val="008C457F"/>
    <w:rsid w:val="00923E55"/>
    <w:rsid w:val="00926886"/>
    <w:rsid w:val="0093403D"/>
    <w:rsid w:val="009350F2"/>
    <w:rsid w:val="009405E7"/>
    <w:rsid w:val="00941330"/>
    <w:rsid w:val="0094609F"/>
    <w:rsid w:val="009615AB"/>
    <w:rsid w:val="009638F3"/>
    <w:rsid w:val="00971C66"/>
    <w:rsid w:val="009950EC"/>
    <w:rsid w:val="009A20F8"/>
    <w:rsid w:val="009A2ED6"/>
    <w:rsid w:val="009A364F"/>
    <w:rsid w:val="009A7171"/>
    <w:rsid w:val="009B17D5"/>
    <w:rsid w:val="009B1A77"/>
    <w:rsid w:val="009D124B"/>
    <w:rsid w:val="009E725E"/>
    <w:rsid w:val="009E7CBC"/>
    <w:rsid w:val="009F1301"/>
    <w:rsid w:val="00A05A1B"/>
    <w:rsid w:val="00A4365B"/>
    <w:rsid w:val="00A724B4"/>
    <w:rsid w:val="00A84EFC"/>
    <w:rsid w:val="00AA1811"/>
    <w:rsid w:val="00AB20EC"/>
    <w:rsid w:val="00AB6725"/>
    <w:rsid w:val="00AC0BBF"/>
    <w:rsid w:val="00AC3DA4"/>
    <w:rsid w:val="00AF27CA"/>
    <w:rsid w:val="00AF666A"/>
    <w:rsid w:val="00B06F93"/>
    <w:rsid w:val="00B32099"/>
    <w:rsid w:val="00B34DBA"/>
    <w:rsid w:val="00B368A3"/>
    <w:rsid w:val="00B4210C"/>
    <w:rsid w:val="00B50FAC"/>
    <w:rsid w:val="00B9579F"/>
    <w:rsid w:val="00BB4B6B"/>
    <w:rsid w:val="00C10F51"/>
    <w:rsid w:val="00C3245D"/>
    <w:rsid w:val="00C35414"/>
    <w:rsid w:val="00C52DF2"/>
    <w:rsid w:val="00C534EB"/>
    <w:rsid w:val="00C55E0B"/>
    <w:rsid w:val="00C5640F"/>
    <w:rsid w:val="00C6167E"/>
    <w:rsid w:val="00CA73B1"/>
    <w:rsid w:val="00CD3BB8"/>
    <w:rsid w:val="00CF12FF"/>
    <w:rsid w:val="00D12440"/>
    <w:rsid w:val="00D16985"/>
    <w:rsid w:val="00D62CFB"/>
    <w:rsid w:val="00D706BF"/>
    <w:rsid w:val="00D7147B"/>
    <w:rsid w:val="00D90E7C"/>
    <w:rsid w:val="00DB7E37"/>
    <w:rsid w:val="00DC4740"/>
    <w:rsid w:val="00DC5CB7"/>
    <w:rsid w:val="00DC6DB2"/>
    <w:rsid w:val="00DD4EC5"/>
    <w:rsid w:val="00DF6B97"/>
    <w:rsid w:val="00E008DD"/>
    <w:rsid w:val="00E17860"/>
    <w:rsid w:val="00E314A2"/>
    <w:rsid w:val="00E37482"/>
    <w:rsid w:val="00E702CA"/>
    <w:rsid w:val="00E7751D"/>
    <w:rsid w:val="00EA7F0C"/>
    <w:rsid w:val="00EB2693"/>
    <w:rsid w:val="00EB2BD8"/>
    <w:rsid w:val="00EB44EA"/>
    <w:rsid w:val="00EC2BAA"/>
    <w:rsid w:val="00EF35C2"/>
    <w:rsid w:val="00EF52B7"/>
    <w:rsid w:val="00F13979"/>
    <w:rsid w:val="00F14995"/>
    <w:rsid w:val="00F35920"/>
    <w:rsid w:val="00F412FC"/>
    <w:rsid w:val="00F56220"/>
    <w:rsid w:val="00F630BE"/>
    <w:rsid w:val="00F64578"/>
    <w:rsid w:val="00F935B8"/>
    <w:rsid w:val="00F943D2"/>
    <w:rsid w:val="00FC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6AB9F7"/>
  <w15:chartTrackingRefBased/>
  <w15:docId w15:val="{D8EE6172-5999-C44C-9728-04765720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W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9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9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9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9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9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9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9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9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9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9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9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9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9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9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9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9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9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9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9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9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9B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2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693"/>
  </w:style>
  <w:style w:type="paragraph" w:styleId="Footer">
    <w:name w:val="footer"/>
    <w:basedOn w:val="Normal"/>
    <w:link w:val="FooterChar"/>
    <w:uiPriority w:val="99"/>
    <w:unhideWhenUsed/>
    <w:rsid w:val="00EB2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693"/>
  </w:style>
  <w:style w:type="paragraph" w:styleId="Caption">
    <w:name w:val="caption"/>
    <w:basedOn w:val="Normal"/>
    <w:next w:val="Normal"/>
    <w:uiPriority w:val="35"/>
    <w:unhideWhenUsed/>
    <w:qFormat/>
    <w:rsid w:val="00F943D2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5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Naicker</dc:creator>
  <cp:keywords/>
  <dc:description/>
  <cp:lastModifiedBy>Afolake Arowolo</cp:lastModifiedBy>
  <cp:revision>21</cp:revision>
  <dcterms:created xsi:type="dcterms:W3CDTF">2026-06-30T01:43:00Z</dcterms:created>
  <dcterms:modified xsi:type="dcterms:W3CDTF">2026-06-30T03:04:00Z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c743e5c3-a5f6-4e2d-a5d7-dc12320ba8e6</vt:lpwstr>
  </property>
</Properties>
</file>