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30" w:rsidRDefault="00242930" w:rsidP="00242930">
      <w:pPr>
        <w:rPr>
          <w:rFonts w:ascii="Arial" w:eastAsia="Arial" w:hAnsi="Arial" w:cs="Arial"/>
        </w:rPr>
      </w:pPr>
    </w:p>
    <w:p w:rsidR="00242930" w:rsidRPr="00274EBE" w:rsidRDefault="00242930" w:rsidP="00242930">
      <w:pPr>
        <w:rPr>
          <w:rFonts w:ascii="Arial" w:eastAsia="Arial" w:hAnsi="Arial" w:cs="Arial"/>
          <w:b/>
          <w:u w:val="single"/>
        </w:rPr>
      </w:pPr>
      <w:r w:rsidRPr="00274EBE">
        <w:rPr>
          <w:rFonts w:ascii="Arial" w:eastAsia="Arial" w:hAnsi="Arial" w:cs="Arial"/>
          <w:b/>
          <w:u w:val="single"/>
        </w:rPr>
        <w:t>Appendices</w:t>
      </w:r>
    </w:p>
    <w:p w:rsidR="00242930" w:rsidRPr="00AA57EC" w:rsidRDefault="00242930" w:rsidP="00242930">
      <w:pPr>
        <w:rPr>
          <w:rFonts w:ascii="Arial" w:eastAsia="Arial" w:hAnsi="Arial" w:cs="Arial"/>
        </w:rPr>
      </w:pPr>
    </w:p>
    <w:p w:rsidR="00242930" w:rsidRPr="00274EBE" w:rsidRDefault="00242930" w:rsidP="00242930">
      <w:pPr>
        <w:rPr>
          <w:rFonts w:ascii="Arial" w:hAnsi="Arial" w:cs="Arial"/>
        </w:rPr>
      </w:pPr>
    </w:p>
    <w:p w:rsidR="00242930" w:rsidRPr="00274EBE" w:rsidRDefault="00242930" w:rsidP="0024293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42930" w:rsidRPr="00AA57EC" w:rsidTr="00274EBE">
        <w:tc>
          <w:tcPr>
            <w:tcW w:w="3116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Number of Publications Included</w:t>
            </w:r>
          </w:p>
        </w:tc>
        <w:tc>
          <w:tcPr>
            <w:tcW w:w="3117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Total Number of Patients</w:t>
            </w:r>
          </w:p>
        </w:tc>
        <w:tc>
          <w:tcPr>
            <w:tcW w:w="3117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Gender (N = 66)</w:t>
            </w:r>
          </w:p>
        </w:tc>
      </w:tr>
      <w:tr w:rsidR="00242930" w:rsidRPr="00AA57EC" w:rsidTr="00274EBE">
        <w:tc>
          <w:tcPr>
            <w:tcW w:w="3116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37</w:t>
            </w:r>
          </w:p>
        </w:tc>
        <w:tc>
          <w:tcPr>
            <w:tcW w:w="3117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131 (includes 60 from Yamamoto’s study with no information on gender)</w:t>
            </w:r>
          </w:p>
        </w:tc>
        <w:tc>
          <w:tcPr>
            <w:tcW w:w="3117" w:type="dxa"/>
          </w:tcPr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M = 31</w:t>
            </w:r>
          </w:p>
          <w:p w:rsidR="00242930" w:rsidRPr="00274EBE" w:rsidRDefault="00242930" w:rsidP="00274EBE">
            <w:pPr>
              <w:rPr>
                <w:sz w:val="24"/>
                <w:szCs w:val="24"/>
              </w:rPr>
            </w:pPr>
            <w:r w:rsidRPr="00AA57EC">
              <w:t>F = 35</w:t>
            </w:r>
          </w:p>
        </w:tc>
      </w:tr>
    </w:tbl>
    <w:p w:rsidR="00242930" w:rsidRPr="00274EBE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  <w:r w:rsidRPr="00274EBE">
        <w:rPr>
          <w:rFonts w:ascii="Arial" w:hAnsi="Arial" w:cs="Arial"/>
        </w:rPr>
        <w:t>Appendix 1. Surgical Ciliated Cyst of the Maxillofacial Region Demographics</w:t>
      </w:r>
    </w:p>
    <w:p w:rsidR="00242930" w:rsidRPr="00274EBE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  <w:r w:rsidRPr="00AA57EC">
        <w:rPr>
          <w:rFonts w:ascii="Arial" w:hAnsi="Arial" w:cs="Arial"/>
          <w:b/>
          <w:u w:val="single"/>
        </w:rPr>
        <w:t xml:space="preserve">Surgical Ciliated Cyst of the Maxillofacial Region Etiology and </w:t>
      </w:r>
      <w:proofErr w:type="gramStart"/>
      <w:r w:rsidRPr="00AA57EC">
        <w:rPr>
          <w:rFonts w:ascii="Arial" w:hAnsi="Arial" w:cs="Arial"/>
          <w:b/>
          <w:u w:val="single"/>
        </w:rPr>
        <w:t>Clinical  Features</w:t>
      </w:r>
      <w:proofErr w:type="gramEnd"/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</w:p>
    <w:tbl>
      <w:tblPr>
        <w:tblW w:w="8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0"/>
        <w:gridCol w:w="630"/>
        <w:gridCol w:w="1360"/>
        <w:gridCol w:w="2895"/>
        <w:gridCol w:w="1620"/>
      </w:tblGrid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Etiology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N = 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Age (years)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Presenting Symptom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Time to Presentation (years) </w:t>
            </w:r>
          </w:p>
        </w:tc>
      </w:tr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Caldwell Luc / open maxillary sinus surgery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35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Range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25-74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Mean = 46.8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N= 35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Facial edema (15); </w:t>
            </w:r>
            <w:proofErr w:type="spellStart"/>
            <w:r w:rsidRPr="00AA57EC">
              <w:rPr>
                <w:rFonts w:ascii="Arial" w:hAnsi="Arial" w:cs="Arial"/>
              </w:rPr>
              <w:t>exopthalmous</w:t>
            </w:r>
            <w:proofErr w:type="spellEnd"/>
            <w:r w:rsidRPr="00AA57EC">
              <w:rPr>
                <w:rFonts w:ascii="Arial" w:hAnsi="Arial" w:cs="Arial"/>
              </w:rPr>
              <w:t xml:space="preserve">, dystopia, diplopia (2); </w:t>
            </w:r>
            <w:proofErr w:type="spellStart"/>
            <w:r w:rsidRPr="00AA57EC">
              <w:rPr>
                <w:rFonts w:ascii="Arial" w:hAnsi="Arial" w:cs="Arial"/>
              </w:rPr>
              <w:t>mucobuccal</w:t>
            </w:r>
            <w:proofErr w:type="spellEnd"/>
            <w:r w:rsidRPr="00AA57EC">
              <w:rPr>
                <w:rFonts w:ascii="Arial" w:hAnsi="Arial" w:cs="Arial"/>
              </w:rPr>
              <w:t xml:space="preserve"> fold edema/pain (11); Incidental finding (1); malar/facial pain (1); lateral nasal mass (1)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Range: 2-55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Mean: 22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</w:tc>
      </w:tr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Orthognathic/craniofacial Midface surgery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21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Range: 21-72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Mean = 33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N = 14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Palatal mass/edema (3); Pain and edema of : eyelid (1), Medial canthal tendon region (1), buccal vestibule of maxilla (3), midface (1);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anterior mandibular swelling (3); posterior mandibular edema (1);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Asymptomatic mandibular </w:t>
            </w:r>
            <w:proofErr w:type="spellStart"/>
            <w:r w:rsidRPr="00AA57EC">
              <w:rPr>
                <w:rFonts w:ascii="Arial" w:hAnsi="Arial" w:cs="Arial"/>
              </w:rPr>
              <w:t>radiolucencies</w:t>
            </w:r>
            <w:proofErr w:type="spellEnd"/>
            <w:r w:rsidRPr="00AA57EC">
              <w:rPr>
                <w:rFonts w:ascii="Arial" w:hAnsi="Arial" w:cs="Arial"/>
              </w:rPr>
              <w:t xml:space="preserve"> (2);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Mental nerve hypoesthesia (1)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Range: 2.3 - 56 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Mean: 13.6</w:t>
            </w:r>
          </w:p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</w:p>
        </w:tc>
      </w:tr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Facial Trauma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3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42, 56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Medial orbital/canthal mass, nasal obstruction (1); malar edema with nasal obstruction (1)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 xml:space="preserve">10, 24, 30 </w:t>
            </w:r>
          </w:p>
        </w:tc>
      </w:tr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lastRenderedPageBreak/>
              <w:t>Maxillary Sinus Lift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5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60, 63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Palatal edema (1); Buccal edema (1); left facial edema (1)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0.5 , 3, 5, 9, 10</w:t>
            </w:r>
          </w:p>
        </w:tc>
      </w:tr>
      <w:tr w:rsidR="00242930" w:rsidRPr="00AA57EC" w:rsidTr="00274EBE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Dental Treatment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7</w:t>
            </w:r>
          </w:p>
        </w:tc>
        <w:tc>
          <w:tcPr>
            <w:tcW w:w="1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21, 35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AA57EC">
              <w:rPr>
                <w:rFonts w:ascii="Arial" w:hAnsi="Arial" w:cs="Arial"/>
              </w:rPr>
              <w:t>Mucobuccal</w:t>
            </w:r>
            <w:proofErr w:type="spellEnd"/>
            <w:r w:rsidRPr="00AA57EC">
              <w:rPr>
                <w:rFonts w:ascii="Arial" w:hAnsi="Arial" w:cs="Arial"/>
              </w:rPr>
              <w:t xml:space="preserve"> fold edema and pain (1); pain and periodontal abscess (1)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4</w:t>
            </w:r>
          </w:p>
        </w:tc>
      </w:tr>
    </w:tbl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</w:rPr>
      </w:pPr>
      <w:r w:rsidRPr="00AA57EC">
        <w:rPr>
          <w:rFonts w:ascii="Arial" w:hAnsi="Arial" w:cs="Arial"/>
        </w:rPr>
        <w:t>Appendix 2. Clinical Presentation of SCCMR Systematic Review. N= number of patients</w:t>
      </w:r>
      <w:proofErr w:type="gramStart"/>
      <w:r w:rsidRPr="00AA57EC">
        <w:rPr>
          <w:rFonts w:ascii="Arial" w:hAnsi="Arial" w:cs="Arial"/>
        </w:rPr>
        <w:t>,  NA</w:t>
      </w:r>
      <w:proofErr w:type="gramEnd"/>
      <w:r w:rsidRPr="00AA57EC">
        <w:rPr>
          <w:rFonts w:ascii="Arial" w:hAnsi="Arial" w:cs="Arial"/>
        </w:rPr>
        <w:t xml:space="preserve"> = not available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Radiologic Appearance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N = 90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Unilocular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86 (95.5%)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Multilocular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4 (4.5%)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Cortical perforation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21 (23%)</w:t>
            </w:r>
          </w:p>
        </w:tc>
      </w:tr>
    </w:tbl>
    <w:p w:rsidR="00242930" w:rsidRPr="00AA57EC" w:rsidRDefault="00242930" w:rsidP="00242930">
      <w:pPr>
        <w:rPr>
          <w:rFonts w:ascii="Arial" w:hAnsi="Arial" w:cs="Arial"/>
        </w:rPr>
      </w:pPr>
      <w:r w:rsidRPr="00AA57EC">
        <w:rPr>
          <w:rFonts w:ascii="Arial" w:hAnsi="Arial" w:cs="Arial"/>
        </w:rPr>
        <w:t>N= number of patients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  <w:r w:rsidRPr="00AA57EC">
        <w:rPr>
          <w:rFonts w:ascii="Arial" w:hAnsi="Arial" w:cs="Arial"/>
        </w:rPr>
        <w:t xml:space="preserve">Appendix 3. </w:t>
      </w:r>
      <w:r w:rsidRPr="00274EBE">
        <w:rPr>
          <w:rFonts w:ascii="Arial" w:hAnsi="Arial" w:cs="Arial"/>
        </w:rPr>
        <w:t>Radiologic Presentation of SCCMR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  <w:b/>
          <w:u w:val="single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Histologic Appearance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N = 33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Pseudostratified Ciliated Columnar Epithelium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19 (58%)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Pseudostratified Ciliated Columnar Epithelium with Cuboidal Metaplasia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4 (12%)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Pseudostratified Ciliated Columnar Epithelium with Squamous Metaplasia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8 (24%)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Pseudostratified Ciliated Columnar Epithelium with Cuboid and Squamous Metaplasia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 (6%)</w:t>
            </w:r>
          </w:p>
        </w:tc>
      </w:tr>
    </w:tbl>
    <w:p w:rsidR="00242930" w:rsidRPr="00AA57EC" w:rsidRDefault="00242930" w:rsidP="00242930">
      <w:pPr>
        <w:rPr>
          <w:rFonts w:ascii="Arial" w:hAnsi="Arial" w:cs="Arial"/>
        </w:rPr>
      </w:pPr>
      <w:r w:rsidRPr="00AA57EC">
        <w:rPr>
          <w:rFonts w:ascii="Arial" w:hAnsi="Arial" w:cs="Arial"/>
        </w:rPr>
        <w:t>N= number of patients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274EBE" w:rsidRDefault="00242930" w:rsidP="00242930">
      <w:pPr>
        <w:rPr>
          <w:rFonts w:ascii="Arial" w:hAnsi="Arial" w:cs="Arial"/>
        </w:rPr>
      </w:pPr>
      <w:r w:rsidRPr="00274EBE">
        <w:rPr>
          <w:rFonts w:ascii="Arial" w:hAnsi="Arial" w:cs="Arial"/>
        </w:rPr>
        <w:t>Appendix 4. Histologic Presentation of SCCMR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</w:rPr>
      </w:pPr>
    </w:p>
    <w:p w:rsidR="00242930" w:rsidRPr="00AA57EC" w:rsidRDefault="00242930" w:rsidP="00242930">
      <w:pPr>
        <w:rPr>
          <w:rFonts w:ascii="Arial" w:hAnsi="Arial" w:cs="Arial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Treatment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N = 32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lastRenderedPageBreak/>
              <w:t>Enucleation and Curettage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18 (56%)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Enucleation and Curettage + Bone graft (BMP, iliac crest)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3 (9%)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Incision and Drainage, then Enucleation and Curettage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 (6%)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Stent Decompression, then Enucleation and Curettage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2 (6%)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Caldwell Luc/ Maxillary Antrostomy + Enucleation and Curettage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4 (12.5%)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proofErr w:type="spellStart"/>
            <w:r w:rsidRPr="00AA57EC">
              <w:rPr>
                <w:rFonts w:ascii="Arial" w:hAnsi="Arial" w:cs="Arial"/>
              </w:rPr>
              <w:t>LeFort</w:t>
            </w:r>
            <w:proofErr w:type="spellEnd"/>
            <w:r w:rsidRPr="00AA57EC">
              <w:rPr>
                <w:rFonts w:ascii="Arial" w:hAnsi="Arial" w:cs="Arial"/>
              </w:rPr>
              <w:t xml:space="preserve"> 1 </w:t>
            </w:r>
            <w:proofErr w:type="spellStart"/>
            <w:r w:rsidRPr="00AA57EC">
              <w:rPr>
                <w:rFonts w:ascii="Arial" w:hAnsi="Arial" w:cs="Arial"/>
              </w:rPr>
              <w:t>downfracture</w:t>
            </w:r>
            <w:proofErr w:type="spellEnd"/>
            <w:r w:rsidRPr="00AA57EC">
              <w:rPr>
                <w:rFonts w:ascii="Arial" w:hAnsi="Arial" w:cs="Arial"/>
              </w:rPr>
              <w:t>, then Enucleation and Curettage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1 (3.5%)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Enucleation and Curettage with peripheral ostectomy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1 (3.5%)</w:t>
            </w:r>
          </w:p>
        </w:tc>
      </w:tr>
      <w:tr w:rsidR="00242930" w:rsidRPr="00AA57EC" w:rsidTr="00274EBE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Lateral Rhinotomy for resection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2930" w:rsidRPr="00AA57EC" w:rsidRDefault="00242930" w:rsidP="00274EBE">
            <w:pPr>
              <w:widowControl w:val="0"/>
              <w:rPr>
                <w:rFonts w:ascii="Arial" w:hAnsi="Arial" w:cs="Arial"/>
              </w:rPr>
            </w:pPr>
            <w:r w:rsidRPr="00AA57EC">
              <w:rPr>
                <w:rFonts w:ascii="Arial" w:hAnsi="Arial" w:cs="Arial"/>
              </w:rPr>
              <w:t>1 (3.5%)</w:t>
            </w:r>
          </w:p>
        </w:tc>
      </w:tr>
    </w:tbl>
    <w:p w:rsidR="00242930" w:rsidRPr="00AA57EC" w:rsidRDefault="00242930" w:rsidP="00242930">
      <w:pPr>
        <w:rPr>
          <w:rFonts w:ascii="Arial" w:hAnsi="Arial" w:cs="Arial"/>
        </w:rPr>
      </w:pPr>
      <w:r w:rsidRPr="00AA57EC">
        <w:rPr>
          <w:rFonts w:ascii="Arial" w:hAnsi="Arial" w:cs="Arial"/>
        </w:rPr>
        <w:t>N= number of patients</w:t>
      </w:r>
    </w:p>
    <w:p w:rsidR="00242930" w:rsidRPr="00AA57EC" w:rsidRDefault="00242930" w:rsidP="00242930">
      <w:pPr>
        <w:rPr>
          <w:rFonts w:ascii="Arial" w:hAnsi="Arial" w:cs="Arial"/>
        </w:rPr>
      </w:pPr>
    </w:p>
    <w:p w:rsidR="00DE285F" w:rsidRDefault="00242930" w:rsidP="00242930">
      <w:r w:rsidRPr="00274EBE">
        <w:rPr>
          <w:rFonts w:ascii="Arial" w:hAnsi="Arial" w:cs="Arial"/>
        </w:rPr>
        <w:t>Appendix 5. SCCMR Treatment</w:t>
      </w:r>
      <w:bookmarkStart w:id="0" w:name="_GoBack"/>
      <w:bookmarkEnd w:id="0"/>
    </w:p>
    <w:sectPr w:rsidR="00DE285F" w:rsidSect="00F66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85F75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F77ABC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7FB7E70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E457AE3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0F330C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89D3B70"/>
    <w:multiLevelType w:val="multilevel"/>
    <w:tmpl w:val="ADAC3F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30"/>
    <w:rsid w:val="00242930"/>
    <w:rsid w:val="00247D2B"/>
    <w:rsid w:val="00341DB9"/>
    <w:rsid w:val="0036013F"/>
    <w:rsid w:val="00394A5E"/>
    <w:rsid w:val="003A56E8"/>
    <w:rsid w:val="005B4175"/>
    <w:rsid w:val="005C6890"/>
    <w:rsid w:val="005E0C93"/>
    <w:rsid w:val="008637F1"/>
    <w:rsid w:val="0089265D"/>
    <w:rsid w:val="008E44F7"/>
    <w:rsid w:val="0090144B"/>
    <w:rsid w:val="00940D31"/>
    <w:rsid w:val="00975409"/>
    <w:rsid w:val="009B6366"/>
    <w:rsid w:val="00A713CE"/>
    <w:rsid w:val="00B31C3E"/>
    <w:rsid w:val="00BC6901"/>
    <w:rsid w:val="00C6159F"/>
    <w:rsid w:val="00DD096E"/>
    <w:rsid w:val="00DE2531"/>
    <w:rsid w:val="00DF32CE"/>
    <w:rsid w:val="00E5068D"/>
    <w:rsid w:val="00EC4350"/>
    <w:rsid w:val="00F04A13"/>
    <w:rsid w:val="00F66B43"/>
    <w:rsid w:val="00F9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0995A-45B0-FF43-991B-8794C59C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93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93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93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9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93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93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93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930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930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93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930"/>
    <w:rPr>
      <w:rFonts w:ascii="Times New Roman" w:eastAsia="Times New Roman" w:hAnsi="Times New Roman" w:cs="Times New Roman"/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930"/>
    <w:rPr>
      <w:rFonts w:ascii="Times New Roman" w:eastAsia="Times New Roman" w:hAnsi="Times New Roman" w:cs="Times New Roman"/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930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4293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42930"/>
    <w:rPr>
      <w:rFonts w:ascii="Times New Roman" w:eastAsia="Times New Roman" w:hAnsi="Times New Roman" w:cs="Times New Roman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93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242930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42930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242930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429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29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293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9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93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242930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242930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242930"/>
  </w:style>
  <w:style w:type="character" w:customStyle="1" w:styleId="EndNoteBibliographyChar">
    <w:name w:val="EndNote Bibliography Char"/>
    <w:basedOn w:val="DefaultParagraphFont"/>
    <w:link w:val="EndNoteBibliography"/>
    <w:rsid w:val="00242930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9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30"/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242930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Gates</dc:creator>
  <cp:keywords/>
  <dc:description/>
  <cp:lastModifiedBy>Suganya S.</cp:lastModifiedBy>
  <cp:revision>13</cp:revision>
  <dcterms:created xsi:type="dcterms:W3CDTF">2022-06-28T13:08:00Z</dcterms:created>
  <dcterms:modified xsi:type="dcterms:W3CDTF">2022-08-16T03:36:00Z</dcterms:modified>
</cp:coreProperties>
</file>