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6A" w:rsidRPr="002F77C9" w:rsidRDefault="00DE3A6A" w:rsidP="00DE3A6A">
      <w:pPr>
        <w:pStyle w:val="Heading1"/>
        <w:spacing w:line="480" w:lineRule="auto"/>
        <w:jc w:val="both"/>
        <w:rPr>
          <w:b/>
          <w:bCs/>
          <w:color w:val="auto"/>
        </w:rPr>
      </w:pPr>
      <w:r w:rsidRPr="002F77C9">
        <w:rPr>
          <w:b/>
          <w:bCs/>
          <w:color w:val="auto"/>
        </w:rPr>
        <w:t>Supplementary Materials</w:t>
      </w:r>
    </w:p>
    <w:p w:rsidR="00DE3A6A" w:rsidRPr="002F77C9" w:rsidRDefault="00DE3A6A" w:rsidP="00DE3A6A">
      <w:pPr>
        <w:pStyle w:val="Heading3"/>
        <w:spacing w:line="480" w:lineRule="auto"/>
        <w:jc w:val="both"/>
        <w:rPr>
          <w:color w:val="auto"/>
          <w:sz w:val="32"/>
          <w:szCs w:val="32"/>
        </w:rPr>
      </w:pPr>
      <w:r w:rsidRPr="002F77C9">
        <w:rPr>
          <w:b/>
          <w:bCs/>
          <w:color w:val="auto"/>
          <w:sz w:val="32"/>
          <w:szCs w:val="32"/>
        </w:rPr>
        <w:t>List of Appendices</w:t>
      </w:r>
    </w:p>
    <w:p w:rsidR="00DE3A6A" w:rsidRPr="002F77C9" w:rsidRDefault="00DE3A6A" w:rsidP="00DE3A6A">
      <w:pPr>
        <w:pStyle w:val="Heading4"/>
        <w:spacing w:line="480" w:lineRule="auto"/>
        <w:jc w:val="both"/>
        <w:rPr>
          <w:b/>
          <w:bCs/>
          <w:color w:val="auto"/>
          <w:sz w:val="32"/>
          <w:szCs w:val="32"/>
        </w:rPr>
      </w:pPr>
      <w:r w:rsidRPr="002F77C9">
        <w:rPr>
          <w:b/>
          <w:bCs/>
          <w:i w:val="0"/>
          <w:iCs w:val="0"/>
          <w:color w:val="auto"/>
          <w:sz w:val="32"/>
          <w:szCs w:val="32"/>
        </w:rPr>
        <w:t>1. Supplementary File S1: PRISMA 2020 Checklist</w:t>
      </w:r>
    </w:p>
    <w:p w:rsidR="00DE3A6A" w:rsidRPr="002F77C9" w:rsidRDefault="00DE3A6A" w:rsidP="00DE3A6A">
      <w:pPr>
        <w:pStyle w:val="ListParagraph"/>
        <w:numPr>
          <w:ilvl w:val="0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t>Description:</w:t>
      </w:r>
      <w:r w:rsidRPr="002F77C9">
        <w:rPr>
          <w:sz w:val="32"/>
          <w:szCs w:val="32"/>
        </w:rPr>
        <w:t xml:space="preserve"> A detailed checklist confirming that this review adheres to the 27 required items of the PRISMA 2020 statement. This ensures the transparency and reproducibility of the systematic review process.</w:t>
      </w:r>
    </w:p>
    <w:p w:rsidR="00DE3A6A" w:rsidRPr="002F77C9" w:rsidRDefault="00DE3A6A" w:rsidP="00DE3A6A">
      <w:pPr>
        <w:pStyle w:val="Heading4"/>
        <w:spacing w:line="480" w:lineRule="auto"/>
        <w:jc w:val="both"/>
        <w:rPr>
          <w:color w:val="auto"/>
          <w:sz w:val="32"/>
          <w:szCs w:val="32"/>
        </w:rPr>
      </w:pPr>
      <w:r w:rsidRPr="002F77C9">
        <w:rPr>
          <w:i w:val="0"/>
          <w:iCs w:val="0"/>
          <w:color w:val="auto"/>
          <w:sz w:val="32"/>
          <w:szCs w:val="32"/>
        </w:rPr>
        <w:t>2. Figure S1: PRISMA 2020 Flow Diagram</w:t>
      </w:r>
    </w:p>
    <w:p w:rsidR="00DE3A6A" w:rsidRPr="002F77C9" w:rsidRDefault="00DE3A6A" w:rsidP="00DE3A6A">
      <w:pPr>
        <w:pStyle w:val="ListParagraph"/>
        <w:numPr>
          <w:ilvl w:val="0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t>Description:</w:t>
      </w:r>
      <w:r w:rsidRPr="002F77C9">
        <w:rPr>
          <w:sz w:val="32"/>
          <w:szCs w:val="32"/>
        </w:rPr>
        <w:t xml:space="preserve"> A visual representation of the study selection process:</w:t>
      </w:r>
    </w:p>
    <w:p w:rsidR="00DE3A6A" w:rsidRPr="002F77C9" w:rsidRDefault="00DE3A6A" w:rsidP="00DE3A6A">
      <w:pPr>
        <w:pStyle w:val="ListParagraph"/>
        <w:numPr>
          <w:ilvl w:val="1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t>Identification:</w:t>
      </w:r>
      <w:r w:rsidRPr="002F77C9">
        <w:rPr>
          <w:sz w:val="32"/>
          <w:szCs w:val="32"/>
        </w:rPr>
        <w:t xml:space="preserve"> 1,247 records identified through databases.</w:t>
      </w:r>
    </w:p>
    <w:p w:rsidR="00DE3A6A" w:rsidRPr="002F77C9" w:rsidRDefault="00DE3A6A" w:rsidP="00DE3A6A">
      <w:pPr>
        <w:pStyle w:val="ListParagraph"/>
        <w:numPr>
          <w:ilvl w:val="1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t>Screening:</w:t>
      </w:r>
      <w:r w:rsidRPr="002F77C9">
        <w:rPr>
          <w:sz w:val="32"/>
          <w:szCs w:val="32"/>
        </w:rPr>
        <w:t xml:space="preserve"> 935 records screened after the removal of 312 duplicates.</w:t>
      </w:r>
    </w:p>
    <w:p w:rsidR="00DE3A6A" w:rsidRPr="002F77C9" w:rsidRDefault="00DE3A6A" w:rsidP="00DE3A6A">
      <w:pPr>
        <w:pStyle w:val="ListParagraph"/>
        <w:numPr>
          <w:ilvl w:val="1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t>Eligibility:</w:t>
      </w:r>
      <w:r w:rsidRPr="002F77C9">
        <w:rPr>
          <w:sz w:val="32"/>
          <w:szCs w:val="32"/>
        </w:rPr>
        <w:t xml:space="preserve"> 112 full-text articles assessed.</w:t>
      </w:r>
    </w:p>
    <w:p w:rsidR="00DE3A6A" w:rsidRPr="002F77C9" w:rsidRDefault="00DE3A6A" w:rsidP="00DE3A6A">
      <w:pPr>
        <w:pStyle w:val="ListParagraph"/>
        <w:numPr>
          <w:ilvl w:val="1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t>Inclusion:</w:t>
      </w:r>
      <w:r w:rsidRPr="002F77C9">
        <w:rPr>
          <w:sz w:val="32"/>
          <w:szCs w:val="32"/>
        </w:rPr>
        <w:t xml:space="preserve"> 24 studies included in the qualitative synthesis and 4 studies (n=142 patients) providing extractable data for the meta-analysis of D3P.</w:t>
      </w:r>
    </w:p>
    <w:p w:rsidR="00DE3A6A" w:rsidRPr="002F77C9" w:rsidRDefault="00DE3A6A" w:rsidP="00DE3A6A">
      <w:pPr>
        <w:pStyle w:val="Heading4"/>
        <w:spacing w:line="480" w:lineRule="auto"/>
        <w:jc w:val="both"/>
        <w:rPr>
          <w:color w:val="auto"/>
          <w:sz w:val="32"/>
          <w:szCs w:val="32"/>
        </w:rPr>
      </w:pPr>
      <w:r w:rsidRPr="002F77C9">
        <w:rPr>
          <w:i w:val="0"/>
          <w:iCs w:val="0"/>
          <w:color w:val="auto"/>
          <w:sz w:val="32"/>
          <w:szCs w:val="32"/>
        </w:rPr>
        <w:lastRenderedPageBreak/>
        <w:t>3. Table S1: Detailed Database Search Strategy</w:t>
      </w:r>
    </w:p>
    <w:p w:rsidR="00DE3A6A" w:rsidRPr="002F77C9" w:rsidRDefault="00DE3A6A" w:rsidP="00DE3A6A">
      <w:pPr>
        <w:pStyle w:val="ListParagraph"/>
        <w:numPr>
          <w:ilvl w:val="0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t>Description:</w:t>
      </w:r>
      <w:r w:rsidRPr="002F77C9">
        <w:rPr>
          <w:sz w:val="32"/>
          <w:szCs w:val="32"/>
        </w:rPr>
        <w:t xml:space="preserve"> A comprehensive list of search strings, </w:t>
      </w:r>
      <w:proofErr w:type="spellStart"/>
      <w:r w:rsidRPr="002F77C9">
        <w:rPr>
          <w:sz w:val="32"/>
          <w:szCs w:val="32"/>
        </w:rPr>
        <w:t>MeSH</w:t>
      </w:r>
      <w:proofErr w:type="spellEnd"/>
      <w:r w:rsidRPr="002F77C9">
        <w:rPr>
          <w:sz w:val="32"/>
          <w:szCs w:val="32"/>
        </w:rPr>
        <w:t xml:space="preserve"> terms, and Boolean operators used across PubMed, </w:t>
      </w:r>
      <w:proofErr w:type="spellStart"/>
      <w:r w:rsidRPr="002F77C9">
        <w:rPr>
          <w:sz w:val="32"/>
          <w:szCs w:val="32"/>
        </w:rPr>
        <w:t>Embase</w:t>
      </w:r>
      <w:proofErr w:type="spellEnd"/>
      <w:r w:rsidRPr="002F77C9">
        <w:rPr>
          <w:sz w:val="32"/>
          <w:szCs w:val="32"/>
        </w:rPr>
        <w:t xml:space="preserve">, Cochrane, and AJOL/Google Scholar to identify </w:t>
      </w:r>
      <w:r w:rsidRPr="002F77C9">
        <w:rPr>
          <w:i/>
          <w:iCs/>
          <w:sz w:val="32"/>
          <w:szCs w:val="32"/>
        </w:rPr>
        <w:t xml:space="preserve">Artemisia </w:t>
      </w:r>
      <w:proofErr w:type="spellStart"/>
      <w:r w:rsidRPr="002F77C9">
        <w:rPr>
          <w:i/>
          <w:iCs/>
          <w:sz w:val="32"/>
          <w:szCs w:val="32"/>
        </w:rPr>
        <w:t>annua</w:t>
      </w:r>
      <w:proofErr w:type="spellEnd"/>
      <w:r w:rsidRPr="002F77C9">
        <w:rPr>
          <w:sz w:val="32"/>
          <w:szCs w:val="32"/>
        </w:rPr>
        <w:t xml:space="preserve"> studies in Africa.</w:t>
      </w:r>
    </w:p>
    <w:p w:rsidR="00DE3A6A" w:rsidRPr="002F77C9" w:rsidRDefault="00DE3A6A" w:rsidP="00DE3A6A">
      <w:pPr>
        <w:pStyle w:val="Heading4"/>
        <w:spacing w:line="480" w:lineRule="auto"/>
        <w:jc w:val="both"/>
        <w:rPr>
          <w:color w:val="auto"/>
          <w:sz w:val="32"/>
          <w:szCs w:val="32"/>
        </w:rPr>
      </w:pPr>
      <w:r w:rsidRPr="002F77C9">
        <w:rPr>
          <w:i w:val="0"/>
          <w:iCs w:val="0"/>
          <w:color w:val="auto"/>
          <w:sz w:val="32"/>
          <w:szCs w:val="32"/>
        </w:rPr>
        <w:t>4. Table S2: List of Excluded Studies with Reasons (n=88)</w:t>
      </w:r>
    </w:p>
    <w:p w:rsidR="00DE3A6A" w:rsidRPr="002F77C9" w:rsidRDefault="00DE3A6A" w:rsidP="00DE3A6A">
      <w:pPr>
        <w:pStyle w:val="ListParagraph"/>
        <w:numPr>
          <w:ilvl w:val="0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t>Description:</w:t>
      </w:r>
      <w:r w:rsidRPr="002F77C9">
        <w:rPr>
          <w:sz w:val="32"/>
          <w:szCs w:val="32"/>
        </w:rPr>
        <w:t xml:space="preserve"> A transparency table documenting the 88 full-text articles that did not meet inclusion criteria. Common reasons include the use of non-monotherapy, lack of Day-3 parasite clearance data, or use of animal models.</w:t>
      </w:r>
    </w:p>
    <w:p w:rsidR="00DE3A6A" w:rsidRPr="002F77C9" w:rsidRDefault="00DE3A6A" w:rsidP="00DE3A6A">
      <w:pPr>
        <w:pStyle w:val="Heading4"/>
        <w:spacing w:line="480" w:lineRule="auto"/>
        <w:jc w:val="both"/>
        <w:rPr>
          <w:color w:val="auto"/>
          <w:sz w:val="32"/>
          <w:szCs w:val="32"/>
        </w:rPr>
      </w:pPr>
      <w:r w:rsidRPr="002F77C9">
        <w:rPr>
          <w:i w:val="0"/>
          <w:iCs w:val="0"/>
          <w:color w:val="auto"/>
          <w:sz w:val="32"/>
          <w:szCs w:val="32"/>
        </w:rPr>
        <w:t>5. Table S3: Regional Molecular Surveillance of pfkelch13 Mutations</w:t>
      </w:r>
    </w:p>
    <w:p w:rsidR="00DE3A6A" w:rsidRPr="002F77C9" w:rsidRDefault="00DE3A6A" w:rsidP="00DE3A6A">
      <w:pPr>
        <w:pStyle w:val="ListParagraph"/>
        <w:numPr>
          <w:ilvl w:val="0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t>Description:</w:t>
      </w:r>
      <w:r w:rsidRPr="002F77C9">
        <w:rPr>
          <w:sz w:val="32"/>
          <w:szCs w:val="32"/>
        </w:rPr>
        <w:t xml:space="preserve"> A geographical mapping of emerging artemisinin resistance markers in East Africa:</w:t>
      </w:r>
    </w:p>
    <w:p w:rsidR="00DE3A6A" w:rsidRPr="002F77C9" w:rsidRDefault="00DE3A6A" w:rsidP="00DE3A6A">
      <w:pPr>
        <w:pStyle w:val="ListParagraph"/>
        <w:numPr>
          <w:ilvl w:val="1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t>Uganda &amp; Rwanda:</w:t>
      </w:r>
      <w:r w:rsidRPr="002F77C9">
        <w:rPr>
          <w:sz w:val="32"/>
          <w:szCs w:val="32"/>
        </w:rPr>
        <w:t xml:space="preserve"> Validated R561H and A675V mutations.</w:t>
      </w:r>
    </w:p>
    <w:p w:rsidR="00DE3A6A" w:rsidRPr="002F77C9" w:rsidRDefault="00DE3A6A" w:rsidP="00DE3A6A">
      <w:pPr>
        <w:pStyle w:val="ListParagraph"/>
        <w:numPr>
          <w:ilvl w:val="1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t>Kenya:</w:t>
      </w:r>
      <w:r w:rsidRPr="002F77C9">
        <w:rPr>
          <w:sz w:val="32"/>
          <w:szCs w:val="32"/>
        </w:rPr>
        <w:t xml:space="preserve"> Detection of C469Y, P553L, and R561H variants.</w:t>
      </w:r>
    </w:p>
    <w:p w:rsidR="00DE3A6A" w:rsidRPr="002F77C9" w:rsidRDefault="00DE3A6A" w:rsidP="00DE3A6A">
      <w:pPr>
        <w:pStyle w:val="ListParagraph"/>
        <w:numPr>
          <w:ilvl w:val="1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lastRenderedPageBreak/>
        <w:t>Tanzania:</w:t>
      </w:r>
      <w:r w:rsidRPr="002F77C9">
        <w:rPr>
          <w:sz w:val="32"/>
          <w:szCs w:val="32"/>
        </w:rPr>
        <w:t xml:space="preserve"> Presence of clinical markers associated with delayed parasite clearance.</w:t>
      </w:r>
    </w:p>
    <w:p w:rsidR="00DE3A6A" w:rsidRPr="002F77C9" w:rsidRDefault="00DE3A6A" w:rsidP="00DE3A6A">
      <w:pPr>
        <w:pStyle w:val="Heading4"/>
        <w:spacing w:line="480" w:lineRule="auto"/>
        <w:jc w:val="both"/>
        <w:rPr>
          <w:color w:val="auto"/>
          <w:sz w:val="32"/>
          <w:szCs w:val="32"/>
        </w:rPr>
      </w:pPr>
      <w:r w:rsidRPr="002F77C9">
        <w:rPr>
          <w:i w:val="0"/>
          <w:iCs w:val="0"/>
          <w:color w:val="auto"/>
          <w:sz w:val="32"/>
          <w:szCs w:val="32"/>
        </w:rPr>
        <w:t>6. Table S4: Methodological Quality and Risk of Bias</w:t>
      </w:r>
    </w:p>
    <w:p w:rsidR="00DE3A6A" w:rsidRPr="002F77C9" w:rsidRDefault="00DE3A6A" w:rsidP="00DE3A6A">
      <w:pPr>
        <w:pStyle w:val="ListParagraph"/>
        <w:numPr>
          <w:ilvl w:val="0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t>Description:</w:t>
      </w:r>
      <w:r w:rsidRPr="002F77C9">
        <w:rPr>
          <w:sz w:val="32"/>
          <w:szCs w:val="32"/>
        </w:rPr>
        <w:t xml:space="preserve"> Detailed scoring for all 24 included studies:</w:t>
      </w:r>
    </w:p>
    <w:p w:rsidR="00DE3A6A" w:rsidRPr="002F77C9" w:rsidRDefault="00DE3A6A" w:rsidP="00DE3A6A">
      <w:pPr>
        <w:pStyle w:val="ListParagraph"/>
        <w:numPr>
          <w:ilvl w:val="1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t>Clinical Trials (n=8):</w:t>
      </w:r>
      <w:r w:rsidRPr="002F77C9">
        <w:rPr>
          <w:sz w:val="32"/>
          <w:szCs w:val="32"/>
        </w:rPr>
        <w:t xml:space="preserve"> Assessed via the Cochrane </w:t>
      </w:r>
      <w:proofErr w:type="spellStart"/>
      <w:r w:rsidRPr="002F77C9">
        <w:rPr>
          <w:sz w:val="32"/>
          <w:szCs w:val="32"/>
        </w:rPr>
        <w:t>RoB</w:t>
      </w:r>
      <w:proofErr w:type="spellEnd"/>
      <w:r w:rsidRPr="002F77C9">
        <w:rPr>
          <w:sz w:val="32"/>
          <w:szCs w:val="32"/>
        </w:rPr>
        <w:t xml:space="preserve"> 2 tool, documenting the high risk of bias in blinding due to the organoleptic properties of the herbal tea.</w:t>
      </w:r>
    </w:p>
    <w:p w:rsidR="00DE3A6A" w:rsidRPr="002F77C9" w:rsidRDefault="00DE3A6A" w:rsidP="00DE3A6A">
      <w:pPr>
        <w:pStyle w:val="ListParagraph"/>
        <w:numPr>
          <w:ilvl w:val="1"/>
          <w:numId w:val="1"/>
        </w:numPr>
        <w:spacing w:line="480" w:lineRule="auto"/>
        <w:jc w:val="both"/>
        <w:rPr>
          <w:sz w:val="32"/>
          <w:szCs w:val="32"/>
        </w:rPr>
      </w:pPr>
      <w:r w:rsidRPr="002F77C9">
        <w:rPr>
          <w:b/>
          <w:bCs/>
          <w:sz w:val="32"/>
          <w:szCs w:val="32"/>
        </w:rPr>
        <w:t>Observational Studies (n=16):</w:t>
      </w:r>
      <w:r w:rsidRPr="002F77C9">
        <w:rPr>
          <w:sz w:val="32"/>
          <w:szCs w:val="32"/>
        </w:rPr>
        <w:t xml:space="preserve"> Assessed via the Newcastle-Ottawa Scale.</w:t>
      </w:r>
    </w:p>
    <w:p w:rsidR="00FE6E91" w:rsidRDefault="00FE6E91">
      <w:bookmarkStart w:id="0" w:name="_GoBack"/>
      <w:bookmarkEnd w:id="0"/>
    </w:p>
    <w:sectPr w:rsidR="00FE6E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6D0B10"/>
    <w:multiLevelType w:val="hybridMultilevel"/>
    <w:tmpl w:val="39969426"/>
    <w:lvl w:ilvl="0" w:tplc="0970815E">
      <w:start w:val="1"/>
      <w:numFmt w:val="bullet"/>
      <w:lvlText w:val="●"/>
      <w:lvlJc w:val="left"/>
      <w:pPr>
        <w:ind w:left="720" w:hanging="360"/>
      </w:pPr>
    </w:lvl>
    <w:lvl w:ilvl="1" w:tplc="61C2E90A">
      <w:start w:val="1"/>
      <w:numFmt w:val="bullet"/>
      <w:lvlText w:val="○"/>
      <w:lvlJc w:val="left"/>
      <w:pPr>
        <w:ind w:left="1440" w:hanging="360"/>
      </w:pPr>
    </w:lvl>
    <w:lvl w:ilvl="2" w:tplc="B122E9EA">
      <w:start w:val="1"/>
      <w:numFmt w:val="bullet"/>
      <w:lvlText w:val="■"/>
      <w:lvlJc w:val="left"/>
      <w:pPr>
        <w:ind w:left="2160" w:hanging="360"/>
      </w:pPr>
    </w:lvl>
    <w:lvl w:ilvl="3" w:tplc="6DD87C14">
      <w:start w:val="1"/>
      <w:numFmt w:val="bullet"/>
      <w:lvlText w:val="●"/>
      <w:lvlJc w:val="left"/>
      <w:pPr>
        <w:ind w:left="2880" w:hanging="360"/>
      </w:pPr>
    </w:lvl>
    <w:lvl w:ilvl="4" w:tplc="954C169A">
      <w:start w:val="1"/>
      <w:numFmt w:val="bullet"/>
      <w:lvlText w:val="○"/>
      <w:lvlJc w:val="left"/>
      <w:pPr>
        <w:ind w:left="3600" w:hanging="360"/>
      </w:pPr>
    </w:lvl>
    <w:lvl w:ilvl="5" w:tplc="85A6A652">
      <w:start w:val="1"/>
      <w:numFmt w:val="bullet"/>
      <w:lvlText w:val="■"/>
      <w:lvlJc w:val="left"/>
      <w:pPr>
        <w:ind w:left="4320" w:hanging="360"/>
      </w:pPr>
    </w:lvl>
    <w:lvl w:ilvl="6" w:tplc="223CC95C">
      <w:start w:val="1"/>
      <w:numFmt w:val="bullet"/>
      <w:lvlText w:val="●"/>
      <w:lvlJc w:val="left"/>
      <w:pPr>
        <w:ind w:left="5040" w:hanging="360"/>
      </w:pPr>
    </w:lvl>
    <w:lvl w:ilvl="7" w:tplc="7BCCA77C">
      <w:start w:val="1"/>
      <w:numFmt w:val="bullet"/>
      <w:lvlText w:val="●"/>
      <w:lvlJc w:val="left"/>
      <w:pPr>
        <w:ind w:left="5760" w:hanging="360"/>
      </w:pPr>
    </w:lvl>
    <w:lvl w:ilvl="8" w:tplc="F34A23A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F0"/>
    <w:rsid w:val="00003311"/>
    <w:rsid w:val="0000439A"/>
    <w:rsid w:val="000068E1"/>
    <w:rsid w:val="000216A2"/>
    <w:rsid w:val="0004376E"/>
    <w:rsid w:val="000A15A9"/>
    <w:rsid w:val="000A586D"/>
    <w:rsid w:val="000C5056"/>
    <w:rsid w:val="000E7DEB"/>
    <w:rsid w:val="0016649E"/>
    <w:rsid w:val="00180ADF"/>
    <w:rsid w:val="001E0809"/>
    <w:rsid w:val="001E2828"/>
    <w:rsid w:val="00257357"/>
    <w:rsid w:val="002618AE"/>
    <w:rsid w:val="0028244B"/>
    <w:rsid w:val="00287AD8"/>
    <w:rsid w:val="002B20AD"/>
    <w:rsid w:val="002C0641"/>
    <w:rsid w:val="002D522C"/>
    <w:rsid w:val="00305D97"/>
    <w:rsid w:val="003223C3"/>
    <w:rsid w:val="00385484"/>
    <w:rsid w:val="0039083C"/>
    <w:rsid w:val="003916B4"/>
    <w:rsid w:val="00394AA3"/>
    <w:rsid w:val="003B3DA8"/>
    <w:rsid w:val="003C1685"/>
    <w:rsid w:val="003C7CCA"/>
    <w:rsid w:val="003D091D"/>
    <w:rsid w:val="003D3970"/>
    <w:rsid w:val="00405511"/>
    <w:rsid w:val="004123F9"/>
    <w:rsid w:val="004142AB"/>
    <w:rsid w:val="00490714"/>
    <w:rsid w:val="004948B2"/>
    <w:rsid w:val="004A0B65"/>
    <w:rsid w:val="004A2A99"/>
    <w:rsid w:val="004B6379"/>
    <w:rsid w:val="00522299"/>
    <w:rsid w:val="00542994"/>
    <w:rsid w:val="00574D12"/>
    <w:rsid w:val="005B0E92"/>
    <w:rsid w:val="005D75D9"/>
    <w:rsid w:val="005F4BC9"/>
    <w:rsid w:val="006214C0"/>
    <w:rsid w:val="006B7B7B"/>
    <w:rsid w:val="006C1A1C"/>
    <w:rsid w:val="006C43D7"/>
    <w:rsid w:val="006C7B84"/>
    <w:rsid w:val="006E0FED"/>
    <w:rsid w:val="006E5F4D"/>
    <w:rsid w:val="006E716B"/>
    <w:rsid w:val="006F2502"/>
    <w:rsid w:val="007068DF"/>
    <w:rsid w:val="0072144F"/>
    <w:rsid w:val="007235BD"/>
    <w:rsid w:val="007543A2"/>
    <w:rsid w:val="00755F85"/>
    <w:rsid w:val="007857DC"/>
    <w:rsid w:val="00802EA9"/>
    <w:rsid w:val="00854B39"/>
    <w:rsid w:val="00884D0C"/>
    <w:rsid w:val="008965F6"/>
    <w:rsid w:val="008C2243"/>
    <w:rsid w:val="008C7D71"/>
    <w:rsid w:val="008E401D"/>
    <w:rsid w:val="008F0591"/>
    <w:rsid w:val="0093497B"/>
    <w:rsid w:val="00943E53"/>
    <w:rsid w:val="00950D55"/>
    <w:rsid w:val="00950FB8"/>
    <w:rsid w:val="00974EDF"/>
    <w:rsid w:val="009816B0"/>
    <w:rsid w:val="009848AB"/>
    <w:rsid w:val="009B29A8"/>
    <w:rsid w:val="009B59DD"/>
    <w:rsid w:val="009F00D2"/>
    <w:rsid w:val="00A03967"/>
    <w:rsid w:val="00A07ACE"/>
    <w:rsid w:val="00A15A27"/>
    <w:rsid w:val="00A43FB5"/>
    <w:rsid w:val="00A76F8C"/>
    <w:rsid w:val="00A91862"/>
    <w:rsid w:val="00A956BA"/>
    <w:rsid w:val="00AC4FF2"/>
    <w:rsid w:val="00AC5735"/>
    <w:rsid w:val="00AF27B7"/>
    <w:rsid w:val="00B03320"/>
    <w:rsid w:val="00B1244C"/>
    <w:rsid w:val="00B305F8"/>
    <w:rsid w:val="00B53862"/>
    <w:rsid w:val="00B924DA"/>
    <w:rsid w:val="00BA11F0"/>
    <w:rsid w:val="00BA4FCD"/>
    <w:rsid w:val="00BB5F64"/>
    <w:rsid w:val="00C24A1A"/>
    <w:rsid w:val="00C949C3"/>
    <w:rsid w:val="00CC4537"/>
    <w:rsid w:val="00D0184D"/>
    <w:rsid w:val="00D42CB0"/>
    <w:rsid w:val="00D8638C"/>
    <w:rsid w:val="00D92673"/>
    <w:rsid w:val="00DA3108"/>
    <w:rsid w:val="00DE3A6A"/>
    <w:rsid w:val="00DF00BC"/>
    <w:rsid w:val="00E14F39"/>
    <w:rsid w:val="00E225C8"/>
    <w:rsid w:val="00E30AE1"/>
    <w:rsid w:val="00E45E79"/>
    <w:rsid w:val="00E86FEF"/>
    <w:rsid w:val="00E970B1"/>
    <w:rsid w:val="00E971B1"/>
    <w:rsid w:val="00EA1865"/>
    <w:rsid w:val="00EB389B"/>
    <w:rsid w:val="00EB4C0F"/>
    <w:rsid w:val="00EE5252"/>
    <w:rsid w:val="00F04E9A"/>
    <w:rsid w:val="00F40DF5"/>
    <w:rsid w:val="00F63603"/>
    <w:rsid w:val="00F80DD6"/>
    <w:rsid w:val="00FB71DF"/>
    <w:rsid w:val="00FC7F79"/>
    <w:rsid w:val="00FE6E91"/>
    <w:rsid w:val="00FF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579731-B6F7-49E6-B348-598ECEF9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DE3A6A"/>
    <w:pPr>
      <w:spacing w:before="144" w:after="72" w:line="240" w:lineRule="auto"/>
      <w:outlineLvl w:val="0"/>
    </w:pPr>
    <w:rPr>
      <w:rFonts w:ascii="Times New Roman" w:eastAsia="Times New Roman" w:hAnsi="Times New Roman" w:cs="Times New Roman"/>
      <w:color w:val="2E74B5"/>
      <w:sz w:val="32"/>
      <w:szCs w:val="32"/>
      <w:lang w:eastAsia="en-I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3A6A"/>
    <w:pPr>
      <w:spacing w:before="144" w:after="72" w:line="240" w:lineRule="auto"/>
      <w:outlineLvl w:val="2"/>
    </w:pPr>
    <w:rPr>
      <w:rFonts w:ascii="Times New Roman" w:eastAsia="Times New Roman" w:hAnsi="Times New Roman" w:cs="Times New Roman"/>
      <w:color w:val="1F4D78"/>
      <w:sz w:val="24"/>
      <w:szCs w:val="24"/>
      <w:lang w:eastAsia="en-I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E3A6A"/>
    <w:pPr>
      <w:spacing w:before="144" w:after="72" w:line="240" w:lineRule="auto"/>
      <w:outlineLvl w:val="3"/>
    </w:pPr>
    <w:rPr>
      <w:rFonts w:ascii="Times New Roman" w:eastAsia="Times New Roman" w:hAnsi="Times New Roman" w:cs="Times New Roman"/>
      <w:i/>
      <w:iCs/>
      <w:color w:val="2E74B5"/>
      <w:sz w:val="20"/>
      <w:szCs w:val="2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E3A6A"/>
    <w:rPr>
      <w:rFonts w:ascii="Times New Roman" w:eastAsia="Times New Roman" w:hAnsi="Times New Roman" w:cs="Times New Roman"/>
      <w:color w:val="2E74B5"/>
      <w:sz w:val="32"/>
      <w:szCs w:val="32"/>
      <w:lang w:eastAsia="en-IN"/>
    </w:rPr>
  </w:style>
  <w:style w:type="character" w:customStyle="1" w:styleId="Heading3Char">
    <w:name w:val="Heading 3 Char"/>
    <w:basedOn w:val="DefaultParagraphFont"/>
    <w:link w:val="Heading3"/>
    <w:uiPriority w:val="99"/>
    <w:rsid w:val="00DE3A6A"/>
    <w:rPr>
      <w:rFonts w:ascii="Times New Roman" w:eastAsia="Times New Roman" w:hAnsi="Times New Roman" w:cs="Times New Roman"/>
      <w:color w:val="1F4D78"/>
      <w:sz w:val="24"/>
      <w:szCs w:val="24"/>
      <w:lang w:eastAsia="en-IN"/>
    </w:rPr>
  </w:style>
  <w:style w:type="character" w:customStyle="1" w:styleId="Heading4Char">
    <w:name w:val="Heading 4 Char"/>
    <w:basedOn w:val="DefaultParagraphFont"/>
    <w:link w:val="Heading4"/>
    <w:uiPriority w:val="99"/>
    <w:rsid w:val="00DE3A6A"/>
    <w:rPr>
      <w:rFonts w:ascii="Times New Roman" w:eastAsia="Times New Roman" w:hAnsi="Times New Roman" w:cs="Times New Roman"/>
      <w:i/>
      <w:iCs/>
      <w:color w:val="2E74B5"/>
      <w:sz w:val="20"/>
      <w:szCs w:val="20"/>
      <w:lang w:eastAsia="en-IN"/>
    </w:rPr>
  </w:style>
  <w:style w:type="paragraph" w:styleId="ListParagraph">
    <w:name w:val="List Paragraph"/>
    <w:basedOn w:val="Normal"/>
    <w:uiPriority w:val="99"/>
    <w:qFormat/>
    <w:rsid w:val="00DE3A6A"/>
    <w:pPr>
      <w:spacing w:before="144" w:after="72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Victor,Maria Flora</dc:creator>
  <cp:keywords/>
  <dc:description/>
  <cp:lastModifiedBy>Victor,Maria Flora</cp:lastModifiedBy>
  <cp:revision>2</cp:revision>
  <dcterms:created xsi:type="dcterms:W3CDTF">2026-07-10T08:42:00Z</dcterms:created>
  <dcterms:modified xsi:type="dcterms:W3CDTF">2026-07-10T08:43:00Z</dcterms:modified>
</cp:coreProperties>
</file>