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  <w:r>
        <w:rPr>
          <w:rtl w:val="0"/>
        </w:rPr>
        <w:t>Supplementary Table 1. History and details of drug history for patients of fibromyalgia</w:t>
      </w:r>
    </w:p>
    <w:p>
      <w:pPr>
        <w:pStyle w:val="Normal.0"/>
      </w:pPr>
      <w:r>
        <w:drawing xmlns:a="http://schemas.openxmlformats.org/drawingml/2006/main">
          <wp:inline distT="0" distB="0" distL="0" distR="0">
            <wp:extent cx="7426566" cy="4947304"/>
            <wp:effectExtent l="0" t="0" r="0" b="0"/>
            <wp:docPr id="1073741825" name="officeArt object" descr="datatabl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atatable3.jpg" descr="datatable3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566" cy="494730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  <w:r>
        <w:rPr>
          <w:rtl w:val="0"/>
        </w:rPr>
        <w:t>NSAID Non-steroidal anti-inflammatory drugs</w:t>
      </w:r>
    </w:p>
    <w:sectPr>
      <w:headerReference w:type="default" r:id="rId5"/>
      <w:footerReference w:type="default" r:id="rId6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