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039" w:leftChars="-495" w:right="-1352" w:rightChars="-644" w:firstLine="450" w:firstLineChars="300"/>
        <w:rPr>
          <w:rFonts w:hint="default" w:ascii="Times New Roman" w:hAnsi="Times New Roman" w:cs="Times New Roman"/>
          <w:sz w:val="15"/>
          <w:szCs w:val="15"/>
          <w:lang w:val="en-US" w:eastAsia="zh-CN"/>
        </w:rPr>
      </w:pPr>
      <w:r>
        <w:rPr>
          <w:rFonts w:hint="default" w:ascii="Times New Roman" w:hAnsi="Times New Roman" w:cs="Times New Roman"/>
          <w:sz w:val="15"/>
          <w:szCs w:val="15"/>
          <w:lang w:val="en-US" w:eastAsia="zh-CN"/>
        </w:rPr>
        <w:t xml:space="preserve">Supplementary Table 6 The IVW MR estimates on the causal effect of current tobacco smoking, alcoholic drinks per week, and coffee intake on </w:t>
      </w: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RA and SLE.</w:t>
      </w:r>
    </w:p>
    <w:tbl>
      <w:tblPr>
        <w:tblStyle w:val="3"/>
        <w:tblW w:w="10211" w:type="dxa"/>
        <w:tblInd w:w="-99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519"/>
        <w:gridCol w:w="1546"/>
        <w:gridCol w:w="1754"/>
        <w:gridCol w:w="1904"/>
        <w:gridCol w:w="151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Exposure</w:t>
            </w:r>
          </w:p>
        </w:tc>
        <w:tc>
          <w:tcPr>
            <w:tcW w:w="15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Outcome</w:t>
            </w:r>
          </w:p>
        </w:tc>
        <w:tc>
          <w:tcPr>
            <w:tcW w:w="3300" w:type="dxa"/>
            <w:gridSpan w:val="2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Association</w:t>
            </w:r>
          </w:p>
        </w:tc>
        <w:tc>
          <w:tcPr>
            <w:tcW w:w="3415" w:type="dxa"/>
            <w:gridSpan w:val="2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MR-Egger regression</w:t>
            </w: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for assessing pleiotropy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bookmarkStart w:id="0" w:name="_GoBack" w:colFirst="5" w:colLast="5"/>
          </w:p>
        </w:tc>
        <w:tc>
          <w:tcPr>
            <w:tcW w:w="1519" w:type="dxa"/>
            <w:tcBorders>
              <w:bottom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1546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OR (95% CI)</w:t>
            </w:r>
          </w:p>
        </w:tc>
        <w:tc>
          <w:tcPr>
            <w:tcW w:w="1754" w:type="dxa"/>
            <w:tcBorders>
              <w:top w:val="single" w:color="auto" w:sz="4" w:space="0"/>
              <w:bottom w:val="single" w:color="auto" w:sz="4" w:space="0"/>
              <w:tl2br w:val="nil"/>
              <w:tr2bl w:val="nil"/>
            </w:tcBorders>
          </w:tcPr>
          <w:p>
            <w:pPr>
              <w:ind w:firstLine="750" w:firstLineChars="500"/>
              <w:jc w:val="both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</w:p>
        </w:tc>
        <w:tc>
          <w:tcPr>
            <w:tcW w:w="190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  <w:t>ntercept</w:t>
            </w:r>
          </w:p>
        </w:tc>
        <w:tc>
          <w:tcPr>
            <w:tcW w:w="151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i/>
                <w:iCs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sz w:val="15"/>
                <w:szCs w:val="15"/>
                <w:vertAlign w:val="baseline"/>
                <w:lang w:val="en-US" w:eastAsia="zh-CN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urrent tobacco smoking</w:t>
            </w:r>
          </w:p>
        </w:tc>
        <w:tc>
          <w:tcPr>
            <w:tcW w:w="1519" w:type="dxa"/>
            <w:tcBorders>
              <w:top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RA</w:t>
            </w:r>
          </w:p>
        </w:tc>
        <w:tc>
          <w:tcPr>
            <w:tcW w:w="1546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1.844 (0.747-4.550)</w:t>
            </w:r>
          </w:p>
        </w:tc>
        <w:tc>
          <w:tcPr>
            <w:tcW w:w="175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0.184</w:t>
            </w:r>
          </w:p>
        </w:tc>
        <w:tc>
          <w:tcPr>
            <w:tcW w:w="190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0.0004</w:t>
            </w:r>
          </w:p>
        </w:tc>
        <w:tc>
          <w:tcPr>
            <w:tcW w:w="151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0.978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</w:p>
        </w:tc>
        <w:tc>
          <w:tcPr>
            <w:tcW w:w="15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</w:t>
            </w:r>
          </w:p>
        </w:tc>
        <w:tc>
          <w:tcPr>
            <w:tcW w:w="154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2.756 (0.140-5.439)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      0.505</w:t>
            </w:r>
          </w:p>
        </w:tc>
        <w:tc>
          <w:tcPr>
            <w:tcW w:w="1904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0.047</w:t>
            </w:r>
          </w:p>
        </w:tc>
        <w:tc>
          <w:tcPr>
            <w:tcW w:w="15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lcoholic drinks per week</w:t>
            </w:r>
          </w:p>
        </w:tc>
        <w:tc>
          <w:tcPr>
            <w:tcW w:w="15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RA</w:t>
            </w:r>
          </w:p>
        </w:tc>
        <w:tc>
          <w:tcPr>
            <w:tcW w:w="154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0.976 (0.556-1.712)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      0.932</w:t>
            </w:r>
          </w:p>
        </w:tc>
        <w:tc>
          <w:tcPr>
            <w:tcW w:w="1904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-0.003</w:t>
            </w:r>
          </w:p>
        </w:tc>
        <w:tc>
          <w:tcPr>
            <w:tcW w:w="15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0.827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</w:p>
        </w:tc>
        <w:tc>
          <w:tcPr>
            <w:tcW w:w="15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</w:t>
            </w:r>
          </w:p>
        </w:tc>
        <w:tc>
          <w:tcPr>
            <w:tcW w:w="154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2.470 (0.558-10.933)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      0.234</w:t>
            </w:r>
          </w:p>
        </w:tc>
        <w:tc>
          <w:tcPr>
            <w:tcW w:w="1904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0.019</w:t>
            </w:r>
          </w:p>
        </w:tc>
        <w:tc>
          <w:tcPr>
            <w:tcW w:w="15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0.525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sz w:val="15"/>
                <w:szCs w:val="15"/>
                <w:lang w:val="en-US" w:eastAsia="zh-CN"/>
              </w:rPr>
              <w:t>offee intake</w:t>
            </w:r>
          </w:p>
        </w:tc>
        <w:tc>
          <w:tcPr>
            <w:tcW w:w="15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RA</w:t>
            </w:r>
          </w:p>
        </w:tc>
        <w:tc>
          <w:tcPr>
            <w:tcW w:w="154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1.226 (0.721-2.084)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      0.453</w:t>
            </w:r>
          </w:p>
        </w:tc>
        <w:tc>
          <w:tcPr>
            <w:tcW w:w="1904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0.004</w:t>
            </w:r>
          </w:p>
        </w:tc>
        <w:tc>
          <w:tcPr>
            <w:tcW w:w="15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0.637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</w:p>
        </w:tc>
        <w:tc>
          <w:tcPr>
            <w:tcW w:w="15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SLE</w:t>
            </w:r>
          </w:p>
        </w:tc>
        <w:tc>
          <w:tcPr>
            <w:tcW w:w="154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0.436 (0.089-2.125)</w:t>
            </w:r>
          </w:p>
        </w:tc>
        <w:tc>
          <w:tcPr>
            <w:tcW w:w="1754" w:type="dxa"/>
            <w:tcBorders>
              <w:tl2br w:val="nil"/>
              <w:tr2bl w:val="nil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 xml:space="preserve">        0.304</w:t>
            </w:r>
          </w:p>
        </w:tc>
        <w:tc>
          <w:tcPr>
            <w:tcW w:w="1904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0.028</w:t>
            </w:r>
          </w:p>
        </w:tc>
        <w:tc>
          <w:tcPr>
            <w:tcW w:w="151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vertAlign w:val="baseline"/>
                <w:lang w:val="en-US" w:eastAsia="zh-CN"/>
              </w:rPr>
              <w:t>0.306</w:t>
            </w:r>
          </w:p>
        </w:tc>
      </w:tr>
      <w:bookmarkEnd w:id="0"/>
    </w:tbl>
    <w:p>
      <w:pPr>
        <w:ind w:left="-1260" w:leftChars="-600" w:right="-1352" w:rightChars="-644" w:firstLine="150" w:firstLineChars="100"/>
        <w:rPr>
          <w:rFonts w:hint="default" w:ascii="Times New Roman" w:hAnsi="Times New Roman" w:cs="Times New Roman"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sz w:val="15"/>
          <w:szCs w:val="15"/>
          <w:lang w:val="en-US" w:eastAsia="zh-CN"/>
        </w:rPr>
        <w:t>IVW, inverse-variance weighted; MR, Mendelian randomization; RA, rheumatoid arthritis; SLE, systemic lupus erythematosus.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kNTM1NGQ5YTU1YTVjNmFmNWQ2ZTNlMjkyZjIxYTUifQ=="/>
  </w:docVars>
  <w:rsids>
    <w:rsidRoot w:val="43C2341F"/>
    <w:rsid w:val="037B081B"/>
    <w:rsid w:val="09197006"/>
    <w:rsid w:val="09820E39"/>
    <w:rsid w:val="13822C20"/>
    <w:rsid w:val="18B11E82"/>
    <w:rsid w:val="2B7344F5"/>
    <w:rsid w:val="34930A7B"/>
    <w:rsid w:val="3C8F68C7"/>
    <w:rsid w:val="42671E0B"/>
    <w:rsid w:val="43C2341F"/>
    <w:rsid w:val="535312DB"/>
    <w:rsid w:val="563A4B7A"/>
    <w:rsid w:val="56943DE7"/>
    <w:rsid w:val="5FA345E7"/>
    <w:rsid w:val="601C4654"/>
    <w:rsid w:val="60915FB1"/>
    <w:rsid w:val="625F6E6B"/>
    <w:rsid w:val="659E2056"/>
    <w:rsid w:val="754C63B0"/>
    <w:rsid w:val="7597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592</Characters>
  <Lines>0</Lines>
  <Paragraphs>0</Paragraphs>
  <TotalTime>19</TotalTime>
  <ScaleCrop>false</ScaleCrop>
  <LinksUpToDate>false</LinksUpToDate>
  <CharactersWithSpaces>717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2022-12-29T09:38:00Z</dcterms:created>
  <dc:creator>Administrator</dc:creator>
  <cp:lastModifiedBy>Administrator</cp:lastModifiedBy>
  <dcterms:modified xsi:type="dcterms:W3CDTF">2022-12-29T14:11:45Z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8B7F6B166DB141C3823F6D140D33F3F7</vt:lpwstr>
  </property>
</Properties>
</file>