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1 - Univariate analysis</w:t>
      </w:r>
    </w:p>
    <w:tbl>
      <w:tblPr>
        <w:tblStyle w:val="Table1"/>
        <w:tblW w:w="11265.0" w:type="dxa"/>
        <w:jc w:val="left"/>
        <w:tblInd w:w="-9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60"/>
        <w:gridCol w:w="1860"/>
        <w:gridCol w:w="1830"/>
        <w:gridCol w:w="1020"/>
        <w:gridCol w:w="1695"/>
        <w:tblGridChange w:id="0">
          <w:tblGrid>
            <w:gridCol w:w="4860"/>
            <w:gridCol w:w="1860"/>
            <w:gridCol w:w="1830"/>
            <w:gridCol w:w="1020"/>
            <w:gridCol w:w="1695"/>
          </w:tblGrid>
        </w:tblGridChange>
      </w:tblGrid>
      <w:tr>
        <w:trPr>
          <w:cantSplit w:val="0"/>
          <w:trHeight w:val="365.9252929687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Variable</w:t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Serious infection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yellow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ffffff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ffffff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Effect size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perscript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(n=75)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(n=2.153)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P-value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[95% IC]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Visit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 [1.72 a 2.55]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Socioeconomic level, 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(1.4%)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 (1.5%)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 [0.09 a 5.80]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(5.6%)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 (4.3%)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0.97 [0.31 a 3.08]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(13.9%)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415 (19.6%)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0.54 [0.24 a 1.24]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 (23.6%)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616 (29.0%)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0.62 [0.31 a 1.25]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 (34.7%)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616 (29.0%)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0.94 [0.48 a 1.83]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D-E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 (20.8%)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353 (16.6%)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Socioeconomic level (points),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23±8.8 (21)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24±7.9 (23)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0.98 [0.94 a 1.02]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Smoking: ex-user or user,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 (42.7%)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821 (38.1%)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1.21 [0.76 a 1.94]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Smoking: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 (57.3%)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1332 (61.9%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Alcoholism: ex-user or user,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(14.7%)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307 (14.3%)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1.04 [0.55 a 1.99]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Alcoholism: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 (85.3%)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1846 (85.7%)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Female gender,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 (89.3%)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1934 (89.8%)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1.03 [0.49 a 2.18]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Male gender,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(10.7%)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219 (10.2%)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Age (years),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58±11.3 (58)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56±11.4 (57)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1.01 [0.99 a 1.03]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Age ≥ 60 years,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 (41.3%)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857 (39.8%)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1.05 [0.66 a 1.68]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Age &lt; 60 years,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 (58.7%)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1296 (60.2%)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Disease duration (years),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17.9±11 (15.8)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14.4±9.4 (12.4)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ind w:lef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1.03[1.01 a 1.05]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Presence of extra-articular manifestations: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 (30.7%)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356 (16.5%)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2.23[1.34 a 3.70]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Presence of extra-articular manifestations: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 (69.3%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1797 (83.5%)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Pulmonary fibrosis: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(13.3%)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78 (3.6%)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4.22 [2.08 a 8.55]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Pulmonary fibrosis: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 (86.7%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2075 (96.4%)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Cardiovascular disease: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 (65.3%)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1116 (51.8%)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1.82 [1.12 a 2.97]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Cardiovascular disease: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 (34.7%)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1037 (48.2%)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Pulmonary disease: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 (17.3%)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174 (8.1%)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2.41 [1.29 a 4.51]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Pulmonary disease: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 (82.7%)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1979 (91.9%)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Gastrointestinal disease: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(5.3%)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125 (5.8%)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0.95 [0.34 a 2.64]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Gastrointestinal disease: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 (94.7%)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2028 (94.2%)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Chronic kidney disease: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(5.3%)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 (1.7%)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3.19 [1.09 a 9.37]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Chronic kidney disease: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 (94.7%)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2116 (98.3%)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Metabolic diseases: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 (22.7%)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310 (14.4%)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1.77 [1.00 a 3.12]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Metabolic diseases: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 (77.3%)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1843 (85.6%)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Central nervous system diseases: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(13.3%)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150 (7.0%)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2.10 [1.03 a 4.24]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Central nervous system diseases: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 (86.7%)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2003 (93.0%)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Neoplasm: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(1.3%)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 (2.1%)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0.64 [0.09 a 4.62]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Neoplasm: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 (98.7%)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2107 (97.9%)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History of previous infection: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(1.3%)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 (1.6%)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0.95 [0.13 a 6.75]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History of previous infection: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 (98.7%)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2119 (98.4%)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Obesity: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 (22.7%)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605 (28.6%)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0.75 [0.43 a 1.30]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Obesity: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 (77.3%)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1509 (71.4%)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Seropositive disease: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 (89.2%)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1760 (82.7%)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1.87 [0.84 a 4.14]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Seropositive disease: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(10.8%)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369 (17.3%)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Age-adjusted Charlson Comorbidity Index,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2.1±1.9 (2.0)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1.78±1.5 (2.0)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1.17 [1.00 a 1.37]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Charlson Comorbidity Index,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0.77±1.4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0.47±0.9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1.32 [1.09 a 1.61]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Corticosteroid use: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 (52.1%)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1006 (47.4%)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1.13 [0.70 a 1.80]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Corticosteroid use: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 (47.9%)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1117 (52.6%)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Corticosteroid dose*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4.4±6.4 (2.5)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2.8±3.7 (0.0)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1.08 [1.02 a 1.14]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Corticosteroid dose (&lt; 10 mg)*,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 (83.6%)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1974 (93.0%)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Corticosteroid dose (≥ 10 mg)*,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(16.4%)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149 (7.0%)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2.47 [1.29 a 4.71]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Corticosteroid dose (&lt; 15 mg)*,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 (87.7%)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2090 (98.5%)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Corticosteroid dose (≥ 15 mg)*,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(12.3%)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 (1.5%)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8.5 [3.80 a 18.80]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Synthetic DMARD: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 (85.3%)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1940 (90.7%)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0.59 [0.31 a 1.16]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Synthetic DMARD: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(14.7%)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199 (9.3%)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Exclusive synthetic DMARD: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 (46.7%)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1232 (57.2%)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0.68 [0.43 a 1.8]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Exclusive synthetic DMARD: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 (53.3%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921 (42.8%)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Biological DMARD and small molecules: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 (51.5%)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854 (40.8%)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1.43 [0.90 a 2.30]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Biological DMARD and small molecules: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 (48.5%)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1237 (59.2%)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Anti-TNF: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 (26.5%)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448 (21.4%)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1.26 [0.73 a 2.18]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Anti-TNF: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 (73.5%)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1643 (78.6%)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Exclusive biologicals and small molecules: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(8.0%)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146 (6.8%)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1.13 [0.48 a 2.66]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Exclusive biologicals and small molecules: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 (92.0%)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2007 (93.2%)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Synthetic DMARD in combination with biologicals or small molecules: yes,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 (38.7%)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708 (32.9%)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1.24 [0.77 a 1.99]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Synthetic DMARD in combination with biologicals or small molecules: no,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 (61.3%)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1445 (67.1%)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CRP (mg/dL),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3.39±1.23 (3.21)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3.12±1.32 (2.89)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1.19 [1.01 a 1.39]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CRP - Remission,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 (32.3%)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722 (41.5%)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CRP - Low activity,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(16.9%)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302 (17.4%)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1.20 [0.57 a 2.52]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CRP - Moderate activity,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 (38.5%)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541 (31.1%)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1.65 [0.90 a 3.03]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CRP - High activity,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(12.3%)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174 (10.0%)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1.79 [0.77 a 4.15]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ESR (mm),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3.94±1.29 (4.06)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3.45±1.46 (3.35)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1.40 [1.09 a 1.81]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ESR - Remission,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(11.8%)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482 (29.9%)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ESR - Low activity,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(19.6%)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243 (15.1%)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3.22 [1.16 a 8.93]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ESR - Moderate activity,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 (54.9%)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671 (41.7%)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3.29 [1.33 a 8.10]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28 ESR - High activity,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(13.7%)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214 (13.3%)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2.92 [0.95 a 8.91]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CDAI,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13.27±11.83(10.00)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11.13±11.25 (8.00)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1.03 [1.01 a 1.05]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CDAI - Remission,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(16.0%)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529 (24.6%)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CDAI - Low activity,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 (38.7%)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755 (35.2%)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1.67 [0.84 a 3.31]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CDAI - Moderate activity,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 (28.0%)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556 (25.9%)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1.73 [0.84 a 3.58]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CDAI - High activity,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rtl w:val="0"/>
              </w:rPr>
              <w:t xml:space="preserve">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 (17.3%)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308 (14.3%)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2.14 [0.96 a 4.78]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widowControl w:val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Missing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CRP level (mg/dL),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1.77±2.98 (0.50)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1.39±3.08 (0.59)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1.05 [1.01 a 1.09]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ESR level (mm),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37.69±32.9 (29.00)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28.92±24.94 (23.00)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1.01 [0.99 a 1.03]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HAQ,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1.16±0.83 (1.00)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0.85±0.74 (0.75)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1.80 [1.32 a 2.47]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Number of swollen joints in 28,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2.08±4.1 (1.0)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1.94±3.4 (0.0)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1.02 [0.94 a 1.10]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Number of swollen joints in 46,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2.12±4.1 (1.0)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2.25±4.0 (0.0)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 [0.94 a 1.06]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Number of tender joints in 28,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4.33±6.7 (2.0)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3.40±5.9 (1.0)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1.03 [0.99 a 1.07]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Number of tender joints in 46, mean 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5.04±8.4 (2.0)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4.39±7.7 (1.0)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1.02 [1.00 a 1.04]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3">
      <w:pPr>
        <w:widowControl w:val="0"/>
        <w:spacing w:line="240" w:lineRule="auto"/>
        <w:ind w:hanging="141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</w:t>
        <w:tab/>
        <w:t xml:space="preserve">Legend: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†Considering the sum of all valid visits (2.228)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# Effect sizes: odds ratios and mean differences, for categorical and continuous variables respectively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 Prednisolone equivalent dose. N - number of observations. % - percentage. SD - standard deviation. DMARD - disease-modifying antirheumatic drugs; anti-TNF - anti-tumor necrosis factor; </w:t>
      </w:r>
      <w:r w:rsidDel="00000000" w:rsidR="00000000" w:rsidRPr="00000000">
        <w:rPr>
          <w:rFonts w:ascii="Times New Roman" w:cs="Times New Roman" w:eastAsia="Times New Roman" w:hAnsi="Times New Roman"/>
          <w:color w:val="1f1f22"/>
          <w:sz w:val="20"/>
          <w:szCs w:val="20"/>
          <w:rtl w:val="0"/>
        </w:rPr>
        <w:t xml:space="preserve">DAS 28 ESR, DAS 28 CRP - Disease Activity Score 28 ESR and CRP. CDAI - Clinical Disease Activity Index.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CRP - C-reactive protein; ESR - Erythrocyte sedimentation rate; </w:t>
      </w:r>
      <w:r w:rsidDel="00000000" w:rsidR="00000000" w:rsidRPr="00000000">
        <w:rPr>
          <w:rFonts w:ascii="Times New Roman" w:cs="Times New Roman" w:eastAsia="Times New Roman" w:hAnsi="Times New Roman"/>
          <w:color w:val="1f1f22"/>
          <w:sz w:val="20"/>
          <w:szCs w:val="20"/>
          <w:rtl w:val="0"/>
        </w:rPr>
        <w:t xml:space="preserve">HAQ -Health Assessment Questionnaire.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widowControl w:val="0"/>
        <w:spacing w:line="240" w:lineRule="auto"/>
        <w:ind w:hanging="141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widowControl w:val="0"/>
        <w:spacing w:line="240" w:lineRule="auto"/>
        <w:ind w:hanging="1417"/>
        <w:jc w:val="both"/>
        <w:rPr>
          <w:rFonts w:ascii="Times New Roman" w:cs="Times New Roman" w:eastAsia="Times New Roman" w:hAnsi="Times New Roman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widowControl w:val="0"/>
        <w:spacing w:line="240" w:lineRule="auto"/>
        <w:ind w:hanging="1417"/>
        <w:jc w:val="center"/>
        <w:rPr>
          <w:rFonts w:ascii="Times New Roman" w:cs="Times New Roman" w:eastAsia="Times New Roman" w:hAnsi="Times New Roman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