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893"/>
        <w:gridCol w:w="2306"/>
        <w:gridCol w:w="4871"/>
        <w:gridCol w:w="4888"/>
      </w:tblGrid>
      <w:tr w:rsidR="004107F2" w:rsidRPr="004107F2" w14:paraId="2FA1464C" w14:textId="77777777" w:rsidTr="00F67D48">
        <w:trPr>
          <w:trHeight w:val="30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FAD2" w14:textId="36ECE4F3" w:rsidR="00F67D48" w:rsidRPr="004107F2" w:rsidRDefault="00F67D48" w:rsidP="00F67D4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kern w:val="0"/>
                <w:sz w:val="24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24"/>
                <w14:ligatures w14:val="none"/>
              </w:rPr>
              <w:t xml:space="preserve"> Supplementary Table S</w:t>
            </w:r>
            <w:r w:rsidR="00C16964" w:rsidRPr="004107F2">
              <w:rPr>
                <w:rFonts w:ascii="Arial" w:eastAsia="等线" w:hAnsi="Arial" w:cs="Arial" w:hint="eastAsia"/>
                <w:kern w:val="0"/>
                <w:sz w:val="24"/>
                <w14:ligatures w14:val="none"/>
              </w:rPr>
              <w:t>1</w:t>
            </w:r>
            <w:r w:rsidRPr="004107F2">
              <w:rPr>
                <w:rFonts w:ascii="Arial" w:eastAsia="等线" w:hAnsi="Arial" w:cs="Arial"/>
                <w:kern w:val="0"/>
                <w:sz w:val="24"/>
                <w14:ligatures w14:val="none"/>
              </w:rPr>
              <w:t xml:space="preserve"> Detailed treatment regimens of the 13 patients</w:t>
            </w:r>
          </w:p>
        </w:tc>
      </w:tr>
      <w:tr w:rsidR="004107F2" w:rsidRPr="004107F2" w14:paraId="3848A843" w14:textId="77777777" w:rsidTr="00F67D48">
        <w:trPr>
          <w:trHeight w:val="555"/>
        </w:trPr>
        <w:tc>
          <w:tcPr>
            <w:tcW w:w="67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9129CC3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Patient ID</w:t>
            </w:r>
          </w:p>
        </w:tc>
        <w:tc>
          <w:tcPr>
            <w:tcW w:w="82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A14C5CC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Biologic Agent</w:t>
            </w:r>
          </w:p>
        </w:tc>
        <w:tc>
          <w:tcPr>
            <w:tcW w:w="174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9F4FE99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Dosage &amp; Regimen</w:t>
            </w:r>
          </w:p>
        </w:tc>
        <w:tc>
          <w:tcPr>
            <w:tcW w:w="175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6D8051A" w14:textId="629762B5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Concomitant Medication (csDMARDs/Steroids)</w:t>
            </w:r>
          </w:p>
        </w:tc>
      </w:tr>
      <w:tr w:rsidR="004107F2" w:rsidRPr="004107F2" w14:paraId="5CF0C6A5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6BE8CE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IFX Group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CF1835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E055EA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4CAF61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4107F2" w:rsidRPr="004107F2" w14:paraId="2DE305BF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01A0CE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82B1CB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Infliximab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EB59A5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mg/kg, IV, q8w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DAB874" w14:textId="64B29E28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MTX 10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qw</w:t>
            </w:r>
          </w:p>
        </w:tc>
      </w:tr>
      <w:tr w:rsidR="004107F2" w:rsidRPr="004107F2" w14:paraId="7E681A15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60456D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546D04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Infliximab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E72D90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Data unavailable (Lost to follow-up)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CBB194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MTX+SASP</w:t>
            </w:r>
          </w:p>
        </w:tc>
      </w:tr>
      <w:tr w:rsidR="004107F2" w:rsidRPr="004107F2" w14:paraId="613E96B5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BD94FC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0973F8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Infliximab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B2C4A4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 mg/kg, IV, q8w (first 6 mo) </w:t>
            </w:r>
            <w:r w:rsidRPr="004107F2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→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 q12–16w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2E8F5C" w14:textId="336A4DA8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MTX 10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qw</w:t>
            </w:r>
          </w:p>
        </w:tc>
      </w:tr>
      <w:tr w:rsidR="004107F2" w:rsidRPr="004107F2" w14:paraId="3195D679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28993D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B79D2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Infliximab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CD6420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200 mg, IV, q8w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86FC9D" w14:textId="1590D371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MTX 7.5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qw+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Pred 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</w:t>
            </w:r>
          </w:p>
        </w:tc>
      </w:tr>
      <w:tr w:rsidR="004107F2" w:rsidRPr="004107F2" w14:paraId="2FEC9B5B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51A5B7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ADA Group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4F3B71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A82F59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2D463E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4107F2" w:rsidRPr="004107F2" w14:paraId="7F011DDF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10BBF1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06C3C6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Adalimumab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9157C0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40 mg, SC, q2w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E02BE7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None</w:t>
            </w:r>
          </w:p>
        </w:tc>
      </w:tr>
      <w:tr w:rsidR="004107F2" w:rsidRPr="004107F2" w14:paraId="592FA2EB" w14:textId="77777777" w:rsidTr="00F67D48">
        <w:trPr>
          <w:trHeight w:val="54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E3F5DC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P10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5BF0E3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Adalimumab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34E086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40 mg, SC, q2w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964707" w14:textId="0474F2BC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MTX 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qw+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Pred (tapered from 10mg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,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 to 5 mg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,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qod)</w:t>
            </w:r>
          </w:p>
        </w:tc>
      </w:tr>
      <w:tr w:rsidR="004107F2" w:rsidRPr="004107F2" w14:paraId="524AB3CA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8A073D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P12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4457EC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Adalimumab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DCB62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40 mg, SC, q2w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A02F7E" w14:textId="3B7EA461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CsA 50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bid+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Pred 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</w:t>
            </w:r>
          </w:p>
        </w:tc>
      </w:tr>
      <w:tr w:rsidR="004107F2" w:rsidRPr="004107F2" w14:paraId="090CF7ED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E01D02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ETA Group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C59A4A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BCC413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BAF9C5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4107F2" w:rsidRPr="004107F2" w14:paraId="04E1B250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8FEE3A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B30A94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Etanercept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A98BA3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25 mg, SC, q2w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5EA4B5" w14:textId="2C8A6200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MTX 12.5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qw</w:t>
            </w:r>
          </w:p>
        </w:tc>
      </w:tr>
      <w:tr w:rsidR="004107F2" w:rsidRPr="004107F2" w14:paraId="75D4923F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825298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A77F83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Etanercept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D3ACD1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50 mg, SC, qw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999ACD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None</w:t>
            </w:r>
          </w:p>
        </w:tc>
      </w:tr>
      <w:tr w:rsidR="004107F2" w:rsidRPr="004107F2" w14:paraId="4B38398E" w14:textId="77777777" w:rsidTr="00F67D48">
        <w:trPr>
          <w:trHeight w:val="54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FB6AAD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P11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386F5A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Etanercept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1496F3" w14:textId="700C51EA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50 mg, SC, qw→25mg,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SC,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EFDE83" w14:textId="0B64F7AF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LEF 20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qd+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Pred (tapered from 20 mg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, qd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to 7.5mg,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qd)</w:t>
            </w:r>
          </w:p>
        </w:tc>
      </w:tr>
      <w:tr w:rsidR="004107F2" w:rsidRPr="004107F2" w14:paraId="7043D7B6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04E0FD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CANA Group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383309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0AB40B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A9C052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4107F2" w:rsidRPr="004107F2" w14:paraId="39DD1907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B75DB8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935EBF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Canakinumab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A68574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150 mg, SC, q6–8w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5A723B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None</w:t>
            </w:r>
          </w:p>
        </w:tc>
      </w:tr>
      <w:tr w:rsidR="004107F2" w:rsidRPr="004107F2" w14:paraId="10F42F83" w14:textId="77777777" w:rsidTr="00F67D48">
        <w:trPr>
          <w:trHeight w:val="278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15E1FB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Conventional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8B3C1D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8E0DF6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BA5FA6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4107F2" w:rsidRPr="004107F2" w14:paraId="6B44A395" w14:textId="77777777" w:rsidTr="00F67D48">
        <w:trPr>
          <w:trHeight w:val="54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CF5DA8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4897D2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N/A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F5506C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N/A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1B16C0" w14:textId="1F4A46C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MTX 15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qw+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LEF 10mg,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qd+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Pred 15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</w:t>
            </w:r>
          </w:p>
        </w:tc>
      </w:tr>
      <w:tr w:rsidR="004107F2" w:rsidRPr="004107F2" w14:paraId="29CC46B8" w14:textId="77777777" w:rsidTr="00F67D48">
        <w:trPr>
          <w:trHeight w:val="285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44712E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P13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B6DAD6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N/A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F61784" w14:textId="77777777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N/A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F0D946" w14:textId="42E2A1C6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Intermittent use of Pred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+CsA 25 mg,</w:t>
            </w:r>
            <w:r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qd</w:t>
            </w:r>
          </w:p>
        </w:tc>
      </w:tr>
      <w:tr w:rsidR="00F67D48" w:rsidRPr="004107F2" w14:paraId="53654374" w14:textId="77777777" w:rsidTr="00F67D48">
        <w:trPr>
          <w:trHeight w:val="585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CC1D717" w14:textId="1303B863" w:rsidR="00F67D48" w:rsidRPr="004107F2" w:rsidRDefault="00F67D48" w:rsidP="00F67D48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P, patient; IV, intravenous; SC, subcutaneous; q8w, every 8 weeks; q2w, every 2 weeks; qw, weekly; qod, every other day; qd, once daily; bid</w:t>
            </w:r>
            <w:r w:rsidR="00467985" w:rsidRPr="004107F2">
              <w:rPr>
                <w:rFonts w:ascii="Arial" w:eastAsia="等线" w:hAnsi="Arial" w:cs="Arial" w:hint="eastAsia"/>
                <w:kern w:val="0"/>
                <w:szCs w:val="22"/>
                <w14:ligatures w14:val="none"/>
              </w:rPr>
              <w:t xml:space="preserve">, 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twice daily; MTX, methotrexate; SASP, salazosulfapyridine; Pred, prednisone; LEF, leflunomide; CsA, cyclosporine.</w:t>
            </w:r>
          </w:p>
        </w:tc>
      </w:tr>
    </w:tbl>
    <w:p w14:paraId="39F05583" w14:textId="77777777" w:rsidR="00131AED" w:rsidRPr="004107F2" w:rsidRDefault="00131AED" w:rsidP="00131AED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8"/>
        <w:gridCol w:w="1034"/>
        <w:gridCol w:w="1022"/>
        <w:gridCol w:w="2188"/>
        <w:gridCol w:w="1294"/>
        <w:gridCol w:w="2616"/>
        <w:gridCol w:w="1393"/>
        <w:gridCol w:w="3913"/>
      </w:tblGrid>
      <w:tr w:rsidR="004107F2" w:rsidRPr="004107F2" w14:paraId="110124A3" w14:textId="77777777" w:rsidTr="00675B1B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B32A56D" w14:textId="77777777" w:rsidR="00675B1B" w:rsidRPr="004107F2" w:rsidRDefault="00675B1B" w:rsidP="00675B1B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Supplementary Table S2 Detailed Clinical, Histological, and Genetic Characteristics of Patients Carrying Non-R334W/R334Q </w:t>
            </w:r>
            <w:r w:rsidRPr="004107F2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  <w14:ligatures w14:val="none"/>
              </w:rPr>
              <w:t>NOD2</w:t>
            </w:r>
            <w:r w:rsidRPr="004107F2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 Variants</w:t>
            </w:r>
          </w:p>
        </w:tc>
      </w:tr>
      <w:tr w:rsidR="004107F2" w:rsidRPr="004107F2" w14:paraId="3658CC18" w14:textId="77777777" w:rsidTr="00675B1B">
        <w:trPr>
          <w:trHeight w:val="323"/>
        </w:trPr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3E73330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Patient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7A3BE90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Variant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FD2532F" w14:textId="4BCADD29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>Inheritance Pattern</w:t>
            </w:r>
            <w:r w:rsidR="00284D88" w:rsidRPr="004107F2">
              <w:rPr>
                <w:rFonts w:ascii="Arial" w:eastAsia="等线" w:hAnsi="Arial" w:cs="Arial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2CE06BF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>ACMG Classification &amp; Criteria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4E58A9B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Ocular Manifestations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5031F26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Cutaneous Manifestations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3CEA92E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>Articular Manifestations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A3D2247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Histopathological Findings </w:t>
            </w:r>
          </w:p>
        </w:tc>
      </w:tr>
      <w:tr w:rsidR="004107F2" w:rsidRPr="004107F2" w14:paraId="74C4CD90" w14:textId="77777777" w:rsidTr="00675B1B">
        <w:trPr>
          <w:trHeight w:val="308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A8771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AC1E8" w14:textId="2B8FC06D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c.931C&gt;T, p.</w:t>
            </w:r>
            <w:r w:rsidR="009A61C8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R311W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DC28A" w14:textId="4FBA1A3D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Inherited from Father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CF922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Benign (BA1+BS2+BP6)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E4E64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Bilateral uveitis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21F48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Recurrent tender erythema nodosum-like nodules on extremities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6D589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Polyarthritis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AD470" w14:textId="4ECA8E88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Panniculitis-like changes with diffuse lymphocytic, histiocytic, and scattered neutrophilic infiltration</w:t>
            </w:r>
            <w:r w:rsidR="00284D88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4107F2" w:rsidRPr="004107F2" w14:paraId="77480A5C" w14:textId="77777777" w:rsidTr="00675B1B">
        <w:trPr>
          <w:trHeight w:val="818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EF756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378FC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c.1411C&gt;T, p.R471C;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br/>
              <w:t>c.1487A&gt;C, p.H496P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B50DC1" w14:textId="0EA849A6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Inherited</w:t>
            </w:r>
            <w:r w:rsidR="00284D88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>;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4107F2"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  <w14:ligatures w14:val="none"/>
              </w:rPr>
              <w:t>de novo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DD4D0E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Benign (BA1+BS2+BP4+BP6);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br/>
              <w:t>Likely Pathogenic (PM1+PM2+PM5+PP3)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E1D570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Bilateral glaucoma, cataracts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br/>
              <w:t>Corneal deformity</w:t>
            </w:r>
            <w:r w:rsidRPr="004107F2">
              <w:rPr>
                <w:rFonts w:ascii="宋体" w:eastAsia="宋体" w:hAnsi="宋体" w:cs="Arial" w:hint="eastAsia"/>
                <w:kern w:val="0"/>
                <w:sz w:val="18"/>
                <w:szCs w:val="18"/>
                <w14:ligatures w14:val="none"/>
              </w:rPr>
              <w:br/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Phthisis bulbi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5FF8D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Ichthyosiform rash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br/>
              <w:t>Erythematous rash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9CA92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Polyarthritis with camptodactyly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D10BE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Not performed</w:t>
            </w:r>
          </w:p>
        </w:tc>
      </w:tr>
      <w:tr w:rsidR="004107F2" w:rsidRPr="004107F2" w14:paraId="37D0FE34" w14:textId="77777777" w:rsidTr="00675B1B">
        <w:trPr>
          <w:trHeight w:val="278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25440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6D339" w14:textId="44D5D1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c.1759C&gt;T, p.</w:t>
            </w:r>
            <w:r w:rsidR="009A61C8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R587C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1FF7B" w14:textId="45C89E60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Inherited from Mother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3005B" w14:textId="16E367BA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Likely Pathogenic</w:t>
            </w:r>
            <w:r w:rsidR="00CD374E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(PM2+PP5+PS4)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16167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Bilateral uveitis, iritis, retinitis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264B0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Keratosis pilaris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DA917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Polyarthritis with camptodactyly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C9DDE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Not performed</w:t>
            </w:r>
          </w:p>
        </w:tc>
      </w:tr>
      <w:tr w:rsidR="004107F2" w:rsidRPr="004107F2" w14:paraId="19070AF7" w14:textId="77777777" w:rsidTr="00675B1B">
        <w:trPr>
          <w:trHeight w:val="278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4DF57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8ED44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c.1538T&gt;C, p.M513T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30952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  <w14:ligatures w14:val="none"/>
              </w:rPr>
              <w:t>de novo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94A6E" w14:textId="7008A65E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Likely Pathogenic</w:t>
            </w:r>
            <w:r w:rsidR="00CD374E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(PS2+PM2+PP3+PM1+PS3+PP5)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94E47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Blurred vision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CDE6C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Ichthyosiform rash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DACE7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Polyarthritis with camptodactyly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EE153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Not performed</w:t>
            </w:r>
          </w:p>
        </w:tc>
      </w:tr>
      <w:tr w:rsidR="004107F2" w:rsidRPr="004107F2" w14:paraId="0A319DFE" w14:textId="77777777" w:rsidTr="00675B1B">
        <w:trPr>
          <w:trHeight w:val="285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C6917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87C83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c.1471A&gt;T, p.M491L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D694F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  <w14:ligatures w14:val="none"/>
              </w:rPr>
              <w:t>de novo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DCC9E" w14:textId="2D0EFC8D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Likely Pathogenic</w:t>
            </w:r>
            <w:r w:rsidR="00CD374E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(PM2+PP5+PS4+PP3+PM1)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FD031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Bilateral uveitis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2DF4F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Folliculitis; Acneiform rash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DCF1D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Polyarthritis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F5736" w14:textId="77777777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Not performed</w:t>
            </w:r>
          </w:p>
        </w:tc>
      </w:tr>
      <w:tr w:rsidR="00675B1B" w:rsidRPr="004107F2" w14:paraId="4C160027" w14:textId="77777777" w:rsidTr="00675B1B">
        <w:trPr>
          <w:trHeight w:val="285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2C86D7EA" w14:textId="679F8706" w:rsidR="00675B1B" w:rsidRPr="004107F2" w:rsidRDefault="00675B1B" w:rsidP="00675B1B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ACMG, American College of Medical Genetics and Genomics. a, Provi</w:t>
            </w:r>
            <w:r w:rsidR="00CD374E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>de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>d in Supplementary Figure 1; b, Provid</w:t>
            </w:r>
            <w:r w:rsidR="00CD374E" w:rsidRPr="004107F2">
              <w:rPr>
                <w:rFonts w:ascii="Arial" w:eastAsia="等线" w:hAnsi="Arial" w:cs="Arial" w:hint="eastAsia"/>
                <w:kern w:val="0"/>
                <w:sz w:val="18"/>
                <w:szCs w:val="18"/>
                <w14:ligatures w14:val="none"/>
              </w:rPr>
              <w:t>ed</w:t>
            </w:r>
            <w:r w:rsidRPr="004107F2">
              <w:rPr>
                <w:rFonts w:ascii="Arial" w:eastAsia="等线" w:hAnsi="Arial" w:cs="Arial"/>
                <w:kern w:val="0"/>
                <w:sz w:val="18"/>
                <w:szCs w:val="18"/>
                <w14:ligatures w14:val="none"/>
              </w:rPr>
              <w:t xml:space="preserve"> in Fig.1.</w:t>
            </w:r>
          </w:p>
        </w:tc>
      </w:tr>
    </w:tbl>
    <w:p w14:paraId="17CDC164" w14:textId="77777777" w:rsidR="008C3BE4" w:rsidRPr="004107F2" w:rsidRDefault="008C3BE4" w:rsidP="00131AED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78"/>
        <w:gridCol w:w="3858"/>
        <w:gridCol w:w="3646"/>
        <w:gridCol w:w="1376"/>
      </w:tblGrid>
      <w:tr w:rsidR="004107F2" w:rsidRPr="004107F2" w14:paraId="25260AFF" w14:textId="77777777" w:rsidTr="009F67A7">
        <w:trPr>
          <w:trHeight w:val="30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CFAE" w14:textId="77777777" w:rsidR="009F67A7" w:rsidRPr="004107F2" w:rsidRDefault="009F67A7" w:rsidP="009F67A7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kern w:val="0"/>
                <w:sz w:val="24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24"/>
                <w14:ligatures w14:val="none"/>
              </w:rPr>
              <w:lastRenderedPageBreak/>
              <w:t>Supplementary Table S3 Comparison of clinical characteristics and treatment outcomes stratified by diagnostic delay duration</w:t>
            </w:r>
          </w:p>
        </w:tc>
      </w:tr>
      <w:tr w:rsidR="004107F2" w:rsidRPr="004107F2" w14:paraId="5EC7BC54" w14:textId="77777777" w:rsidTr="009F67A7">
        <w:trPr>
          <w:trHeight w:val="698"/>
        </w:trPr>
        <w:tc>
          <w:tcPr>
            <w:tcW w:w="181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F80A8BC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138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5D614CE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Delay &lt;=19 years (n=7)</w:t>
            </w: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0E8FAE0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Delay &gt;19 years (n=6)</w:t>
            </w:r>
          </w:p>
        </w:tc>
        <w:tc>
          <w:tcPr>
            <w:tcW w:w="49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4ED4DA0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i/>
                <w:iCs/>
                <w:kern w:val="0"/>
                <w:szCs w:val="22"/>
                <w14:ligatures w14:val="none"/>
              </w:rPr>
              <w:t>P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-value</w:t>
            </w:r>
          </w:p>
        </w:tc>
      </w:tr>
      <w:tr w:rsidR="004107F2" w:rsidRPr="004107F2" w14:paraId="150E1485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0CE1D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Clinical Manifestations, n (%)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00214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CA768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F416E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107F2" w:rsidRPr="004107F2" w14:paraId="71ABE4AF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5F9F2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Fever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2ABA2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4 (57.1%)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F1CDA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4 (66.7%)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2971D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5D1B3CE3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113C5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Skin rash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052B2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(85.7%)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1403F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(100%)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A7299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25885D4E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BA881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Joint deformity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C471C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(71.4%)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0ECE3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(83.3%)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CBA01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3FC36517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041DD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Vision loss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B4E5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(71.4%)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7878A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(100%)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78483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0.4615</w:t>
            </w:r>
          </w:p>
        </w:tc>
      </w:tr>
      <w:tr w:rsidR="004107F2" w:rsidRPr="004107F2" w14:paraId="0EC2D4D4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9F27B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Blindness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82B55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1 (14.3%)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31CC3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 (50%)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37095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0.2657</w:t>
            </w:r>
          </w:p>
        </w:tc>
      </w:tr>
      <w:tr w:rsidR="004107F2" w:rsidRPr="004107F2" w14:paraId="7899B102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B948B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Treatment Outcomes, n (%)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75EF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18B4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3AB26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107F2" w:rsidRPr="004107F2" w14:paraId="4B56A302" w14:textId="77777777" w:rsidTr="009F67A7">
        <w:trPr>
          <w:trHeight w:val="30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8A29F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Complete Remission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38235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(85.7%)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6F9EE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(100%)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EEEA9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12065AD6" w14:textId="77777777" w:rsidTr="009F67A7">
        <w:trPr>
          <w:trHeight w:val="308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866DB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Relapse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EC550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 (42.9%)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45B2A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 (50%)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A3094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9F67A7" w:rsidRPr="004107F2" w14:paraId="1D3C0E90" w14:textId="77777777" w:rsidTr="009F67A7">
        <w:trPr>
          <w:trHeight w:val="698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8D778A5" w14:textId="77777777" w:rsidR="009F67A7" w:rsidRPr="004107F2" w:rsidRDefault="009F67A7" w:rsidP="009F67A7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Data are presented as number (percentage).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br/>
            </w:r>
            <w:r w:rsidRPr="004107F2">
              <w:rPr>
                <w:rFonts w:ascii="Arial" w:eastAsia="等线" w:hAnsi="Arial" w:cs="Arial"/>
                <w:i/>
                <w:iCs/>
                <w:kern w:val="0"/>
                <w:szCs w:val="22"/>
                <w14:ligatures w14:val="none"/>
              </w:rPr>
              <w:t>P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-values were calculated using Fisher’s exact test.</w:t>
            </w:r>
          </w:p>
        </w:tc>
      </w:tr>
    </w:tbl>
    <w:p w14:paraId="26E1D0A6" w14:textId="77777777" w:rsidR="008C3BE4" w:rsidRPr="004107F2" w:rsidRDefault="008C3BE4" w:rsidP="00131AED">
      <w:pPr>
        <w:rPr>
          <w:rFonts w:hint="eastAsia"/>
        </w:rPr>
      </w:pPr>
    </w:p>
    <w:p w14:paraId="7BF22522" w14:textId="77777777" w:rsidR="008C3BE4" w:rsidRPr="004107F2" w:rsidRDefault="008C3BE4" w:rsidP="00131AED">
      <w:pPr>
        <w:rPr>
          <w:rFonts w:hint="eastAsia"/>
        </w:rPr>
      </w:pPr>
    </w:p>
    <w:p w14:paraId="2A6DAE15" w14:textId="77777777" w:rsidR="00EB496D" w:rsidRPr="004107F2" w:rsidRDefault="00EB496D" w:rsidP="00131AED">
      <w:pPr>
        <w:rPr>
          <w:rFonts w:hint="eastAsia"/>
        </w:rPr>
      </w:pPr>
    </w:p>
    <w:p w14:paraId="69B2A167" w14:textId="77777777" w:rsidR="00EB496D" w:rsidRPr="004107F2" w:rsidRDefault="00EB496D" w:rsidP="00131AED">
      <w:pPr>
        <w:rPr>
          <w:rFonts w:hint="eastAsia"/>
        </w:rPr>
      </w:pPr>
    </w:p>
    <w:p w14:paraId="2969A8F0" w14:textId="77777777" w:rsidR="00EB496D" w:rsidRPr="004107F2" w:rsidRDefault="00EB496D" w:rsidP="00131AED">
      <w:pPr>
        <w:rPr>
          <w:rFonts w:hint="eastAsia"/>
        </w:rPr>
      </w:pPr>
    </w:p>
    <w:p w14:paraId="134EE6F3" w14:textId="77777777" w:rsidR="00EB496D" w:rsidRPr="004107F2" w:rsidRDefault="00EB496D" w:rsidP="00131AED">
      <w:pPr>
        <w:rPr>
          <w:rFonts w:hint="eastAsia"/>
        </w:rPr>
      </w:pPr>
    </w:p>
    <w:p w14:paraId="1B746C58" w14:textId="77777777" w:rsidR="00EB496D" w:rsidRPr="004107F2" w:rsidRDefault="00EB496D" w:rsidP="00131AED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54"/>
        <w:gridCol w:w="3509"/>
        <w:gridCol w:w="3939"/>
        <w:gridCol w:w="1356"/>
      </w:tblGrid>
      <w:tr w:rsidR="004107F2" w:rsidRPr="004107F2" w14:paraId="4F551DC6" w14:textId="77777777" w:rsidTr="0026137C">
        <w:trPr>
          <w:trHeight w:val="30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C097" w14:textId="77777777" w:rsidR="00EB496D" w:rsidRPr="004107F2" w:rsidRDefault="00EB496D" w:rsidP="0026137C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kern w:val="0"/>
                <w:sz w:val="24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 w:val="24"/>
                <w14:ligatures w14:val="none"/>
              </w:rPr>
              <w:lastRenderedPageBreak/>
              <w:t>Supplementary Table S</w:t>
            </w:r>
            <w:r w:rsidRPr="004107F2">
              <w:rPr>
                <w:rFonts w:ascii="Arial" w:eastAsia="等线" w:hAnsi="Arial" w:cs="Arial" w:hint="eastAsia"/>
                <w:kern w:val="0"/>
                <w:sz w:val="24"/>
                <w14:ligatures w14:val="none"/>
              </w:rPr>
              <w:t>4</w:t>
            </w:r>
            <w:r w:rsidRPr="004107F2">
              <w:rPr>
                <w:rFonts w:ascii="Arial" w:eastAsia="等线" w:hAnsi="Arial" w:cs="Arial"/>
                <w:kern w:val="0"/>
                <w:sz w:val="24"/>
                <w14:ligatures w14:val="none"/>
              </w:rPr>
              <w:t xml:space="preserve"> Comparison of clinical characteristics and treatment outcomes between p.R334W carriers and non-R334W carriers</w:t>
            </w:r>
          </w:p>
        </w:tc>
      </w:tr>
      <w:tr w:rsidR="004107F2" w:rsidRPr="004107F2" w14:paraId="532921E8" w14:textId="77777777" w:rsidTr="0026137C">
        <w:trPr>
          <w:trHeight w:val="315"/>
        </w:trPr>
        <w:tc>
          <w:tcPr>
            <w:tcW w:w="184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F640242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AB762D7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p.R334W Carriers (n=6)</w:t>
            </w:r>
          </w:p>
        </w:tc>
        <w:tc>
          <w:tcPr>
            <w:tcW w:w="141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85782CF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Non-R334W Carriers (n=7)</w:t>
            </w:r>
          </w:p>
        </w:tc>
        <w:tc>
          <w:tcPr>
            <w:tcW w:w="48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0421B97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i/>
                <w:iCs/>
                <w:kern w:val="0"/>
                <w:szCs w:val="22"/>
                <w14:ligatures w14:val="none"/>
              </w:rPr>
              <w:t>P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-value</w:t>
            </w:r>
          </w:p>
        </w:tc>
      </w:tr>
      <w:tr w:rsidR="004107F2" w:rsidRPr="004107F2" w14:paraId="261FF368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6A801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Demographics &amp; Disease Course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82FB0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A608E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71DD3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107F2" w:rsidRPr="004107F2" w14:paraId="00A0BC3F" w14:textId="77777777" w:rsidTr="0026137C">
        <w:trPr>
          <w:trHeight w:val="308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9A8C2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Age of onset, median, years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BFB5B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6CCF1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10F33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0.4563</w:t>
            </w:r>
            <w:r w:rsidRPr="004107F2">
              <w:rPr>
                <w:rFonts w:ascii="Arial" w:eastAsia="等线" w:hAnsi="Arial" w:cs="Arial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4107F2" w:rsidRPr="004107F2" w14:paraId="64B2DB7D" w14:textId="77777777" w:rsidTr="0026137C">
        <w:trPr>
          <w:trHeight w:val="308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27084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Age at diagnosis, median, years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34832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22.5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58177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48583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0.9755</w:t>
            </w:r>
            <w:r w:rsidRPr="004107F2">
              <w:rPr>
                <w:rFonts w:ascii="Arial" w:eastAsia="等线" w:hAnsi="Arial" w:cs="Arial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4107F2" w:rsidRPr="004107F2" w14:paraId="1E12870A" w14:textId="77777777" w:rsidTr="0026137C">
        <w:trPr>
          <w:trHeight w:val="308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B2FA4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Diagnostic delay, median, years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F6944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19.5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62281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68FAD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  <w:r w:rsidRPr="004107F2">
              <w:rPr>
                <w:rFonts w:ascii="Arial" w:eastAsia="等线" w:hAnsi="Arial" w:cs="Arial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4107F2" w:rsidRPr="004107F2" w14:paraId="2CA67031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33E09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Clinical Manifestations, n (%)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FA9FA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892F8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B01F2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107F2" w:rsidRPr="004107F2" w14:paraId="057F5BBF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AC206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Fever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218D3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2 (33.3%)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F3CC8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(85.7%)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B8E50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0.1026</w:t>
            </w:r>
          </w:p>
        </w:tc>
      </w:tr>
      <w:tr w:rsidR="004107F2" w:rsidRPr="004107F2" w14:paraId="74480994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F6936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Skin rash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3E048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(100%)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015AF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(85.7%)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C97CB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68AE5BCC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473DF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Arthralgia/Arthritis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DE449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(100%)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BC026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7 (100%)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766C4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2E003346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47ED9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Joint deformity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3073A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(83.3%)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8FEFC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(71.4%)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AC4E4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2FA52E0D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BD31A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Vision loss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E8202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(83.3%)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E6058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6 (85.7%)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2CCBC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4107F2" w:rsidRPr="004107F2" w14:paraId="4C9BD188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475D2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Blindness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8F5F8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 (50%)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10E87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1 (14.3%)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705F2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0.2657</w:t>
            </w:r>
          </w:p>
        </w:tc>
      </w:tr>
      <w:tr w:rsidR="004107F2" w:rsidRPr="004107F2" w14:paraId="4971E32C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2263A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  <w:t>Treatment Outcomes, n (%)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12E0E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07E4A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9C75C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107F2" w:rsidRPr="004107F2" w14:paraId="203A0EE2" w14:textId="77777777" w:rsidTr="0026137C">
        <w:trPr>
          <w:trHeight w:val="300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4E527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Complete Remission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7DEA9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5 (83.3%)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5DCE6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7 (100%)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845C9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0.4615</w:t>
            </w:r>
          </w:p>
        </w:tc>
      </w:tr>
      <w:tr w:rsidR="004107F2" w:rsidRPr="004107F2" w14:paraId="54A036CB" w14:textId="77777777" w:rsidTr="0026137C">
        <w:trPr>
          <w:trHeight w:val="308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9A5ED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Relapse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F6D49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 (50%)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04A7C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3 (42.9%)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63D08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&gt;0.9999</w:t>
            </w:r>
          </w:p>
        </w:tc>
      </w:tr>
      <w:tr w:rsidR="00EB496D" w:rsidRPr="004107F2" w14:paraId="6BA78D4E" w14:textId="77777777" w:rsidTr="0026137C">
        <w:trPr>
          <w:trHeight w:val="983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162F040" w14:textId="77777777" w:rsidR="00EB496D" w:rsidRPr="004107F2" w:rsidRDefault="00EB496D" w:rsidP="0026137C">
            <w:pPr>
              <w:widowControl/>
              <w:spacing w:after="0" w:line="240" w:lineRule="auto"/>
              <w:rPr>
                <w:rFonts w:ascii="Arial" w:eastAsia="等线" w:hAnsi="Arial" w:cs="Arial"/>
                <w:kern w:val="0"/>
                <w:szCs w:val="22"/>
                <w14:ligatures w14:val="none"/>
              </w:rPr>
            </w:pP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Data are presented as median or number (percentage).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br/>
              <w:t xml:space="preserve">a, </w:t>
            </w:r>
            <w:r w:rsidRPr="004107F2">
              <w:rPr>
                <w:rFonts w:ascii="Arial" w:eastAsia="等线" w:hAnsi="Arial" w:cs="Arial"/>
                <w:i/>
                <w:iCs/>
                <w:kern w:val="0"/>
                <w:szCs w:val="22"/>
                <w14:ligatures w14:val="none"/>
              </w:rPr>
              <w:t>P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-values were calculated using the Mann-Whitney U test.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br/>
              <w:t xml:space="preserve">All other </w:t>
            </w:r>
            <w:r w:rsidRPr="004107F2">
              <w:rPr>
                <w:rFonts w:ascii="Arial" w:eastAsia="等线" w:hAnsi="Arial" w:cs="Arial"/>
                <w:i/>
                <w:iCs/>
                <w:kern w:val="0"/>
                <w:szCs w:val="22"/>
                <w14:ligatures w14:val="none"/>
              </w:rPr>
              <w:t>P</w:t>
            </w:r>
            <w:r w:rsidRPr="004107F2">
              <w:rPr>
                <w:rFonts w:ascii="Arial" w:eastAsia="等线" w:hAnsi="Arial" w:cs="Arial"/>
                <w:kern w:val="0"/>
                <w:szCs w:val="22"/>
                <w14:ligatures w14:val="none"/>
              </w:rPr>
              <w:t>-values were calculated using Fisher’s exact test.</w:t>
            </w:r>
          </w:p>
        </w:tc>
      </w:tr>
    </w:tbl>
    <w:p w14:paraId="61EEC37D" w14:textId="77777777" w:rsidR="00EB496D" w:rsidRPr="004107F2" w:rsidRDefault="00EB496D" w:rsidP="00131AED">
      <w:pPr>
        <w:rPr>
          <w:rFonts w:hint="eastAsia"/>
        </w:rPr>
      </w:pPr>
    </w:p>
    <w:p w14:paraId="5009E32B" w14:textId="77777777" w:rsidR="00EB496D" w:rsidRPr="004107F2" w:rsidRDefault="00EB496D" w:rsidP="00131AED">
      <w:pPr>
        <w:rPr>
          <w:rFonts w:hint="eastAsia"/>
        </w:rPr>
      </w:pPr>
    </w:p>
    <w:sectPr w:rsidR="00EB496D" w:rsidRPr="004107F2" w:rsidSect="009A61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5E245" w14:textId="77777777" w:rsidR="00852F57" w:rsidRDefault="00852F57" w:rsidP="00F67D4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F82513" w14:textId="77777777" w:rsidR="00852F57" w:rsidRDefault="00852F57" w:rsidP="00F67D4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8878" w14:textId="77777777" w:rsidR="00852F57" w:rsidRDefault="00852F57" w:rsidP="00F67D4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E79CCC2" w14:textId="77777777" w:rsidR="00852F57" w:rsidRDefault="00852F57" w:rsidP="00F67D4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E"/>
    <w:rsid w:val="000E7860"/>
    <w:rsid w:val="00131AED"/>
    <w:rsid w:val="001A191A"/>
    <w:rsid w:val="00284D88"/>
    <w:rsid w:val="002E475D"/>
    <w:rsid w:val="003431BA"/>
    <w:rsid w:val="003B286B"/>
    <w:rsid w:val="004107F2"/>
    <w:rsid w:val="0041443F"/>
    <w:rsid w:val="00467985"/>
    <w:rsid w:val="005C0DF3"/>
    <w:rsid w:val="00604F50"/>
    <w:rsid w:val="00675B1B"/>
    <w:rsid w:val="006B78E1"/>
    <w:rsid w:val="006D3BCE"/>
    <w:rsid w:val="00852F57"/>
    <w:rsid w:val="008A43E3"/>
    <w:rsid w:val="008C3BE4"/>
    <w:rsid w:val="008E7C30"/>
    <w:rsid w:val="009A61C8"/>
    <w:rsid w:val="009F67A7"/>
    <w:rsid w:val="00AB4407"/>
    <w:rsid w:val="00C16964"/>
    <w:rsid w:val="00C75DC8"/>
    <w:rsid w:val="00C87896"/>
    <w:rsid w:val="00CD374E"/>
    <w:rsid w:val="00D066C0"/>
    <w:rsid w:val="00DF5F07"/>
    <w:rsid w:val="00EB496D"/>
    <w:rsid w:val="00EF70EF"/>
    <w:rsid w:val="00F67D48"/>
    <w:rsid w:val="00FB55B2"/>
    <w:rsid w:val="00FB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FEBD7"/>
  <w15:chartTrackingRefBased/>
  <w15:docId w15:val="{0DB41E2E-486B-458C-935E-B5BF50BF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3B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B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BC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BC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BC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BC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BC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BC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BC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3B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3B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3BC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3BC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D3BC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3B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3B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3B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3BC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B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3B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3B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B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3B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3B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3B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3BC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67D4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67D4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67D4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67D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94800-0802-4B21-AE16-9AB5EAC4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4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婧元 张</dc:creator>
  <cp:keywords/>
  <dc:description/>
  <cp:lastModifiedBy>婧元 张</cp:lastModifiedBy>
  <cp:revision>18</cp:revision>
  <dcterms:created xsi:type="dcterms:W3CDTF">2026-01-03T08:09:00Z</dcterms:created>
  <dcterms:modified xsi:type="dcterms:W3CDTF">2026-01-08T07:26:00Z</dcterms:modified>
</cp:coreProperties>
</file>