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E1C44" w14:textId="77777777" w:rsidR="00E40FCB" w:rsidRPr="0066482D" w:rsidRDefault="00E40FCB" w:rsidP="00E40FCB">
      <w:pPr>
        <w:rPr>
          <w:rFonts w:ascii="Arial" w:hAnsi="Arial" w:cs="Arial"/>
          <w:sz w:val="28"/>
          <w:szCs w:val="28"/>
        </w:rPr>
      </w:pPr>
      <w:r w:rsidRPr="0066482D">
        <w:rPr>
          <w:rFonts w:ascii="Arial" w:hAnsi="Arial" w:cs="Arial"/>
          <w:sz w:val="28"/>
          <w:szCs w:val="28"/>
        </w:rPr>
        <w:t>Supplementary material</w:t>
      </w:r>
    </w:p>
    <w:p w14:paraId="7DAF4DD7" w14:textId="77777777" w:rsidR="00E40FCB" w:rsidRPr="0066482D" w:rsidRDefault="00E40FCB" w:rsidP="00E40FCB">
      <w:pPr>
        <w:rPr>
          <w:rFonts w:ascii="Arial" w:hAnsi="Arial" w:cs="Arial"/>
          <w:sz w:val="24"/>
          <w:szCs w:val="24"/>
        </w:rPr>
      </w:pPr>
      <w:r w:rsidRPr="0066482D">
        <w:rPr>
          <w:rFonts w:ascii="Arial" w:hAnsi="Arial" w:cs="Arial"/>
          <w:b/>
          <w:bCs/>
        </w:rPr>
        <w:t xml:space="preserve">Supplementary Data 1. </w:t>
      </w:r>
    </w:p>
    <w:p w14:paraId="494A3BF3" w14:textId="77777777" w:rsidR="00E40FCB" w:rsidRPr="0066482D" w:rsidRDefault="00E40FCB" w:rsidP="00E40FCB">
      <w:pPr>
        <w:pStyle w:val="PargrafodaLista"/>
        <w:numPr>
          <w:ilvl w:val="0"/>
          <w:numId w:val="1"/>
        </w:numPr>
        <w:jc w:val="both"/>
        <w:rPr>
          <w:rFonts w:ascii="Arial" w:hAnsi="Arial" w:cs="Arial"/>
          <w:b/>
          <w:bCs/>
          <w:sz w:val="24"/>
          <w:szCs w:val="24"/>
        </w:rPr>
      </w:pPr>
      <w:r w:rsidRPr="0066482D">
        <w:rPr>
          <w:rFonts w:ascii="Arial" w:hAnsi="Arial" w:cs="Arial"/>
          <w:b/>
          <w:bCs/>
          <w:sz w:val="24"/>
          <w:szCs w:val="24"/>
        </w:rPr>
        <w:t>CINE-MRI</w:t>
      </w:r>
    </w:p>
    <w:p w14:paraId="3FEAA315" w14:textId="45A7F3C3" w:rsidR="00E40FCB" w:rsidRPr="0066482D" w:rsidRDefault="00E40FCB" w:rsidP="00E40FCB">
      <w:pPr>
        <w:jc w:val="both"/>
        <w:rPr>
          <w:rFonts w:ascii="Arial" w:hAnsi="Arial" w:cs="Arial"/>
          <w:sz w:val="24"/>
          <w:szCs w:val="24"/>
        </w:rPr>
      </w:pPr>
      <w:r w:rsidRPr="0066482D">
        <w:rPr>
          <w:rFonts w:ascii="Arial" w:hAnsi="Arial" w:cs="Arial"/>
          <w:sz w:val="24"/>
          <w:szCs w:val="24"/>
        </w:rPr>
        <w:t xml:space="preserve">After a multiplanar localization sequence to define the cardiac axes, a steady state free precession (SSFP) CINE-MRI sequence was performed with breath-hold during expiration to assess the morphology and function in the short and long axes of the heart (two chambers, </w:t>
      </w:r>
      <w:r w:rsidR="00827568" w:rsidRPr="0066482D">
        <w:rPr>
          <w:rFonts w:ascii="Arial" w:hAnsi="Arial" w:cs="Arial"/>
          <w:sz w:val="24"/>
          <w:szCs w:val="24"/>
        </w:rPr>
        <w:t>left ventricular (</w:t>
      </w:r>
      <w:r w:rsidRPr="0066482D">
        <w:rPr>
          <w:rFonts w:ascii="Arial" w:hAnsi="Arial" w:cs="Arial"/>
          <w:sz w:val="24"/>
          <w:szCs w:val="24"/>
        </w:rPr>
        <w:t>LV</w:t>
      </w:r>
      <w:r w:rsidR="00827568" w:rsidRPr="0066482D">
        <w:rPr>
          <w:rFonts w:ascii="Arial" w:hAnsi="Arial" w:cs="Arial"/>
          <w:sz w:val="24"/>
          <w:szCs w:val="24"/>
        </w:rPr>
        <w:t>)</w:t>
      </w:r>
      <w:r w:rsidRPr="0066482D">
        <w:rPr>
          <w:rFonts w:ascii="Arial" w:hAnsi="Arial" w:cs="Arial"/>
          <w:sz w:val="24"/>
          <w:szCs w:val="24"/>
        </w:rPr>
        <w:t xml:space="preserve"> outflow tract, and four chambers).</w:t>
      </w:r>
    </w:p>
    <w:p w14:paraId="277F333F" w14:textId="77777777" w:rsidR="00E40FCB" w:rsidRPr="0066482D" w:rsidRDefault="00E40FCB" w:rsidP="00E40FCB">
      <w:pPr>
        <w:pStyle w:val="PargrafodaLista"/>
        <w:numPr>
          <w:ilvl w:val="0"/>
          <w:numId w:val="1"/>
        </w:numPr>
        <w:jc w:val="both"/>
        <w:rPr>
          <w:rFonts w:ascii="Arial" w:hAnsi="Arial" w:cs="Arial"/>
          <w:b/>
          <w:bCs/>
          <w:sz w:val="24"/>
          <w:szCs w:val="24"/>
        </w:rPr>
      </w:pPr>
      <w:r w:rsidRPr="0066482D">
        <w:rPr>
          <w:rFonts w:ascii="Arial" w:hAnsi="Arial" w:cs="Arial"/>
          <w:b/>
          <w:bCs/>
          <w:sz w:val="24"/>
          <w:szCs w:val="24"/>
        </w:rPr>
        <w:t>Perfusion Imaging</w:t>
      </w:r>
    </w:p>
    <w:p w14:paraId="55DDD0D3" w14:textId="15934B48" w:rsidR="00E40FCB" w:rsidRPr="0066482D" w:rsidRDefault="00E40FCB" w:rsidP="00E40FCB">
      <w:pPr>
        <w:jc w:val="both"/>
        <w:rPr>
          <w:rFonts w:ascii="Arial" w:hAnsi="Arial" w:cs="Arial"/>
          <w:sz w:val="24"/>
          <w:szCs w:val="24"/>
        </w:rPr>
      </w:pPr>
      <w:r w:rsidRPr="0066482D">
        <w:rPr>
          <w:rFonts w:ascii="Arial" w:hAnsi="Arial" w:cs="Arial"/>
          <w:sz w:val="24"/>
          <w:szCs w:val="24"/>
        </w:rPr>
        <w:t>Initially, a perfusion mask sequence was performed</w:t>
      </w:r>
      <w:r w:rsidR="00827568" w:rsidRPr="0066482D">
        <w:rPr>
          <w:rFonts w:ascii="Arial" w:hAnsi="Arial" w:cs="Arial"/>
          <w:sz w:val="24"/>
          <w:szCs w:val="24"/>
        </w:rPr>
        <w:t xml:space="preserve"> at rest</w:t>
      </w:r>
      <w:r w:rsidRPr="0066482D">
        <w:rPr>
          <w:rFonts w:ascii="Arial" w:hAnsi="Arial" w:cs="Arial"/>
          <w:sz w:val="24"/>
          <w:szCs w:val="24"/>
        </w:rPr>
        <w:t>. This sequence determined the 3 slices of the LV short axis (basal, middle, and apical) used for the arterial input fraction (AIF) and perfusion sequences at rest and after cold stress.</w:t>
      </w:r>
    </w:p>
    <w:p w14:paraId="39A11FCB" w14:textId="0E6FB283" w:rsidR="00E40FCB" w:rsidRPr="0066482D" w:rsidRDefault="00E40FCB" w:rsidP="00E40FCB">
      <w:pPr>
        <w:jc w:val="both"/>
        <w:rPr>
          <w:rFonts w:ascii="Arial" w:hAnsi="Arial" w:cs="Arial"/>
          <w:sz w:val="24"/>
          <w:szCs w:val="24"/>
        </w:rPr>
      </w:pPr>
      <w:r w:rsidRPr="0066482D">
        <w:rPr>
          <w:rFonts w:ascii="Arial" w:hAnsi="Arial" w:cs="Arial"/>
          <w:sz w:val="24"/>
          <w:szCs w:val="24"/>
        </w:rPr>
        <w:t xml:space="preserve">Subsequently, </w:t>
      </w:r>
      <w:r w:rsidR="00827568" w:rsidRPr="0066482D">
        <w:rPr>
          <w:rFonts w:ascii="Arial" w:hAnsi="Arial" w:cs="Arial"/>
          <w:sz w:val="24"/>
          <w:szCs w:val="24"/>
        </w:rPr>
        <w:t xml:space="preserve">sequence of </w:t>
      </w:r>
      <w:r w:rsidRPr="0066482D">
        <w:rPr>
          <w:rFonts w:ascii="Arial" w:hAnsi="Arial" w:cs="Arial"/>
          <w:sz w:val="24"/>
          <w:szCs w:val="24"/>
        </w:rPr>
        <w:t xml:space="preserve">AIF at was started. First, contrast was injected, followed by a bolus of 20mL of 0.9% saline </w:t>
      </w:r>
      <w:r w:rsidR="00827568" w:rsidRPr="0066482D">
        <w:rPr>
          <w:rFonts w:ascii="Arial" w:hAnsi="Arial" w:cs="Arial"/>
          <w:sz w:val="24"/>
          <w:szCs w:val="24"/>
        </w:rPr>
        <w:t xml:space="preserve">solution </w:t>
      </w:r>
      <w:r w:rsidRPr="0066482D">
        <w:rPr>
          <w:rFonts w:ascii="Arial" w:hAnsi="Arial" w:cs="Arial"/>
          <w:sz w:val="24"/>
          <w:szCs w:val="24"/>
        </w:rPr>
        <w:t xml:space="preserve">controlled by an injection pump. </w:t>
      </w:r>
      <w:r w:rsidR="00827568" w:rsidRPr="0066482D">
        <w:rPr>
          <w:rFonts w:ascii="Arial" w:hAnsi="Arial" w:cs="Arial"/>
          <w:sz w:val="24"/>
          <w:szCs w:val="24"/>
        </w:rPr>
        <w:t>I</w:t>
      </w:r>
      <w:r w:rsidRPr="0066482D">
        <w:rPr>
          <w:rFonts w:ascii="Arial" w:hAnsi="Arial" w:cs="Arial"/>
          <w:sz w:val="24"/>
          <w:szCs w:val="24"/>
        </w:rPr>
        <w:t>n the 3 pre</w:t>
      </w:r>
      <w:r w:rsidR="00827568" w:rsidRPr="0066482D">
        <w:rPr>
          <w:rFonts w:ascii="Arial" w:hAnsi="Arial" w:cs="Arial"/>
          <w:sz w:val="24"/>
          <w:szCs w:val="24"/>
        </w:rPr>
        <w:t>-</w:t>
      </w:r>
      <w:r w:rsidRPr="0066482D">
        <w:rPr>
          <w:rFonts w:ascii="Arial" w:hAnsi="Arial" w:cs="Arial"/>
          <w:sz w:val="24"/>
          <w:szCs w:val="24"/>
        </w:rPr>
        <w:t>determined LV s</w:t>
      </w:r>
      <w:r w:rsidR="00827568" w:rsidRPr="0066482D">
        <w:rPr>
          <w:rFonts w:ascii="Arial" w:hAnsi="Arial" w:cs="Arial"/>
          <w:sz w:val="24"/>
          <w:szCs w:val="24"/>
        </w:rPr>
        <w:t>ection</w:t>
      </w:r>
      <w:r w:rsidRPr="0066482D">
        <w:rPr>
          <w:rFonts w:ascii="Arial" w:hAnsi="Arial" w:cs="Arial"/>
          <w:sz w:val="24"/>
          <w:szCs w:val="24"/>
        </w:rPr>
        <w:t xml:space="preserve">s, images of </w:t>
      </w:r>
      <w:r w:rsidR="00827568" w:rsidRPr="0066482D">
        <w:rPr>
          <w:rFonts w:ascii="Arial" w:hAnsi="Arial" w:cs="Arial"/>
          <w:sz w:val="24"/>
          <w:szCs w:val="24"/>
        </w:rPr>
        <w:t xml:space="preserve">the passage of </w:t>
      </w:r>
      <w:r w:rsidRPr="0066482D">
        <w:rPr>
          <w:rFonts w:ascii="Arial" w:hAnsi="Arial" w:cs="Arial"/>
          <w:sz w:val="24"/>
          <w:szCs w:val="24"/>
        </w:rPr>
        <w:t xml:space="preserve">contrast through the LV until its washout were acquired. </w:t>
      </w:r>
      <w:r w:rsidR="00827568" w:rsidRPr="0066482D">
        <w:rPr>
          <w:rFonts w:ascii="Arial" w:hAnsi="Arial" w:cs="Arial"/>
          <w:sz w:val="24"/>
          <w:szCs w:val="24"/>
        </w:rPr>
        <w:t>Then</w:t>
      </w:r>
      <w:r w:rsidRPr="0066482D">
        <w:rPr>
          <w:rFonts w:ascii="Arial" w:hAnsi="Arial" w:cs="Arial"/>
          <w:sz w:val="24"/>
          <w:szCs w:val="24"/>
        </w:rPr>
        <w:t xml:space="preserve">, the same protocol was repeated for the </w:t>
      </w:r>
      <w:r w:rsidR="00827568" w:rsidRPr="0066482D">
        <w:rPr>
          <w:rFonts w:ascii="Arial" w:hAnsi="Arial" w:cs="Arial"/>
          <w:sz w:val="24"/>
          <w:szCs w:val="24"/>
        </w:rPr>
        <w:t xml:space="preserve">rest </w:t>
      </w:r>
      <w:r w:rsidRPr="0066482D">
        <w:rPr>
          <w:rFonts w:ascii="Arial" w:hAnsi="Arial" w:cs="Arial"/>
          <w:sz w:val="24"/>
          <w:szCs w:val="24"/>
        </w:rPr>
        <w:t>perfusion sequence. The dose of contrast for the AIF sequence was 1mL of Gadovist, and the perfusion at rest sequence was adjusted according to the patient's weight (0.15mL/Kg). There was a 3-minute pause between the acquisition of the two sequences to allow better contrast washout.</w:t>
      </w:r>
    </w:p>
    <w:p w14:paraId="754D9339" w14:textId="4B488945" w:rsidR="00E40FCB" w:rsidRPr="0066482D" w:rsidRDefault="00E40FCB" w:rsidP="00E40FCB">
      <w:pPr>
        <w:jc w:val="both"/>
        <w:rPr>
          <w:rFonts w:ascii="Arial" w:hAnsi="Arial" w:cs="Arial"/>
          <w:sz w:val="24"/>
          <w:szCs w:val="24"/>
        </w:rPr>
      </w:pPr>
      <w:r w:rsidRPr="0066482D">
        <w:rPr>
          <w:rFonts w:ascii="Arial" w:hAnsi="Arial" w:cs="Arial"/>
          <w:sz w:val="24"/>
          <w:szCs w:val="24"/>
        </w:rPr>
        <w:t>Cold stress was then applied by immersing the hand and wrist in a container of water at a temperature of 10</w:t>
      </w:r>
      <w:proofErr w:type="gramStart"/>
      <w:r w:rsidR="00827568" w:rsidRPr="0066482D">
        <w:rPr>
          <w:rFonts w:ascii="Arial" w:hAnsi="Arial" w:cs="Arial"/>
          <w:noProof w:val="0"/>
          <w:sz w:val="24"/>
          <w:szCs w:val="24"/>
        </w:rPr>
        <w:t xml:space="preserve">° </w:t>
      </w:r>
      <w:r w:rsidRPr="0066482D">
        <w:rPr>
          <w:rFonts w:ascii="Arial" w:hAnsi="Arial" w:cs="Arial"/>
          <w:sz w:val="24"/>
          <w:szCs w:val="24"/>
        </w:rPr>
        <w:t xml:space="preserve"> ±</w:t>
      </w:r>
      <w:proofErr w:type="gramEnd"/>
      <w:r w:rsidRPr="0066482D">
        <w:rPr>
          <w:rFonts w:ascii="Arial" w:hAnsi="Arial" w:cs="Arial"/>
          <w:sz w:val="24"/>
          <w:szCs w:val="24"/>
        </w:rPr>
        <w:t xml:space="preserve"> 2</w:t>
      </w:r>
      <w:r w:rsidR="00827568" w:rsidRPr="0066482D">
        <w:rPr>
          <w:rFonts w:ascii="Arial" w:hAnsi="Arial" w:cs="Arial"/>
          <w:sz w:val="24"/>
          <w:szCs w:val="24"/>
        </w:rPr>
        <w:t xml:space="preserve"> </w:t>
      </w:r>
      <w:r w:rsidR="00827568" w:rsidRPr="0066482D">
        <w:rPr>
          <w:rFonts w:ascii="Arial" w:hAnsi="Arial" w:cs="Arial"/>
          <w:noProof w:val="0"/>
          <w:sz w:val="24"/>
          <w:szCs w:val="24"/>
        </w:rPr>
        <w:t>°</w:t>
      </w:r>
      <w:r w:rsidRPr="0066482D">
        <w:rPr>
          <w:rFonts w:ascii="Arial" w:hAnsi="Arial" w:cs="Arial"/>
          <w:sz w:val="24"/>
          <w:szCs w:val="24"/>
        </w:rPr>
        <w:t>C for 3 minutes, and then the stress AIF and stress perfusion sequences were acquired using the same protocol as the images at rest.</w:t>
      </w:r>
    </w:p>
    <w:p w14:paraId="3C15E1CD" w14:textId="77777777" w:rsidR="00E40FCB" w:rsidRPr="0066482D" w:rsidRDefault="00E40FCB" w:rsidP="00E40FCB">
      <w:pPr>
        <w:pStyle w:val="PargrafodaLista"/>
        <w:numPr>
          <w:ilvl w:val="0"/>
          <w:numId w:val="1"/>
        </w:numPr>
        <w:jc w:val="both"/>
        <w:rPr>
          <w:rFonts w:ascii="Arial" w:hAnsi="Arial" w:cs="Arial"/>
          <w:b/>
          <w:bCs/>
          <w:sz w:val="24"/>
          <w:szCs w:val="24"/>
        </w:rPr>
      </w:pPr>
      <w:r w:rsidRPr="0066482D">
        <w:rPr>
          <w:rFonts w:ascii="Arial" w:hAnsi="Arial" w:cs="Arial"/>
          <w:b/>
          <w:bCs/>
          <w:sz w:val="24"/>
          <w:szCs w:val="24"/>
        </w:rPr>
        <w:t>Late gadolinium enhancement sequence</w:t>
      </w:r>
    </w:p>
    <w:p w14:paraId="2E84451F" w14:textId="3CD59300" w:rsidR="00E40FCB" w:rsidRPr="0066482D" w:rsidRDefault="00E40FCB" w:rsidP="00E40FCB">
      <w:pPr>
        <w:jc w:val="both"/>
        <w:rPr>
          <w:rFonts w:ascii="Arial" w:hAnsi="Arial" w:cs="Arial"/>
          <w:sz w:val="24"/>
          <w:szCs w:val="24"/>
        </w:rPr>
      </w:pPr>
      <w:r w:rsidRPr="0066482D">
        <w:rPr>
          <w:rFonts w:ascii="Arial" w:hAnsi="Arial" w:cs="Arial"/>
          <w:sz w:val="24"/>
          <w:szCs w:val="24"/>
        </w:rPr>
        <w:t>The last stage of image acquisition consisted of the high-resolution phase-sensitive inversion recovery</w:t>
      </w:r>
      <w:r w:rsidR="00B60410" w:rsidRPr="0066482D">
        <w:rPr>
          <w:rFonts w:ascii="Arial" w:hAnsi="Arial" w:cs="Arial"/>
          <w:sz w:val="24"/>
          <w:szCs w:val="24"/>
        </w:rPr>
        <w:t xml:space="preserve"> (PSIR</w:t>
      </w:r>
      <w:r w:rsidRPr="0066482D">
        <w:rPr>
          <w:rFonts w:ascii="Arial" w:hAnsi="Arial" w:cs="Arial"/>
          <w:sz w:val="24"/>
          <w:szCs w:val="24"/>
        </w:rPr>
        <w:t xml:space="preserve">) delayed enhancement sequence. This sequence was started 5 minutes after the injection of </w:t>
      </w:r>
      <w:r w:rsidR="00B60410" w:rsidRPr="0066482D">
        <w:rPr>
          <w:rFonts w:ascii="Arial" w:hAnsi="Arial" w:cs="Arial"/>
          <w:sz w:val="24"/>
          <w:szCs w:val="24"/>
        </w:rPr>
        <w:t xml:space="preserve">the </w:t>
      </w:r>
      <w:r w:rsidRPr="0066482D">
        <w:rPr>
          <w:rFonts w:ascii="Arial" w:hAnsi="Arial" w:cs="Arial"/>
          <w:sz w:val="24"/>
          <w:szCs w:val="24"/>
        </w:rPr>
        <w:t xml:space="preserve">contrast used </w:t>
      </w:r>
      <w:r w:rsidR="00B60410" w:rsidRPr="0066482D">
        <w:rPr>
          <w:rFonts w:ascii="Arial" w:hAnsi="Arial" w:cs="Arial"/>
          <w:sz w:val="24"/>
          <w:szCs w:val="24"/>
        </w:rPr>
        <w:t>at</w:t>
      </w:r>
      <w:r w:rsidRPr="0066482D">
        <w:rPr>
          <w:rFonts w:ascii="Arial" w:hAnsi="Arial" w:cs="Arial"/>
          <w:sz w:val="24"/>
          <w:szCs w:val="24"/>
        </w:rPr>
        <w:t xml:space="preserve"> stress perfusion with cold stress.</w:t>
      </w:r>
    </w:p>
    <w:p w14:paraId="235C9353" w14:textId="77777777" w:rsidR="00E40FCB" w:rsidRPr="0066482D" w:rsidRDefault="00E40FCB" w:rsidP="00E40FCB">
      <w:pPr>
        <w:pStyle w:val="PargrafodaLista"/>
        <w:numPr>
          <w:ilvl w:val="0"/>
          <w:numId w:val="1"/>
        </w:numPr>
        <w:jc w:val="both"/>
        <w:rPr>
          <w:rFonts w:ascii="Arial" w:hAnsi="Arial" w:cs="Arial"/>
          <w:b/>
          <w:bCs/>
          <w:sz w:val="24"/>
          <w:szCs w:val="24"/>
        </w:rPr>
      </w:pPr>
      <w:r w:rsidRPr="0066482D">
        <w:rPr>
          <w:rFonts w:ascii="Arial" w:hAnsi="Arial" w:cs="Arial"/>
          <w:b/>
          <w:bCs/>
          <w:sz w:val="24"/>
          <w:szCs w:val="24"/>
        </w:rPr>
        <w:t>Post-processing</w:t>
      </w:r>
    </w:p>
    <w:p w14:paraId="318CA18F"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Morphology and function</w:t>
      </w:r>
    </w:p>
    <w:p w14:paraId="7B1EAC95" w14:textId="77777777" w:rsidR="00E40FCB" w:rsidRPr="0066482D" w:rsidRDefault="00E40FCB" w:rsidP="00E40FCB">
      <w:pPr>
        <w:jc w:val="both"/>
        <w:rPr>
          <w:rFonts w:ascii="Arial" w:hAnsi="Arial" w:cs="Arial"/>
          <w:sz w:val="24"/>
          <w:szCs w:val="24"/>
        </w:rPr>
      </w:pPr>
      <w:r w:rsidRPr="0066482D">
        <w:rPr>
          <w:rFonts w:ascii="Arial" w:hAnsi="Arial" w:cs="Arial"/>
          <w:sz w:val="24"/>
          <w:szCs w:val="24"/>
        </w:rPr>
        <w:t xml:space="preserve">The short-axis CINE-MRI images were used for morphological and functional analysis. Volume, mass, and function measurements were calculated using the CVI42 software. The papillary muscles were included as part of the heart cavity. The indexed measurements were calculated according to the body surface area derived from weight and height.  </w:t>
      </w:r>
    </w:p>
    <w:p w14:paraId="62CFD4D3"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LV and RV Strain</w:t>
      </w:r>
    </w:p>
    <w:p w14:paraId="5A2496DD" w14:textId="54441D32" w:rsidR="00E40FCB" w:rsidRPr="0066482D" w:rsidRDefault="00E40FCB" w:rsidP="00E40FCB">
      <w:pPr>
        <w:jc w:val="both"/>
        <w:rPr>
          <w:rFonts w:ascii="Arial" w:hAnsi="Arial" w:cs="Arial"/>
          <w:sz w:val="24"/>
          <w:szCs w:val="24"/>
        </w:rPr>
      </w:pPr>
      <w:r w:rsidRPr="0066482D">
        <w:rPr>
          <w:rFonts w:ascii="Arial" w:hAnsi="Arial" w:cs="Arial"/>
          <w:sz w:val="24"/>
          <w:szCs w:val="24"/>
        </w:rPr>
        <w:t xml:space="preserve">LV and RV strain were calculated from the CINE-MRI sequence images. When assessing LV strain, the endocardial and epicardial contours of all LV long-axis sections were marked. </w:t>
      </w:r>
      <w:r w:rsidR="00940ECB" w:rsidRPr="0066482D">
        <w:rPr>
          <w:rFonts w:ascii="Arial" w:hAnsi="Arial" w:cs="Arial"/>
          <w:sz w:val="24"/>
          <w:szCs w:val="24"/>
        </w:rPr>
        <w:t>The m</w:t>
      </w:r>
      <w:r w:rsidRPr="0066482D">
        <w:rPr>
          <w:rFonts w:ascii="Arial" w:hAnsi="Arial" w:cs="Arial"/>
          <w:sz w:val="24"/>
          <w:szCs w:val="24"/>
        </w:rPr>
        <w:t xml:space="preserve">arking of the contours was semi-automated </w:t>
      </w:r>
      <w:r w:rsidR="00940ECB" w:rsidRPr="0066482D">
        <w:rPr>
          <w:rFonts w:ascii="Arial" w:hAnsi="Arial" w:cs="Arial"/>
          <w:sz w:val="24"/>
          <w:szCs w:val="24"/>
        </w:rPr>
        <w:t>using</w:t>
      </w:r>
      <w:r w:rsidRPr="0066482D">
        <w:rPr>
          <w:rFonts w:ascii="Arial" w:hAnsi="Arial" w:cs="Arial"/>
          <w:sz w:val="24"/>
          <w:szCs w:val="24"/>
        </w:rPr>
        <w:t xml:space="preserve"> the CVI42 software with subsequent manual correction of the contours. The same </w:t>
      </w:r>
      <w:r w:rsidRPr="0066482D">
        <w:rPr>
          <w:rFonts w:ascii="Arial" w:hAnsi="Arial" w:cs="Arial"/>
          <w:sz w:val="24"/>
          <w:szCs w:val="24"/>
        </w:rPr>
        <w:lastRenderedPageBreak/>
        <w:t xml:space="preserve">software then calculated </w:t>
      </w:r>
      <w:r w:rsidR="00940ECB" w:rsidRPr="0066482D">
        <w:rPr>
          <w:rFonts w:ascii="Arial" w:hAnsi="Arial" w:cs="Arial"/>
          <w:sz w:val="24"/>
          <w:szCs w:val="24"/>
        </w:rPr>
        <w:t xml:space="preserve">the </w:t>
      </w:r>
      <w:r w:rsidRPr="0066482D">
        <w:rPr>
          <w:rFonts w:ascii="Arial" w:hAnsi="Arial" w:cs="Arial"/>
          <w:sz w:val="24"/>
          <w:szCs w:val="24"/>
        </w:rPr>
        <w:t xml:space="preserve">LV strain using the feature tracking method, with maximum diastole as the reference point in the cardiac cycle for calculating global LV longitudinal strain. The final GLS-LV result was provided in percentage values. The RV strain was also analyzed from the CINE-MRI sequence images. To assess RV strain, the endocardial contour was marked semi-automatically using the CVI42 software, with subsequent manual correction of the contours. The epicardial contour was marked manually. The software then calculated the RV strain using the feature tracking method, with maximum diastole as the reference point in the cardiac cycle for calculating RV strain. The RV-GLS result was recorded in percentage values. </w:t>
      </w:r>
    </w:p>
    <w:p w14:paraId="48BC91EC"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Cold-induced perfusion defects</w:t>
      </w:r>
    </w:p>
    <w:p w14:paraId="0536EB52" w14:textId="77777777" w:rsidR="00E40FCB" w:rsidRPr="0066482D" w:rsidRDefault="00E40FCB" w:rsidP="00E40FCB">
      <w:pPr>
        <w:jc w:val="both"/>
        <w:rPr>
          <w:rFonts w:ascii="Arial" w:hAnsi="Arial" w:cs="Arial"/>
          <w:sz w:val="24"/>
          <w:szCs w:val="24"/>
        </w:rPr>
      </w:pPr>
      <w:r w:rsidRPr="0066482D">
        <w:rPr>
          <w:rFonts w:ascii="Arial" w:hAnsi="Arial" w:cs="Arial"/>
          <w:sz w:val="24"/>
          <w:szCs w:val="24"/>
        </w:rPr>
        <w:t>Perfusion defects were defined as the presence of myocardial areas of contrast hypointensity during contrast passage.</w:t>
      </w:r>
    </w:p>
    <w:p w14:paraId="26EE6170"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Quantitative perfusion</w:t>
      </w:r>
    </w:p>
    <w:p w14:paraId="221CC574" w14:textId="77777777" w:rsidR="00E40FCB" w:rsidRPr="0066482D" w:rsidRDefault="00E40FCB" w:rsidP="00E40FCB">
      <w:pPr>
        <w:jc w:val="both"/>
        <w:rPr>
          <w:rFonts w:ascii="Arial" w:hAnsi="Arial" w:cs="Arial"/>
          <w:sz w:val="24"/>
          <w:szCs w:val="24"/>
        </w:rPr>
      </w:pPr>
      <w:r w:rsidRPr="0066482D">
        <w:rPr>
          <w:rFonts w:ascii="Arial" w:hAnsi="Arial" w:cs="Arial"/>
          <w:sz w:val="24"/>
          <w:szCs w:val="24"/>
        </w:rPr>
        <w:t>Initially, the CVI42 software semi-automatically marked the endocardial and epicardial contours of the 3 predetermined LV short-axis sections. When necessary, the markings on the LV short-axis sections were corrected manually. The software then calculated myocardial blood flow (MBF) at rest and stress. Both MBF results were displayed on polar maps with values for each of the 16 out of 17 cardiac segments in the AHA cardiac segmentation model (excluding the cardiac apex). The final MBF value at rest or stress was the mean MBF value of the 16 cardiac segments. Subsequently, the myocardial perfusion reserve (MPR), the ratio between stress MBF and rest MBF, was calculated.</w:t>
      </w:r>
    </w:p>
    <w:p w14:paraId="44CFBCB8"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Myocardial fibrosis</w:t>
      </w:r>
    </w:p>
    <w:p w14:paraId="7087C6EB" w14:textId="77777777" w:rsidR="00E40FCB" w:rsidRPr="0066482D" w:rsidRDefault="00E40FCB" w:rsidP="00E40FCB">
      <w:pPr>
        <w:jc w:val="both"/>
        <w:rPr>
          <w:rFonts w:ascii="Arial" w:hAnsi="Arial" w:cs="Arial"/>
          <w:sz w:val="24"/>
          <w:szCs w:val="24"/>
        </w:rPr>
      </w:pPr>
      <w:r w:rsidRPr="0066482D">
        <w:rPr>
          <w:rFonts w:ascii="Arial" w:hAnsi="Arial" w:cs="Arial"/>
          <w:sz w:val="24"/>
          <w:szCs w:val="24"/>
        </w:rPr>
        <w:t>Myocardial fibrosis was assessed by hypersignal in late gadolinium enhancement sequences where a non-ischemic epimesocardial or mesocardial pattern was observed.</w:t>
      </w:r>
    </w:p>
    <w:p w14:paraId="23E70AAD"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Volumetric and functional classification</w:t>
      </w:r>
    </w:p>
    <w:p w14:paraId="71915880" w14:textId="123F9AA0" w:rsidR="00E40FCB" w:rsidRPr="0066482D" w:rsidRDefault="00E40FCB" w:rsidP="00E40FCB">
      <w:pPr>
        <w:jc w:val="both"/>
        <w:rPr>
          <w:rFonts w:ascii="Arial" w:hAnsi="Arial" w:cs="Arial"/>
          <w:sz w:val="24"/>
          <w:szCs w:val="24"/>
        </w:rPr>
      </w:pPr>
      <w:r w:rsidRPr="0066482D">
        <w:rPr>
          <w:rFonts w:ascii="Arial" w:hAnsi="Arial" w:cs="Arial"/>
          <w:sz w:val="24"/>
          <w:szCs w:val="24"/>
        </w:rPr>
        <w:t>The values of indexed RV end-diastolic volume, indexed RV end-systolic volume, indexed LV end-systolic volume, indexed LV end-diastolic volume, and LV ejection fraction were used to classify SSc patients into 5 volumetric and functional phenotypes: normal function and</w:t>
      </w:r>
      <w:r w:rsidR="00940ECB" w:rsidRPr="0066482D">
        <w:rPr>
          <w:rFonts w:ascii="Arial" w:hAnsi="Arial" w:cs="Arial"/>
          <w:sz w:val="24"/>
          <w:szCs w:val="24"/>
        </w:rPr>
        <w:t xml:space="preserve"> a</w:t>
      </w:r>
      <w:r w:rsidRPr="0066482D">
        <w:rPr>
          <w:rFonts w:ascii="Arial" w:hAnsi="Arial" w:cs="Arial"/>
          <w:sz w:val="24"/>
          <w:szCs w:val="24"/>
        </w:rPr>
        <w:t xml:space="preserve"> small cavity, normal function and </w:t>
      </w:r>
      <w:r w:rsidR="00940ECB" w:rsidRPr="0066482D">
        <w:rPr>
          <w:rFonts w:ascii="Arial" w:hAnsi="Arial" w:cs="Arial"/>
          <w:sz w:val="24"/>
          <w:szCs w:val="24"/>
        </w:rPr>
        <w:t xml:space="preserve">a </w:t>
      </w:r>
      <w:r w:rsidRPr="0066482D">
        <w:rPr>
          <w:rFonts w:ascii="Arial" w:hAnsi="Arial" w:cs="Arial"/>
          <w:sz w:val="24"/>
          <w:szCs w:val="24"/>
        </w:rPr>
        <w:t xml:space="preserve">medium cavity, normal function and </w:t>
      </w:r>
      <w:r w:rsidR="00940ECB" w:rsidRPr="0066482D">
        <w:rPr>
          <w:rFonts w:ascii="Arial" w:hAnsi="Arial" w:cs="Arial"/>
          <w:sz w:val="24"/>
          <w:szCs w:val="24"/>
        </w:rPr>
        <w:t xml:space="preserve">a </w:t>
      </w:r>
      <w:r w:rsidRPr="0066482D">
        <w:rPr>
          <w:rFonts w:ascii="Arial" w:hAnsi="Arial" w:cs="Arial"/>
          <w:sz w:val="24"/>
          <w:szCs w:val="24"/>
        </w:rPr>
        <w:t>large cavity, biventricular failure, and right ventricular failure, according to the flowchart proposed in the study by Knight et al.</w:t>
      </w:r>
    </w:p>
    <w:p w14:paraId="6FFD158B" w14:textId="77777777" w:rsidR="00E40FCB" w:rsidRPr="0066482D" w:rsidRDefault="00E40FCB" w:rsidP="00E40FCB">
      <w:pPr>
        <w:pStyle w:val="PargrafodaLista"/>
        <w:numPr>
          <w:ilvl w:val="1"/>
          <w:numId w:val="1"/>
        </w:numPr>
        <w:jc w:val="both"/>
        <w:rPr>
          <w:rFonts w:ascii="Arial" w:hAnsi="Arial" w:cs="Arial"/>
          <w:b/>
          <w:bCs/>
          <w:sz w:val="24"/>
          <w:szCs w:val="24"/>
        </w:rPr>
      </w:pPr>
      <w:r w:rsidRPr="0066482D">
        <w:rPr>
          <w:rFonts w:ascii="Arial" w:hAnsi="Arial" w:cs="Arial"/>
          <w:b/>
          <w:bCs/>
          <w:sz w:val="24"/>
          <w:szCs w:val="24"/>
        </w:rPr>
        <w:t>Pericardial involvement</w:t>
      </w:r>
    </w:p>
    <w:p w14:paraId="5B3056D4" w14:textId="77777777" w:rsidR="00E40FCB" w:rsidRPr="0066482D" w:rsidRDefault="00E40FCB" w:rsidP="00E40FCB">
      <w:pPr>
        <w:rPr>
          <w:rFonts w:ascii="Arial" w:hAnsi="Arial" w:cs="Arial"/>
          <w:sz w:val="24"/>
          <w:szCs w:val="24"/>
        </w:rPr>
      </w:pPr>
      <w:r w:rsidRPr="0066482D">
        <w:rPr>
          <w:rFonts w:ascii="Arial" w:hAnsi="Arial" w:cs="Arial"/>
          <w:sz w:val="24"/>
          <w:szCs w:val="24"/>
        </w:rPr>
        <w:t>Pericardial involvement was analyzed by visually identifying the presence of pericarditis and/or pericardial effusion. In the presence of pericardial effusion, it was measured and classified as laminar or mild pericardial effusion (up to 10 mm), moderate pericardial effusion (between 11-20 mm), or significant pericardial effusion (over 20 mm).</w:t>
      </w:r>
    </w:p>
    <w:p w14:paraId="687FDB0E" w14:textId="77777777" w:rsidR="00E40FCB" w:rsidRPr="0066482D" w:rsidRDefault="00E40FCB" w:rsidP="00E40FCB">
      <w:pPr>
        <w:rPr>
          <w:rFonts w:ascii="Arial" w:hAnsi="Arial" w:cs="Arial"/>
          <w:b/>
          <w:bCs/>
          <w:sz w:val="20"/>
          <w:szCs w:val="20"/>
        </w:rPr>
      </w:pPr>
    </w:p>
    <w:p w14:paraId="0C039256" w14:textId="77777777" w:rsidR="00E40FCB" w:rsidRPr="0066482D" w:rsidRDefault="00E40FCB" w:rsidP="00E40FCB">
      <w:pPr>
        <w:rPr>
          <w:rFonts w:ascii="Arial" w:hAnsi="Arial" w:cs="Arial"/>
          <w:sz w:val="20"/>
          <w:szCs w:val="20"/>
        </w:rPr>
      </w:pPr>
      <w:r w:rsidRPr="0066482D">
        <w:rPr>
          <w:rFonts w:ascii="Arial" w:hAnsi="Arial" w:cs="Arial"/>
          <w:b/>
          <w:bCs/>
          <w:sz w:val="20"/>
          <w:szCs w:val="20"/>
        </w:rPr>
        <w:lastRenderedPageBreak/>
        <w:t>Supplementary Table S1.</w:t>
      </w:r>
      <w:r w:rsidRPr="0066482D">
        <w:rPr>
          <w:rFonts w:ascii="Arial" w:hAnsi="Arial" w:cs="Arial"/>
          <w:sz w:val="20"/>
          <w:szCs w:val="20"/>
        </w:rPr>
        <w:t xml:space="preserve">  Cardiac magnetic resonance parameters for image acquisition</w:t>
      </w:r>
    </w:p>
    <w:tbl>
      <w:tblPr>
        <w:tblStyle w:val="Tabelacomgrade"/>
        <w:tblW w:w="75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2494"/>
        <w:gridCol w:w="1701"/>
        <w:gridCol w:w="1701"/>
        <w:gridCol w:w="1701"/>
      </w:tblGrid>
      <w:tr w:rsidR="00E40FCB" w:rsidRPr="0066482D" w14:paraId="7DA1AE62" w14:textId="77777777" w:rsidTr="00A53CF2">
        <w:trPr>
          <w:trHeight w:val="170"/>
          <w:jc w:val="center"/>
        </w:trPr>
        <w:tc>
          <w:tcPr>
            <w:tcW w:w="2494" w:type="dxa"/>
            <w:tcBorders>
              <w:top w:val="single" w:sz="4" w:space="0" w:color="auto"/>
              <w:bottom w:val="single" w:sz="4" w:space="0" w:color="auto"/>
            </w:tcBorders>
            <w:shd w:val="clear" w:color="auto" w:fill="FFFFFF" w:themeFill="background1"/>
            <w:vAlign w:val="center"/>
          </w:tcPr>
          <w:p w14:paraId="0011B674" w14:textId="77777777" w:rsidR="00E40FCB" w:rsidRPr="0066482D" w:rsidRDefault="00E40FCB" w:rsidP="00A53CF2">
            <w:pPr>
              <w:jc w:val="center"/>
              <w:rPr>
                <w:rFonts w:ascii="Arial" w:hAnsi="Arial" w:cs="Arial"/>
                <w:b/>
                <w:bCs/>
              </w:rPr>
            </w:pPr>
            <w:r w:rsidRPr="0066482D">
              <w:rPr>
                <w:rFonts w:ascii="Arial" w:hAnsi="Arial" w:cs="Arial"/>
                <w:b/>
                <w:bCs/>
              </w:rPr>
              <w:t>Parameters</w:t>
            </w:r>
          </w:p>
        </w:tc>
        <w:tc>
          <w:tcPr>
            <w:tcW w:w="1701" w:type="dxa"/>
            <w:tcBorders>
              <w:top w:val="single" w:sz="4" w:space="0" w:color="auto"/>
              <w:bottom w:val="single" w:sz="4" w:space="0" w:color="auto"/>
            </w:tcBorders>
            <w:shd w:val="clear" w:color="auto" w:fill="FFFFFF" w:themeFill="background1"/>
            <w:vAlign w:val="center"/>
          </w:tcPr>
          <w:p w14:paraId="42911F03" w14:textId="77777777" w:rsidR="00E40FCB" w:rsidRPr="0066482D" w:rsidRDefault="00E40FCB" w:rsidP="00A53CF2">
            <w:pPr>
              <w:jc w:val="center"/>
              <w:rPr>
                <w:rFonts w:ascii="Arial" w:hAnsi="Arial" w:cs="Arial"/>
                <w:b/>
                <w:bCs/>
              </w:rPr>
            </w:pPr>
            <w:r w:rsidRPr="0066482D">
              <w:rPr>
                <w:rFonts w:ascii="Arial" w:hAnsi="Arial" w:cs="Arial"/>
                <w:b/>
                <w:bCs/>
              </w:rPr>
              <w:t>CINE-MRI</w:t>
            </w:r>
          </w:p>
        </w:tc>
        <w:tc>
          <w:tcPr>
            <w:tcW w:w="1701" w:type="dxa"/>
            <w:tcBorders>
              <w:top w:val="single" w:sz="4" w:space="0" w:color="auto"/>
              <w:bottom w:val="single" w:sz="4" w:space="0" w:color="auto"/>
            </w:tcBorders>
            <w:shd w:val="clear" w:color="auto" w:fill="FFFFFF" w:themeFill="background1"/>
            <w:vAlign w:val="center"/>
          </w:tcPr>
          <w:p w14:paraId="545F89A3" w14:textId="77777777" w:rsidR="00E40FCB" w:rsidRPr="0066482D" w:rsidRDefault="00E40FCB" w:rsidP="00A53CF2">
            <w:pPr>
              <w:jc w:val="center"/>
              <w:rPr>
                <w:rFonts w:ascii="Arial" w:hAnsi="Arial" w:cs="Arial"/>
                <w:b/>
                <w:bCs/>
              </w:rPr>
            </w:pPr>
            <w:r w:rsidRPr="0066482D">
              <w:rPr>
                <w:rFonts w:ascii="Arial" w:hAnsi="Arial" w:cs="Arial"/>
                <w:b/>
                <w:bCs/>
              </w:rPr>
              <w:t>Quantitative perfusion</w:t>
            </w:r>
          </w:p>
        </w:tc>
        <w:tc>
          <w:tcPr>
            <w:tcW w:w="1701" w:type="dxa"/>
            <w:tcBorders>
              <w:top w:val="single" w:sz="4" w:space="0" w:color="auto"/>
              <w:bottom w:val="single" w:sz="4" w:space="0" w:color="auto"/>
            </w:tcBorders>
            <w:shd w:val="clear" w:color="auto" w:fill="FFFFFF" w:themeFill="background1"/>
            <w:vAlign w:val="center"/>
          </w:tcPr>
          <w:p w14:paraId="703007A1" w14:textId="77777777" w:rsidR="00E40FCB" w:rsidRPr="0066482D" w:rsidRDefault="00E40FCB" w:rsidP="00A53CF2">
            <w:pPr>
              <w:jc w:val="center"/>
              <w:rPr>
                <w:rFonts w:ascii="Arial" w:hAnsi="Arial" w:cs="Arial"/>
                <w:b/>
                <w:bCs/>
              </w:rPr>
            </w:pPr>
            <w:r w:rsidRPr="0066482D">
              <w:rPr>
                <w:rFonts w:ascii="Arial" w:hAnsi="Arial" w:cs="Arial"/>
                <w:b/>
                <w:bCs/>
              </w:rPr>
              <w:t>Late gadolinium enhancement</w:t>
            </w:r>
          </w:p>
        </w:tc>
      </w:tr>
      <w:tr w:rsidR="00E40FCB" w:rsidRPr="0066482D" w14:paraId="41BA7412" w14:textId="77777777" w:rsidTr="00A53CF2">
        <w:trPr>
          <w:trHeight w:val="170"/>
          <w:jc w:val="center"/>
        </w:trPr>
        <w:tc>
          <w:tcPr>
            <w:tcW w:w="2494" w:type="dxa"/>
            <w:tcBorders>
              <w:top w:val="single" w:sz="4" w:space="0" w:color="auto"/>
            </w:tcBorders>
            <w:shd w:val="clear" w:color="auto" w:fill="FFFFFF" w:themeFill="background1"/>
            <w:vAlign w:val="center"/>
          </w:tcPr>
          <w:p w14:paraId="3EABF264" w14:textId="77777777" w:rsidR="00E40FCB" w:rsidRPr="0066482D" w:rsidRDefault="00E40FCB" w:rsidP="00A53CF2">
            <w:pPr>
              <w:jc w:val="right"/>
              <w:rPr>
                <w:rFonts w:ascii="Arial" w:hAnsi="Arial" w:cs="Arial"/>
                <w:b/>
              </w:rPr>
            </w:pPr>
            <w:r w:rsidRPr="0066482D">
              <w:rPr>
                <w:rFonts w:ascii="Arial" w:hAnsi="Arial" w:cs="Arial"/>
              </w:rPr>
              <w:t>TR (ms)</w:t>
            </w:r>
          </w:p>
        </w:tc>
        <w:tc>
          <w:tcPr>
            <w:tcW w:w="1701" w:type="dxa"/>
            <w:tcBorders>
              <w:top w:val="single" w:sz="4" w:space="0" w:color="auto"/>
            </w:tcBorders>
            <w:shd w:val="clear" w:color="auto" w:fill="FFFFFF" w:themeFill="background1"/>
            <w:vAlign w:val="center"/>
          </w:tcPr>
          <w:p w14:paraId="657ECBDB" w14:textId="77777777" w:rsidR="00E40FCB" w:rsidRPr="0066482D" w:rsidRDefault="00E40FCB" w:rsidP="00A53CF2">
            <w:pPr>
              <w:jc w:val="center"/>
              <w:rPr>
                <w:rFonts w:ascii="Arial" w:hAnsi="Arial" w:cs="Arial"/>
              </w:rPr>
            </w:pPr>
            <w:r w:rsidRPr="0066482D">
              <w:rPr>
                <w:rFonts w:ascii="Arial" w:hAnsi="Arial" w:cs="Arial"/>
              </w:rPr>
              <w:t>49.5</w:t>
            </w:r>
          </w:p>
        </w:tc>
        <w:tc>
          <w:tcPr>
            <w:tcW w:w="1701" w:type="dxa"/>
            <w:tcBorders>
              <w:top w:val="single" w:sz="4" w:space="0" w:color="auto"/>
            </w:tcBorders>
            <w:shd w:val="clear" w:color="auto" w:fill="FFFFFF" w:themeFill="background1"/>
            <w:vAlign w:val="center"/>
          </w:tcPr>
          <w:p w14:paraId="4C5F6F1E" w14:textId="77777777" w:rsidR="00E40FCB" w:rsidRPr="0066482D" w:rsidRDefault="00E40FCB" w:rsidP="00A53CF2">
            <w:pPr>
              <w:jc w:val="center"/>
              <w:rPr>
                <w:rFonts w:ascii="Arial" w:hAnsi="Arial" w:cs="Arial"/>
              </w:rPr>
            </w:pPr>
            <w:r w:rsidRPr="0066482D">
              <w:rPr>
                <w:rFonts w:ascii="Arial" w:hAnsi="Arial" w:cs="Arial"/>
              </w:rPr>
              <w:t>173.4</w:t>
            </w:r>
          </w:p>
        </w:tc>
        <w:tc>
          <w:tcPr>
            <w:tcW w:w="1701" w:type="dxa"/>
            <w:tcBorders>
              <w:top w:val="single" w:sz="4" w:space="0" w:color="auto"/>
            </w:tcBorders>
            <w:shd w:val="clear" w:color="auto" w:fill="FFFFFF" w:themeFill="background1"/>
            <w:vAlign w:val="center"/>
          </w:tcPr>
          <w:p w14:paraId="0436B495" w14:textId="77777777" w:rsidR="00E40FCB" w:rsidRPr="0066482D" w:rsidRDefault="00E40FCB" w:rsidP="00A53CF2">
            <w:pPr>
              <w:jc w:val="center"/>
              <w:rPr>
                <w:rFonts w:ascii="Arial" w:hAnsi="Arial" w:cs="Arial"/>
              </w:rPr>
            </w:pPr>
            <w:r w:rsidRPr="0066482D">
              <w:rPr>
                <w:rFonts w:ascii="Arial" w:hAnsi="Arial" w:cs="Arial"/>
              </w:rPr>
              <w:t>600</w:t>
            </w:r>
          </w:p>
        </w:tc>
      </w:tr>
      <w:tr w:rsidR="00E40FCB" w:rsidRPr="0066482D" w14:paraId="1174EFEF" w14:textId="77777777" w:rsidTr="00A53CF2">
        <w:trPr>
          <w:trHeight w:val="170"/>
          <w:jc w:val="center"/>
        </w:trPr>
        <w:tc>
          <w:tcPr>
            <w:tcW w:w="2494" w:type="dxa"/>
            <w:shd w:val="clear" w:color="auto" w:fill="FFFFFF" w:themeFill="background1"/>
            <w:vAlign w:val="center"/>
          </w:tcPr>
          <w:p w14:paraId="2903BC5E" w14:textId="77777777" w:rsidR="00E40FCB" w:rsidRPr="0066482D" w:rsidRDefault="00E40FCB" w:rsidP="00A53CF2">
            <w:pPr>
              <w:jc w:val="right"/>
              <w:rPr>
                <w:rFonts w:ascii="Arial" w:hAnsi="Arial" w:cs="Arial"/>
                <w:b/>
              </w:rPr>
            </w:pPr>
            <w:r w:rsidRPr="0066482D">
              <w:rPr>
                <w:rFonts w:ascii="Arial" w:hAnsi="Arial" w:cs="Arial"/>
              </w:rPr>
              <w:t>TE (ms)</w:t>
            </w:r>
          </w:p>
        </w:tc>
        <w:tc>
          <w:tcPr>
            <w:tcW w:w="1701" w:type="dxa"/>
            <w:shd w:val="clear" w:color="auto" w:fill="FFFFFF" w:themeFill="background1"/>
            <w:vAlign w:val="center"/>
          </w:tcPr>
          <w:p w14:paraId="0F5E3639" w14:textId="77777777" w:rsidR="00E40FCB" w:rsidRPr="0066482D" w:rsidRDefault="00E40FCB" w:rsidP="00A53CF2">
            <w:pPr>
              <w:jc w:val="center"/>
              <w:rPr>
                <w:rFonts w:ascii="Arial" w:hAnsi="Arial" w:cs="Arial"/>
              </w:rPr>
            </w:pPr>
            <w:r w:rsidRPr="0066482D">
              <w:rPr>
                <w:rFonts w:ascii="Arial" w:hAnsi="Arial" w:cs="Arial"/>
              </w:rPr>
              <w:t>1.15</w:t>
            </w:r>
          </w:p>
        </w:tc>
        <w:tc>
          <w:tcPr>
            <w:tcW w:w="1701" w:type="dxa"/>
            <w:shd w:val="clear" w:color="auto" w:fill="FFFFFF" w:themeFill="background1"/>
            <w:vAlign w:val="center"/>
          </w:tcPr>
          <w:p w14:paraId="2C52D48B" w14:textId="77777777" w:rsidR="00E40FCB" w:rsidRPr="0066482D" w:rsidRDefault="00E40FCB" w:rsidP="00A53CF2">
            <w:pPr>
              <w:jc w:val="center"/>
              <w:rPr>
                <w:rFonts w:ascii="Arial" w:hAnsi="Arial" w:cs="Arial"/>
              </w:rPr>
            </w:pPr>
            <w:r w:rsidRPr="0066482D">
              <w:rPr>
                <w:rFonts w:ascii="Arial" w:hAnsi="Arial" w:cs="Arial"/>
              </w:rPr>
              <w:t>1.06</w:t>
            </w:r>
          </w:p>
        </w:tc>
        <w:tc>
          <w:tcPr>
            <w:tcW w:w="1701" w:type="dxa"/>
            <w:shd w:val="clear" w:color="auto" w:fill="FFFFFF" w:themeFill="background1"/>
            <w:vAlign w:val="center"/>
          </w:tcPr>
          <w:p w14:paraId="00B095F1" w14:textId="77777777" w:rsidR="00E40FCB" w:rsidRPr="0066482D" w:rsidRDefault="00E40FCB" w:rsidP="00A53CF2">
            <w:pPr>
              <w:jc w:val="center"/>
              <w:rPr>
                <w:rFonts w:ascii="Arial" w:hAnsi="Arial" w:cs="Arial"/>
              </w:rPr>
            </w:pPr>
            <w:r w:rsidRPr="0066482D">
              <w:rPr>
                <w:rFonts w:ascii="Arial" w:hAnsi="Arial" w:cs="Arial"/>
              </w:rPr>
              <w:t>1.03</w:t>
            </w:r>
          </w:p>
        </w:tc>
      </w:tr>
      <w:tr w:rsidR="00E40FCB" w:rsidRPr="0066482D" w14:paraId="36552440" w14:textId="77777777" w:rsidTr="00A53CF2">
        <w:trPr>
          <w:trHeight w:val="170"/>
          <w:jc w:val="center"/>
        </w:trPr>
        <w:tc>
          <w:tcPr>
            <w:tcW w:w="2494" w:type="dxa"/>
            <w:shd w:val="clear" w:color="auto" w:fill="FFFFFF" w:themeFill="background1"/>
            <w:vAlign w:val="center"/>
          </w:tcPr>
          <w:p w14:paraId="4E254BD6" w14:textId="77777777" w:rsidR="00E40FCB" w:rsidRPr="0066482D" w:rsidRDefault="00E40FCB" w:rsidP="00A53CF2">
            <w:pPr>
              <w:jc w:val="right"/>
              <w:rPr>
                <w:rFonts w:ascii="Arial" w:hAnsi="Arial" w:cs="Arial"/>
                <w:b/>
              </w:rPr>
            </w:pPr>
            <w:r w:rsidRPr="0066482D">
              <w:rPr>
                <w:rFonts w:ascii="Arial" w:hAnsi="Arial" w:cs="Arial"/>
              </w:rPr>
              <w:t>Phases (n)</w:t>
            </w:r>
          </w:p>
        </w:tc>
        <w:tc>
          <w:tcPr>
            <w:tcW w:w="1701" w:type="dxa"/>
            <w:shd w:val="clear" w:color="auto" w:fill="FFFFFF" w:themeFill="background1"/>
            <w:vAlign w:val="center"/>
          </w:tcPr>
          <w:p w14:paraId="07DB35F0" w14:textId="77777777" w:rsidR="00E40FCB" w:rsidRPr="0066482D" w:rsidRDefault="00E40FCB" w:rsidP="00A53CF2">
            <w:pPr>
              <w:jc w:val="center"/>
              <w:rPr>
                <w:rFonts w:ascii="Arial" w:hAnsi="Arial" w:cs="Arial"/>
              </w:rPr>
            </w:pPr>
            <w:r w:rsidRPr="0066482D">
              <w:rPr>
                <w:rFonts w:ascii="Arial" w:hAnsi="Arial" w:cs="Arial"/>
              </w:rPr>
              <w:t>25</w:t>
            </w:r>
          </w:p>
        </w:tc>
        <w:tc>
          <w:tcPr>
            <w:tcW w:w="1701" w:type="dxa"/>
            <w:shd w:val="clear" w:color="auto" w:fill="FFFFFF" w:themeFill="background1"/>
            <w:vAlign w:val="center"/>
          </w:tcPr>
          <w:p w14:paraId="7FB0E43E" w14:textId="77777777" w:rsidR="00E40FCB" w:rsidRPr="0066482D" w:rsidRDefault="00E40FCB" w:rsidP="00A53CF2">
            <w:pPr>
              <w:jc w:val="center"/>
              <w:rPr>
                <w:rFonts w:ascii="Arial" w:hAnsi="Arial" w:cs="Arial"/>
              </w:rPr>
            </w:pPr>
            <w:r w:rsidRPr="0066482D">
              <w:rPr>
                <w:rFonts w:ascii="Arial" w:hAnsi="Arial" w:cs="Arial"/>
              </w:rPr>
              <w:t>60</w:t>
            </w:r>
          </w:p>
        </w:tc>
        <w:tc>
          <w:tcPr>
            <w:tcW w:w="1701" w:type="dxa"/>
            <w:shd w:val="clear" w:color="auto" w:fill="FFFFFF" w:themeFill="background1"/>
            <w:vAlign w:val="center"/>
          </w:tcPr>
          <w:p w14:paraId="4031173C" w14:textId="77777777" w:rsidR="00E40FCB" w:rsidRPr="0066482D" w:rsidRDefault="00E40FCB" w:rsidP="00A53CF2">
            <w:pPr>
              <w:jc w:val="center"/>
              <w:rPr>
                <w:rFonts w:ascii="Arial" w:hAnsi="Arial" w:cs="Arial"/>
              </w:rPr>
            </w:pPr>
            <w:r w:rsidRPr="0066482D">
              <w:rPr>
                <w:rFonts w:ascii="Arial" w:hAnsi="Arial" w:cs="Arial"/>
              </w:rPr>
              <w:t>11</w:t>
            </w:r>
          </w:p>
        </w:tc>
      </w:tr>
      <w:tr w:rsidR="00E40FCB" w:rsidRPr="0066482D" w14:paraId="2AC9C5C3" w14:textId="77777777" w:rsidTr="00A53CF2">
        <w:trPr>
          <w:trHeight w:val="170"/>
          <w:jc w:val="center"/>
        </w:trPr>
        <w:tc>
          <w:tcPr>
            <w:tcW w:w="2494" w:type="dxa"/>
            <w:shd w:val="clear" w:color="auto" w:fill="FFFFFF" w:themeFill="background1"/>
            <w:vAlign w:val="center"/>
          </w:tcPr>
          <w:p w14:paraId="7B5C81B7" w14:textId="77777777" w:rsidR="00E40FCB" w:rsidRPr="0066482D" w:rsidRDefault="00E40FCB" w:rsidP="00A53CF2">
            <w:pPr>
              <w:jc w:val="right"/>
              <w:rPr>
                <w:rFonts w:ascii="Arial" w:hAnsi="Arial" w:cs="Arial"/>
                <w:b/>
              </w:rPr>
            </w:pPr>
            <w:r w:rsidRPr="0066482D">
              <w:rPr>
                <w:rFonts w:ascii="Arial" w:hAnsi="Arial" w:cs="Arial"/>
              </w:rPr>
              <w:t>Slice thickness (mm)</w:t>
            </w:r>
          </w:p>
        </w:tc>
        <w:tc>
          <w:tcPr>
            <w:tcW w:w="1701" w:type="dxa"/>
            <w:shd w:val="clear" w:color="auto" w:fill="FFFFFF" w:themeFill="background1"/>
            <w:vAlign w:val="center"/>
          </w:tcPr>
          <w:p w14:paraId="26E93AD9" w14:textId="77777777" w:rsidR="00E40FCB" w:rsidRPr="0066482D" w:rsidRDefault="00E40FCB" w:rsidP="00A53CF2">
            <w:pPr>
              <w:jc w:val="center"/>
              <w:rPr>
                <w:rFonts w:ascii="Arial" w:hAnsi="Arial" w:cs="Arial"/>
              </w:rPr>
            </w:pPr>
            <w:r w:rsidRPr="0066482D">
              <w:rPr>
                <w:rFonts w:ascii="Arial" w:hAnsi="Arial" w:cs="Arial"/>
              </w:rPr>
              <w:t>8.0</w:t>
            </w:r>
          </w:p>
        </w:tc>
        <w:tc>
          <w:tcPr>
            <w:tcW w:w="1701" w:type="dxa"/>
            <w:shd w:val="clear" w:color="auto" w:fill="FFFFFF" w:themeFill="background1"/>
            <w:vAlign w:val="center"/>
          </w:tcPr>
          <w:p w14:paraId="5C8369ED" w14:textId="77777777" w:rsidR="00E40FCB" w:rsidRPr="0066482D" w:rsidRDefault="00E40FCB" w:rsidP="00A53CF2">
            <w:pPr>
              <w:jc w:val="center"/>
              <w:rPr>
                <w:rFonts w:ascii="Arial" w:hAnsi="Arial" w:cs="Arial"/>
              </w:rPr>
            </w:pPr>
            <w:r w:rsidRPr="0066482D">
              <w:rPr>
                <w:rFonts w:ascii="Arial" w:hAnsi="Arial" w:cs="Arial"/>
              </w:rPr>
              <w:t>10.0</w:t>
            </w:r>
          </w:p>
        </w:tc>
        <w:tc>
          <w:tcPr>
            <w:tcW w:w="1701" w:type="dxa"/>
            <w:shd w:val="clear" w:color="auto" w:fill="FFFFFF" w:themeFill="background1"/>
            <w:vAlign w:val="center"/>
          </w:tcPr>
          <w:p w14:paraId="388393CC" w14:textId="77777777" w:rsidR="00E40FCB" w:rsidRPr="0066482D" w:rsidRDefault="00E40FCB" w:rsidP="00A53CF2">
            <w:pPr>
              <w:jc w:val="center"/>
              <w:rPr>
                <w:rFonts w:ascii="Arial" w:hAnsi="Arial" w:cs="Arial"/>
              </w:rPr>
            </w:pPr>
            <w:r w:rsidRPr="0066482D">
              <w:rPr>
                <w:rFonts w:ascii="Arial" w:hAnsi="Arial" w:cs="Arial"/>
              </w:rPr>
              <w:t>8.0</w:t>
            </w:r>
          </w:p>
        </w:tc>
      </w:tr>
      <w:tr w:rsidR="00E40FCB" w:rsidRPr="0066482D" w14:paraId="7EFAB46F" w14:textId="77777777" w:rsidTr="00A53CF2">
        <w:trPr>
          <w:trHeight w:val="170"/>
          <w:jc w:val="center"/>
        </w:trPr>
        <w:tc>
          <w:tcPr>
            <w:tcW w:w="2494" w:type="dxa"/>
            <w:shd w:val="clear" w:color="auto" w:fill="FFFFFF" w:themeFill="background1"/>
            <w:vAlign w:val="center"/>
          </w:tcPr>
          <w:p w14:paraId="19B49CB7" w14:textId="77777777" w:rsidR="00E40FCB" w:rsidRPr="0066482D" w:rsidRDefault="00E40FCB" w:rsidP="00A53CF2">
            <w:pPr>
              <w:jc w:val="right"/>
              <w:rPr>
                <w:rFonts w:ascii="Arial" w:hAnsi="Arial" w:cs="Arial"/>
                <w:b/>
              </w:rPr>
            </w:pPr>
            <w:r w:rsidRPr="0066482D">
              <w:rPr>
                <w:rFonts w:ascii="Arial" w:hAnsi="Arial" w:cs="Arial"/>
              </w:rPr>
              <w:t>Inversion time (ms)</w:t>
            </w:r>
          </w:p>
        </w:tc>
        <w:tc>
          <w:tcPr>
            <w:tcW w:w="1701" w:type="dxa"/>
            <w:shd w:val="clear" w:color="auto" w:fill="FFFFFF" w:themeFill="background1"/>
            <w:vAlign w:val="center"/>
          </w:tcPr>
          <w:p w14:paraId="40ECC7E9" w14:textId="77777777" w:rsidR="00E40FCB" w:rsidRPr="0066482D" w:rsidRDefault="00E40FCB" w:rsidP="00A53CF2">
            <w:pPr>
              <w:jc w:val="center"/>
              <w:rPr>
                <w:rFonts w:ascii="Arial" w:hAnsi="Arial" w:cs="Arial"/>
              </w:rPr>
            </w:pPr>
            <w:r w:rsidRPr="0066482D">
              <w:rPr>
                <w:rFonts w:ascii="Arial" w:hAnsi="Arial" w:cs="Arial"/>
              </w:rPr>
              <w:t>0.0</w:t>
            </w:r>
          </w:p>
        </w:tc>
        <w:tc>
          <w:tcPr>
            <w:tcW w:w="1701" w:type="dxa"/>
            <w:shd w:val="clear" w:color="auto" w:fill="FFFFFF" w:themeFill="background1"/>
            <w:vAlign w:val="center"/>
          </w:tcPr>
          <w:p w14:paraId="56BE0EA9" w14:textId="77777777" w:rsidR="00E40FCB" w:rsidRPr="0066482D" w:rsidRDefault="00E40FCB" w:rsidP="00A53CF2">
            <w:pPr>
              <w:jc w:val="center"/>
              <w:rPr>
                <w:rFonts w:ascii="Arial" w:hAnsi="Arial" w:cs="Arial"/>
              </w:rPr>
            </w:pPr>
            <w:r w:rsidRPr="0066482D">
              <w:rPr>
                <w:rFonts w:ascii="Arial" w:hAnsi="Arial" w:cs="Arial"/>
              </w:rPr>
              <w:t>100</w:t>
            </w:r>
          </w:p>
        </w:tc>
        <w:tc>
          <w:tcPr>
            <w:tcW w:w="1701" w:type="dxa"/>
            <w:shd w:val="clear" w:color="auto" w:fill="FFFFFF" w:themeFill="background1"/>
            <w:vAlign w:val="center"/>
          </w:tcPr>
          <w:p w14:paraId="54453B24" w14:textId="77777777" w:rsidR="00E40FCB" w:rsidRPr="0066482D" w:rsidRDefault="00E40FCB" w:rsidP="00A53CF2">
            <w:pPr>
              <w:jc w:val="center"/>
              <w:rPr>
                <w:rFonts w:ascii="Arial" w:hAnsi="Arial" w:cs="Arial"/>
              </w:rPr>
            </w:pPr>
            <w:r w:rsidRPr="0066482D">
              <w:rPr>
                <w:rFonts w:ascii="Arial" w:hAnsi="Arial" w:cs="Arial"/>
              </w:rPr>
              <w:t>300-400</w:t>
            </w:r>
          </w:p>
        </w:tc>
      </w:tr>
      <w:tr w:rsidR="00E40FCB" w:rsidRPr="0066482D" w14:paraId="7037E263" w14:textId="77777777" w:rsidTr="00A53CF2">
        <w:trPr>
          <w:trHeight w:val="170"/>
          <w:jc w:val="center"/>
        </w:trPr>
        <w:tc>
          <w:tcPr>
            <w:tcW w:w="2494" w:type="dxa"/>
            <w:shd w:val="clear" w:color="auto" w:fill="FFFFFF" w:themeFill="background1"/>
            <w:vAlign w:val="center"/>
          </w:tcPr>
          <w:p w14:paraId="72E8F6CA" w14:textId="77777777" w:rsidR="00E40FCB" w:rsidRPr="0066482D" w:rsidRDefault="00E40FCB" w:rsidP="00A53CF2">
            <w:pPr>
              <w:jc w:val="right"/>
              <w:rPr>
                <w:rFonts w:ascii="Arial" w:hAnsi="Arial" w:cs="Arial"/>
                <w:b/>
              </w:rPr>
            </w:pPr>
            <w:r w:rsidRPr="0066482D">
              <w:rPr>
                <w:rFonts w:ascii="Arial" w:hAnsi="Arial" w:cs="Arial"/>
              </w:rPr>
              <w:t>Image size (mm)</w:t>
            </w:r>
          </w:p>
        </w:tc>
        <w:tc>
          <w:tcPr>
            <w:tcW w:w="1701" w:type="dxa"/>
            <w:shd w:val="clear" w:color="auto" w:fill="FFFFFF" w:themeFill="background1"/>
            <w:vAlign w:val="center"/>
          </w:tcPr>
          <w:p w14:paraId="6E5095F2" w14:textId="77777777" w:rsidR="00E40FCB" w:rsidRPr="0066482D" w:rsidRDefault="00E40FCB" w:rsidP="00A53CF2">
            <w:pPr>
              <w:jc w:val="center"/>
              <w:rPr>
                <w:rFonts w:ascii="Arial" w:hAnsi="Arial" w:cs="Arial"/>
              </w:rPr>
            </w:pPr>
            <w:r w:rsidRPr="0066482D">
              <w:rPr>
                <w:rFonts w:ascii="Arial" w:hAnsi="Arial" w:cs="Arial"/>
              </w:rPr>
              <w:t>232 x 256</w:t>
            </w:r>
          </w:p>
        </w:tc>
        <w:tc>
          <w:tcPr>
            <w:tcW w:w="1701" w:type="dxa"/>
            <w:shd w:val="clear" w:color="auto" w:fill="FFFFFF" w:themeFill="background1"/>
            <w:vAlign w:val="center"/>
          </w:tcPr>
          <w:p w14:paraId="24955AC7" w14:textId="77777777" w:rsidR="00E40FCB" w:rsidRPr="0066482D" w:rsidRDefault="00E40FCB" w:rsidP="00A53CF2">
            <w:pPr>
              <w:jc w:val="center"/>
              <w:rPr>
                <w:rFonts w:ascii="Arial" w:hAnsi="Arial" w:cs="Arial"/>
              </w:rPr>
            </w:pPr>
            <w:r w:rsidRPr="0066482D">
              <w:rPr>
                <w:rFonts w:ascii="Arial" w:hAnsi="Arial" w:cs="Arial"/>
              </w:rPr>
              <w:t>144 x 192</w:t>
            </w:r>
          </w:p>
        </w:tc>
        <w:tc>
          <w:tcPr>
            <w:tcW w:w="1701" w:type="dxa"/>
            <w:shd w:val="clear" w:color="auto" w:fill="FFFFFF" w:themeFill="background1"/>
            <w:vAlign w:val="center"/>
          </w:tcPr>
          <w:p w14:paraId="10C8537F" w14:textId="77777777" w:rsidR="00E40FCB" w:rsidRPr="0066482D" w:rsidRDefault="00E40FCB" w:rsidP="00A53CF2">
            <w:pPr>
              <w:jc w:val="center"/>
              <w:rPr>
                <w:rFonts w:ascii="Arial" w:hAnsi="Arial" w:cs="Arial"/>
              </w:rPr>
            </w:pPr>
            <w:r w:rsidRPr="0066482D">
              <w:rPr>
                <w:rFonts w:ascii="Arial" w:hAnsi="Arial" w:cs="Arial"/>
              </w:rPr>
              <w:t>192 x 192</w:t>
            </w:r>
          </w:p>
        </w:tc>
      </w:tr>
      <w:tr w:rsidR="00E40FCB" w:rsidRPr="0066482D" w14:paraId="595393D6" w14:textId="77777777" w:rsidTr="00A53CF2">
        <w:trPr>
          <w:trHeight w:val="170"/>
          <w:jc w:val="center"/>
        </w:trPr>
        <w:tc>
          <w:tcPr>
            <w:tcW w:w="2494" w:type="dxa"/>
            <w:shd w:val="clear" w:color="auto" w:fill="FFFFFF" w:themeFill="background1"/>
            <w:vAlign w:val="center"/>
          </w:tcPr>
          <w:p w14:paraId="2AF4D319" w14:textId="77777777" w:rsidR="00E40FCB" w:rsidRPr="0066482D" w:rsidRDefault="00E40FCB" w:rsidP="00A53CF2">
            <w:pPr>
              <w:jc w:val="right"/>
              <w:rPr>
                <w:rFonts w:ascii="Arial" w:hAnsi="Arial" w:cs="Arial"/>
                <w:b/>
              </w:rPr>
            </w:pPr>
            <w:r w:rsidRPr="0066482D">
              <w:rPr>
                <w:rFonts w:ascii="Arial" w:hAnsi="Arial" w:cs="Arial"/>
              </w:rPr>
              <w:t>Flip angle (</w:t>
            </w:r>
            <w:r w:rsidRPr="0066482D">
              <w:rPr>
                <w:rFonts w:ascii="Arial" w:hAnsi="Arial" w:cs="Arial"/>
                <w:vertAlign w:val="superscript"/>
              </w:rPr>
              <w:t>o</w:t>
            </w:r>
            <w:r w:rsidRPr="0066482D">
              <w:rPr>
                <w:rFonts w:ascii="Arial" w:hAnsi="Arial" w:cs="Arial"/>
              </w:rPr>
              <w:t>)</w:t>
            </w:r>
          </w:p>
        </w:tc>
        <w:tc>
          <w:tcPr>
            <w:tcW w:w="1701" w:type="dxa"/>
            <w:shd w:val="clear" w:color="auto" w:fill="FFFFFF" w:themeFill="background1"/>
            <w:vAlign w:val="center"/>
          </w:tcPr>
          <w:p w14:paraId="0D53258D" w14:textId="77777777" w:rsidR="00E40FCB" w:rsidRPr="0066482D" w:rsidRDefault="00E40FCB" w:rsidP="00A53CF2">
            <w:pPr>
              <w:jc w:val="center"/>
              <w:rPr>
                <w:rFonts w:ascii="Arial" w:hAnsi="Arial" w:cs="Arial"/>
              </w:rPr>
            </w:pPr>
            <w:r w:rsidRPr="0066482D">
              <w:rPr>
                <w:rFonts w:ascii="Arial" w:hAnsi="Arial" w:cs="Arial"/>
              </w:rPr>
              <w:t>60</w:t>
            </w:r>
          </w:p>
        </w:tc>
        <w:tc>
          <w:tcPr>
            <w:tcW w:w="1701" w:type="dxa"/>
            <w:shd w:val="clear" w:color="auto" w:fill="FFFFFF" w:themeFill="background1"/>
            <w:vAlign w:val="center"/>
          </w:tcPr>
          <w:p w14:paraId="49D43FEE" w14:textId="77777777" w:rsidR="00E40FCB" w:rsidRPr="0066482D" w:rsidRDefault="00E40FCB" w:rsidP="00A53CF2">
            <w:pPr>
              <w:jc w:val="center"/>
              <w:rPr>
                <w:rFonts w:ascii="Arial" w:hAnsi="Arial" w:cs="Arial"/>
              </w:rPr>
            </w:pPr>
            <w:r w:rsidRPr="0066482D">
              <w:rPr>
                <w:rFonts w:ascii="Arial" w:hAnsi="Arial" w:cs="Arial"/>
              </w:rPr>
              <w:t>12</w:t>
            </w:r>
          </w:p>
        </w:tc>
        <w:tc>
          <w:tcPr>
            <w:tcW w:w="1701" w:type="dxa"/>
            <w:shd w:val="clear" w:color="auto" w:fill="FFFFFF" w:themeFill="background1"/>
            <w:vAlign w:val="center"/>
          </w:tcPr>
          <w:p w14:paraId="6EA55FA8" w14:textId="77777777" w:rsidR="00E40FCB" w:rsidRPr="0066482D" w:rsidRDefault="00E40FCB" w:rsidP="00A53CF2">
            <w:pPr>
              <w:jc w:val="center"/>
              <w:rPr>
                <w:rFonts w:ascii="Arial" w:hAnsi="Arial" w:cs="Arial"/>
              </w:rPr>
            </w:pPr>
            <w:r w:rsidRPr="0066482D">
              <w:rPr>
                <w:rFonts w:ascii="Arial" w:hAnsi="Arial" w:cs="Arial"/>
              </w:rPr>
              <w:t>40</w:t>
            </w:r>
          </w:p>
        </w:tc>
      </w:tr>
      <w:tr w:rsidR="00E40FCB" w:rsidRPr="0066482D" w14:paraId="3731F2CB" w14:textId="77777777" w:rsidTr="00A53CF2">
        <w:trPr>
          <w:trHeight w:val="170"/>
          <w:jc w:val="center"/>
        </w:trPr>
        <w:tc>
          <w:tcPr>
            <w:tcW w:w="2494" w:type="dxa"/>
            <w:tcBorders>
              <w:bottom w:val="single" w:sz="4" w:space="0" w:color="auto"/>
            </w:tcBorders>
            <w:shd w:val="clear" w:color="auto" w:fill="FFFFFF" w:themeFill="background1"/>
            <w:vAlign w:val="center"/>
          </w:tcPr>
          <w:p w14:paraId="765B507B" w14:textId="77777777" w:rsidR="00E40FCB" w:rsidRPr="0066482D" w:rsidRDefault="00E40FCB" w:rsidP="00A53CF2">
            <w:pPr>
              <w:jc w:val="right"/>
              <w:rPr>
                <w:rFonts w:ascii="Arial" w:hAnsi="Arial" w:cs="Arial"/>
                <w:b/>
              </w:rPr>
            </w:pPr>
            <w:r w:rsidRPr="0066482D">
              <w:rPr>
                <w:rFonts w:ascii="Arial" w:hAnsi="Arial" w:cs="Arial"/>
              </w:rPr>
              <w:t>Bandwidth (Hz/Pixel)</w:t>
            </w:r>
          </w:p>
        </w:tc>
        <w:tc>
          <w:tcPr>
            <w:tcW w:w="1701" w:type="dxa"/>
            <w:tcBorders>
              <w:bottom w:val="single" w:sz="4" w:space="0" w:color="auto"/>
            </w:tcBorders>
            <w:shd w:val="clear" w:color="auto" w:fill="FFFFFF" w:themeFill="background1"/>
            <w:vAlign w:val="center"/>
          </w:tcPr>
          <w:p w14:paraId="282B736C" w14:textId="77777777" w:rsidR="00E40FCB" w:rsidRPr="0066482D" w:rsidRDefault="00E40FCB" w:rsidP="00A53CF2">
            <w:pPr>
              <w:jc w:val="center"/>
              <w:rPr>
                <w:rFonts w:ascii="Arial" w:hAnsi="Arial" w:cs="Arial"/>
              </w:rPr>
            </w:pPr>
            <w:r w:rsidRPr="0066482D">
              <w:rPr>
                <w:rFonts w:ascii="Arial" w:hAnsi="Arial" w:cs="Arial"/>
              </w:rPr>
              <w:t>930</w:t>
            </w:r>
          </w:p>
        </w:tc>
        <w:tc>
          <w:tcPr>
            <w:tcW w:w="1701" w:type="dxa"/>
            <w:tcBorders>
              <w:bottom w:val="single" w:sz="4" w:space="0" w:color="auto"/>
            </w:tcBorders>
            <w:shd w:val="clear" w:color="auto" w:fill="FFFFFF" w:themeFill="background1"/>
            <w:vAlign w:val="center"/>
          </w:tcPr>
          <w:p w14:paraId="25F7D013" w14:textId="77777777" w:rsidR="00E40FCB" w:rsidRPr="0066482D" w:rsidRDefault="00E40FCB" w:rsidP="00A53CF2">
            <w:pPr>
              <w:jc w:val="center"/>
              <w:rPr>
                <w:rFonts w:ascii="Arial" w:hAnsi="Arial" w:cs="Arial"/>
              </w:rPr>
            </w:pPr>
            <w:r w:rsidRPr="0066482D">
              <w:rPr>
                <w:rFonts w:ascii="Arial" w:hAnsi="Arial" w:cs="Arial"/>
              </w:rPr>
              <w:t>685</w:t>
            </w:r>
          </w:p>
        </w:tc>
        <w:tc>
          <w:tcPr>
            <w:tcW w:w="1701" w:type="dxa"/>
            <w:tcBorders>
              <w:bottom w:val="single" w:sz="4" w:space="0" w:color="auto"/>
            </w:tcBorders>
            <w:shd w:val="clear" w:color="auto" w:fill="FFFFFF" w:themeFill="background1"/>
            <w:vAlign w:val="center"/>
          </w:tcPr>
          <w:p w14:paraId="2EF63A93" w14:textId="77777777" w:rsidR="00E40FCB" w:rsidRPr="0066482D" w:rsidRDefault="00E40FCB" w:rsidP="00A53CF2">
            <w:pPr>
              <w:jc w:val="center"/>
              <w:rPr>
                <w:rFonts w:ascii="Arial" w:hAnsi="Arial" w:cs="Arial"/>
              </w:rPr>
            </w:pPr>
            <w:r w:rsidRPr="0066482D">
              <w:rPr>
                <w:rFonts w:ascii="Arial" w:hAnsi="Arial" w:cs="Arial"/>
              </w:rPr>
              <w:t>1532</w:t>
            </w:r>
          </w:p>
        </w:tc>
      </w:tr>
    </w:tbl>
    <w:p w14:paraId="123C23F9" w14:textId="2D1BB5A2" w:rsidR="00E40FCB" w:rsidRPr="0066482D" w:rsidRDefault="00E40FCB" w:rsidP="00E40FCB">
      <w:pPr>
        <w:rPr>
          <w:rFonts w:ascii="Arial" w:hAnsi="Arial" w:cs="Arial"/>
          <w:sz w:val="20"/>
          <w:szCs w:val="20"/>
        </w:rPr>
      </w:pPr>
      <w:r w:rsidRPr="0066482D">
        <w:rPr>
          <w:rFonts w:ascii="Arial" w:hAnsi="Arial" w:cs="Arial"/>
          <w:sz w:val="20"/>
          <w:szCs w:val="20"/>
        </w:rPr>
        <w:t>TE: echo time; TR: repetition time</w:t>
      </w:r>
    </w:p>
    <w:p w14:paraId="283CD336" w14:textId="77777777" w:rsidR="00E40FCB" w:rsidRPr="0066482D" w:rsidRDefault="00E40FCB" w:rsidP="00E40FCB">
      <w:pPr>
        <w:rPr>
          <w:rFonts w:ascii="Arial" w:hAnsi="Arial" w:cs="Arial"/>
          <w:sz w:val="24"/>
          <w:szCs w:val="24"/>
        </w:rPr>
      </w:pPr>
    </w:p>
    <w:p w14:paraId="0A65BA1D" w14:textId="77777777" w:rsidR="00D13D85" w:rsidRPr="0066482D" w:rsidRDefault="00D13D85">
      <w:pPr>
        <w:rPr>
          <w:rFonts w:ascii="Arial" w:hAnsi="Arial" w:cs="Arial"/>
        </w:rPr>
      </w:pPr>
    </w:p>
    <w:sectPr w:rsidR="00D13D85" w:rsidRPr="0066482D" w:rsidSect="00E40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07EE3"/>
    <w:multiLevelType w:val="hybridMultilevel"/>
    <w:tmpl w:val="19A883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61579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CB"/>
    <w:rsid w:val="00192FA8"/>
    <w:rsid w:val="005128DA"/>
    <w:rsid w:val="0066482D"/>
    <w:rsid w:val="00804E11"/>
    <w:rsid w:val="00827568"/>
    <w:rsid w:val="008B694D"/>
    <w:rsid w:val="008C7CEB"/>
    <w:rsid w:val="00940ECB"/>
    <w:rsid w:val="00B60410"/>
    <w:rsid w:val="00D13D85"/>
    <w:rsid w:val="00E40FCB"/>
    <w:rsid w:val="00EB17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3739"/>
  <w15:chartTrackingRefBased/>
  <w15:docId w15:val="{9ED961E6-A91F-415A-9B6E-30049DBF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CB"/>
    <w:rPr>
      <w:noProof/>
      <w:lang w:val="en-US"/>
    </w:rPr>
  </w:style>
  <w:style w:type="paragraph" w:styleId="Ttulo1">
    <w:name w:val="heading 1"/>
    <w:basedOn w:val="Normal"/>
    <w:next w:val="Normal"/>
    <w:link w:val="Ttulo1Char"/>
    <w:uiPriority w:val="9"/>
    <w:qFormat/>
    <w:rsid w:val="00E40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40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40F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40F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40F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40F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40F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40F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40FC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0FC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40FC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40FC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40FC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40FC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40FC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40FC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40FC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40FCB"/>
    <w:rPr>
      <w:rFonts w:eastAsiaTheme="majorEastAsia" w:cstheme="majorBidi"/>
      <w:color w:val="272727" w:themeColor="text1" w:themeTint="D8"/>
    </w:rPr>
  </w:style>
  <w:style w:type="paragraph" w:styleId="Ttulo">
    <w:name w:val="Title"/>
    <w:basedOn w:val="Normal"/>
    <w:next w:val="Normal"/>
    <w:link w:val="TtuloChar"/>
    <w:uiPriority w:val="10"/>
    <w:qFormat/>
    <w:rsid w:val="00E40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40F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40FC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40FC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40FCB"/>
    <w:pPr>
      <w:spacing w:before="160"/>
      <w:jc w:val="center"/>
    </w:pPr>
    <w:rPr>
      <w:i/>
      <w:iCs/>
      <w:color w:val="404040" w:themeColor="text1" w:themeTint="BF"/>
    </w:rPr>
  </w:style>
  <w:style w:type="character" w:customStyle="1" w:styleId="CitaoChar">
    <w:name w:val="Citação Char"/>
    <w:basedOn w:val="Fontepargpadro"/>
    <w:link w:val="Citao"/>
    <w:uiPriority w:val="29"/>
    <w:rsid w:val="00E40FCB"/>
    <w:rPr>
      <w:i/>
      <w:iCs/>
      <w:color w:val="404040" w:themeColor="text1" w:themeTint="BF"/>
    </w:rPr>
  </w:style>
  <w:style w:type="paragraph" w:styleId="PargrafodaLista">
    <w:name w:val="List Paragraph"/>
    <w:basedOn w:val="Normal"/>
    <w:uiPriority w:val="34"/>
    <w:qFormat/>
    <w:rsid w:val="00E40FCB"/>
    <w:pPr>
      <w:ind w:left="720"/>
      <w:contextualSpacing/>
    </w:pPr>
  </w:style>
  <w:style w:type="character" w:styleId="nfaseIntensa">
    <w:name w:val="Intense Emphasis"/>
    <w:basedOn w:val="Fontepargpadro"/>
    <w:uiPriority w:val="21"/>
    <w:qFormat/>
    <w:rsid w:val="00E40FCB"/>
    <w:rPr>
      <w:i/>
      <w:iCs/>
      <w:color w:val="0F4761" w:themeColor="accent1" w:themeShade="BF"/>
    </w:rPr>
  </w:style>
  <w:style w:type="paragraph" w:styleId="CitaoIntensa">
    <w:name w:val="Intense Quote"/>
    <w:basedOn w:val="Normal"/>
    <w:next w:val="Normal"/>
    <w:link w:val="CitaoIntensaChar"/>
    <w:uiPriority w:val="30"/>
    <w:qFormat/>
    <w:rsid w:val="00E40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40FCB"/>
    <w:rPr>
      <w:i/>
      <w:iCs/>
      <w:color w:val="0F4761" w:themeColor="accent1" w:themeShade="BF"/>
    </w:rPr>
  </w:style>
  <w:style w:type="character" w:styleId="RefernciaIntensa">
    <w:name w:val="Intense Reference"/>
    <w:basedOn w:val="Fontepargpadro"/>
    <w:uiPriority w:val="32"/>
    <w:qFormat/>
    <w:rsid w:val="00E40FCB"/>
    <w:rPr>
      <w:b/>
      <w:bCs/>
      <w:smallCaps/>
      <w:color w:val="0F4761" w:themeColor="accent1" w:themeShade="BF"/>
      <w:spacing w:val="5"/>
    </w:rPr>
  </w:style>
  <w:style w:type="table" w:styleId="Tabelacomgrade">
    <w:name w:val="Table Grid"/>
    <w:basedOn w:val="Tabelanormal"/>
    <w:rsid w:val="00E40FCB"/>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856</Words>
  <Characters>4761</Characters>
  <Application>Microsoft Office Word</Application>
  <DocSecurity>0</DocSecurity>
  <Lines>121</Lines>
  <Paragraphs>63</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Cristiane Kayser</dc:creator>
  <cp:keywords/>
  <dc:description/>
  <cp:lastModifiedBy>Cristiane Kayser</cp:lastModifiedBy>
  <cp:revision>6</cp:revision>
  <dcterms:created xsi:type="dcterms:W3CDTF">2024-10-04T15:33:00Z</dcterms:created>
  <dcterms:modified xsi:type="dcterms:W3CDTF">2026-01-24T20:29:00Z</dcterms:modified>
</cp:coreProperties>
</file>