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57C" w:rsidRDefault="006C45EF" w:rsidP="00A5157C">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Appendix A. Protocol for</w:t>
      </w:r>
      <w:r w:rsidR="00A5157C">
        <w:rPr>
          <w:rFonts w:ascii="Times New Roman" w:hAnsi="Times New Roman" w:cs="Times New Roman"/>
          <w:sz w:val="24"/>
          <w:szCs w:val="24"/>
        </w:rPr>
        <w:t xml:space="preserve"> composite burn index (CBI).</w:t>
      </w:r>
    </w:p>
    <w:p w:rsidR="00A5157C" w:rsidRDefault="00A5157C" w:rsidP="00A5157C">
      <w:pPr>
        <w:spacing w:after="0" w:line="240" w:lineRule="auto"/>
        <w:rPr>
          <w:rFonts w:ascii="Times New Roman" w:hAnsi="Times New Roman" w:cs="Times New Roman"/>
          <w:sz w:val="24"/>
          <w:szCs w:val="24"/>
        </w:rPr>
      </w:pPr>
    </w:p>
    <w:p w:rsidR="00A5157C" w:rsidRDefault="006C45EF" w:rsidP="00A5157C">
      <w:pPr>
        <w:spacing w:after="0" w:line="240" w:lineRule="auto"/>
        <w:rPr>
          <w:rFonts w:ascii="Times New Roman" w:hAnsi="Times New Roman" w:cs="Times New Roman"/>
          <w:sz w:val="24"/>
          <w:szCs w:val="24"/>
        </w:rPr>
      </w:pPr>
      <w:r>
        <w:rPr>
          <w:rFonts w:ascii="Times New Roman" w:hAnsi="Times New Roman" w:cs="Times New Roman"/>
          <w:sz w:val="24"/>
          <w:szCs w:val="24"/>
        </w:rPr>
        <w:t>We measured burn severity using the composite burn index (CBI) described by Key and Benson (2006)</w:t>
      </w:r>
      <w:r w:rsidR="00AB7233">
        <w:rPr>
          <w:rFonts w:ascii="Times New Roman" w:hAnsi="Times New Roman" w:cs="Times New Roman"/>
          <w:sz w:val="24"/>
          <w:szCs w:val="24"/>
        </w:rPr>
        <w:t xml:space="preserve"> with some modifications to accommodate</w:t>
      </w:r>
      <w:r w:rsidR="001E16FA">
        <w:rPr>
          <w:rFonts w:ascii="Times New Roman" w:hAnsi="Times New Roman" w:cs="Times New Roman"/>
          <w:sz w:val="24"/>
          <w:szCs w:val="24"/>
        </w:rPr>
        <w:t xml:space="preserve"> particulars of our</w:t>
      </w:r>
      <w:r>
        <w:rPr>
          <w:rFonts w:ascii="Times New Roman" w:hAnsi="Times New Roman" w:cs="Times New Roman"/>
          <w:sz w:val="24"/>
          <w:szCs w:val="24"/>
        </w:rPr>
        <w:t xml:space="preserve"> study </w:t>
      </w:r>
      <w:r w:rsidR="001E16FA">
        <w:rPr>
          <w:rFonts w:ascii="Times New Roman" w:hAnsi="Times New Roman" w:cs="Times New Roman"/>
          <w:sz w:val="24"/>
          <w:szCs w:val="24"/>
        </w:rPr>
        <w:t xml:space="preserve">area and </w:t>
      </w:r>
      <w:r>
        <w:rPr>
          <w:rFonts w:ascii="Times New Roman" w:hAnsi="Times New Roman" w:cs="Times New Roman"/>
          <w:sz w:val="24"/>
          <w:szCs w:val="24"/>
        </w:rPr>
        <w:t xml:space="preserve">objectives. </w:t>
      </w:r>
      <w:r w:rsidR="00CC3AC4">
        <w:rPr>
          <w:rFonts w:ascii="Times New Roman" w:hAnsi="Times New Roman" w:cs="Times New Roman"/>
          <w:sz w:val="24"/>
          <w:szCs w:val="24"/>
        </w:rPr>
        <w:t xml:space="preserve">We informed CBI scores with a series of environmental measurements recorded before fire (2002–2003) after prescribed fire (2004–2007) and after wildfire (2008–2010) </w:t>
      </w:r>
      <w:r w:rsidR="00101157">
        <w:rPr>
          <w:rFonts w:ascii="Times New Roman" w:hAnsi="Times New Roman" w:cs="Times New Roman"/>
          <w:sz w:val="24"/>
          <w:szCs w:val="24"/>
        </w:rPr>
        <w:t>at</w:t>
      </w:r>
      <w:r w:rsidR="00CC3AC4">
        <w:rPr>
          <w:rFonts w:ascii="Times New Roman" w:hAnsi="Times New Roman" w:cs="Times New Roman"/>
          <w:sz w:val="24"/>
          <w:szCs w:val="24"/>
        </w:rPr>
        <w:t xml:space="preserve"> survey points. </w:t>
      </w:r>
      <w:r w:rsidR="00AB7233">
        <w:rPr>
          <w:rFonts w:ascii="Times New Roman" w:hAnsi="Times New Roman" w:cs="Times New Roman"/>
          <w:sz w:val="24"/>
          <w:szCs w:val="24"/>
        </w:rPr>
        <w:t>We translated field measurements into a series of 11 component</w:t>
      </w:r>
      <w:r>
        <w:rPr>
          <w:rFonts w:ascii="Times New Roman" w:hAnsi="Times New Roman" w:cs="Times New Roman"/>
          <w:sz w:val="24"/>
          <w:szCs w:val="24"/>
        </w:rPr>
        <w:t xml:space="preserve"> </w:t>
      </w:r>
      <w:r w:rsidR="00CC3AC4">
        <w:rPr>
          <w:rFonts w:ascii="Times New Roman" w:hAnsi="Times New Roman" w:cs="Times New Roman"/>
          <w:sz w:val="24"/>
          <w:szCs w:val="24"/>
        </w:rPr>
        <w:t>score</w:t>
      </w:r>
      <w:r w:rsidR="00AB7233">
        <w:rPr>
          <w:rFonts w:ascii="Times New Roman" w:hAnsi="Times New Roman" w:cs="Times New Roman"/>
          <w:sz w:val="24"/>
          <w:szCs w:val="24"/>
        </w:rPr>
        <w:t>s (0–3 range) quantifying either changes from before to after disturbance or post-disturbance conditions (Tables A1, A2).</w:t>
      </w:r>
      <w:r w:rsidR="00CC3AC4">
        <w:rPr>
          <w:rFonts w:ascii="Times New Roman" w:hAnsi="Times New Roman" w:cs="Times New Roman"/>
          <w:sz w:val="24"/>
          <w:szCs w:val="24"/>
        </w:rPr>
        <w:t xml:space="preserve"> </w:t>
      </w:r>
      <w:r w:rsidR="00AB7233">
        <w:rPr>
          <w:rFonts w:ascii="Times New Roman" w:hAnsi="Times New Roman" w:cs="Times New Roman"/>
          <w:sz w:val="24"/>
          <w:szCs w:val="24"/>
        </w:rPr>
        <w:t>We then averaged (mean) component scores to generate one CBI value for each survey point</w:t>
      </w:r>
      <w:r w:rsidR="00CC3AC4">
        <w:rPr>
          <w:rFonts w:ascii="Times New Roman" w:hAnsi="Times New Roman" w:cs="Times New Roman"/>
          <w:sz w:val="24"/>
          <w:szCs w:val="24"/>
        </w:rPr>
        <w:t xml:space="preserve">. </w:t>
      </w:r>
    </w:p>
    <w:p w:rsidR="00E91C3F" w:rsidRDefault="001E16FA" w:rsidP="00A5157C">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Environmental metrics that informed CBI quantified aspects of the canopy, understory, and downed wood (Table A1). Seven metrics quantified changes in canopy structure, understory cover, and weight of downed woody fuels. The remaining 4 metrics quantified aspects of burn severity apparent in canopy vegetation and downed wood after fire. </w:t>
      </w:r>
      <w:r w:rsidR="00EE79CC">
        <w:rPr>
          <w:rFonts w:ascii="Times New Roman" w:hAnsi="Times New Roman" w:cs="Times New Roman"/>
          <w:sz w:val="24"/>
          <w:szCs w:val="24"/>
        </w:rPr>
        <w:t>We centered all measurements on survey points but plot sizes varied among metrics (Table A1). We measured features of the canopy within plus-shaped plots consisting of 4 transects of varying width radiating in the 4 cardinal directions. We measured shrub and bare ground cover within 3 4m-radius circular plots – 1 centered on the survey point and 2 located 50m away to the north and south, respectively. We measured fuels that intersected linear transects</w:t>
      </w:r>
      <w:r w:rsidR="00363D0D">
        <w:rPr>
          <w:rFonts w:ascii="Times New Roman" w:hAnsi="Times New Roman" w:cs="Times New Roman"/>
          <w:sz w:val="24"/>
          <w:szCs w:val="24"/>
        </w:rPr>
        <w:t xml:space="preserve"> totaling 200 m,</w:t>
      </w:r>
      <w:r w:rsidR="00EE79CC">
        <w:rPr>
          <w:rFonts w:ascii="Times New Roman" w:hAnsi="Times New Roman" w:cs="Times New Roman"/>
          <w:sz w:val="24"/>
          <w:szCs w:val="24"/>
        </w:rPr>
        <w:t xml:space="preserve"> oriented in the </w:t>
      </w:r>
      <w:r w:rsidR="00363D0D">
        <w:rPr>
          <w:rFonts w:ascii="Times New Roman" w:hAnsi="Times New Roman" w:cs="Times New Roman"/>
          <w:sz w:val="24"/>
          <w:szCs w:val="24"/>
        </w:rPr>
        <w:t xml:space="preserve">4 cardinal directions, and </w:t>
      </w:r>
      <w:r w:rsidR="00EE79CC">
        <w:rPr>
          <w:rFonts w:ascii="Times New Roman" w:hAnsi="Times New Roman" w:cs="Times New Roman"/>
          <w:sz w:val="24"/>
          <w:szCs w:val="24"/>
        </w:rPr>
        <w:t xml:space="preserve">corresponding with the center line of </w:t>
      </w:r>
      <w:r w:rsidR="00363D0D">
        <w:rPr>
          <w:rFonts w:ascii="Times New Roman" w:hAnsi="Times New Roman" w:cs="Times New Roman"/>
          <w:sz w:val="24"/>
          <w:szCs w:val="24"/>
        </w:rPr>
        <w:t>canopy measurement plots.</w:t>
      </w:r>
      <w:r w:rsidR="00EE79CC">
        <w:rPr>
          <w:rFonts w:ascii="Times New Roman" w:hAnsi="Times New Roman" w:cs="Times New Roman"/>
          <w:sz w:val="24"/>
          <w:szCs w:val="24"/>
        </w:rPr>
        <w:t xml:space="preserve"> </w:t>
      </w:r>
      <w:r w:rsidR="00363D0D">
        <w:rPr>
          <w:rFonts w:ascii="Times New Roman" w:hAnsi="Times New Roman" w:cs="Times New Roman"/>
          <w:sz w:val="24"/>
          <w:szCs w:val="24"/>
        </w:rPr>
        <w:t xml:space="preserve">We estimated the weight of fuels </w:t>
      </w:r>
      <w:r w:rsidR="001D64A7">
        <w:rPr>
          <w:rFonts w:ascii="Times New Roman" w:hAnsi="Times New Roman" w:cs="Times New Roman"/>
          <w:sz w:val="24"/>
          <w:szCs w:val="24"/>
        </w:rPr>
        <w:t xml:space="preserve">following Brown (1974). </w:t>
      </w:r>
      <w:r>
        <w:rPr>
          <w:rFonts w:ascii="Times New Roman" w:hAnsi="Times New Roman" w:cs="Times New Roman"/>
          <w:sz w:val="24"/>
          <w:szCs w:val="24"/>
        </w:rPr>
        <w:t>For a given survey point, we only averaged component scores whose underlying habitat features were sufficiently capable of recording information on burn severity (Table A1). Thus, the number of components used to calculate final CBI values varied among points (mean = 6.9, SD = 2.2, min = 2, max = 11).</w:t>
      </w:r>
    </w:p>
    <w:p w:rsidR="006C45EF" w:rsidRDefault="006C45EF" w:rsidP="00A5157C">
      <w:pPr>
        <w:spacing w:after="0" w:line="240" w:lineRule="auto"/>
        <w:rPr>
          <w:rFonts w:ascii="Times New Roman" w:hAnsi="Times New Roman" w:cs="Times New Roman"/>
          <w:sz w:val="24"/>
          <w:szCs w:val="24"/>
        </w:rPr>
      </w:pPr>
    </w:p>
    <w:p w:rsidR="001D64A7" w:rsidRDefault="001D64A7" w:rsidP="00A5157C">
      <w:pPr>
        <w:spacing w:after="0" w:line="240" w:lineRule="auto"/>
        <w:rPr>
          <w:rFonts w:ascii="Times New Roman" w:hAnsi="Times New Roman" w:cs="Times New Roman"/>
          <w:sz w:val="24"/>
          <w:szCs w:val="24"/>
        </w:rPr>
      </w:pPr>
      <w:r w:rsidRPr="00363D0D">
        <w:rPr>
          <w:rFonts w:ascii="Times New Roman" w:hAnsi="Times New Roman" w:cs="Times New Roman"/>
          <w:sz w:val="24"/>
          <w:szCs w:val="24"/>
        </w:rPr>
        <w:t>Brown, J.K. 1974. Handbook for inventorying downed woody material. General Technical Report INT-16, Intermountain Forest and Range Experiment Station, USDA Forest Service. 32p.</w:t>
      </w:r>
    </w:p>
    <w:p w:rsidR="001D64A7" w:rsidRDefault="001D64A7" w:rsidP="00A5157C">
      <w:pPr>
        <w:spacing w:after="0" w:line="240" w:lineRule="auto"/>
        <w:rPr>
          <w:rFonts w:ascii="Times New Roman" w:hAnsi="Times New Roman" w:cs="Times New Roman"/>
          <w:sz w:val="24"/>
          <w:szCs w:val="24"/>
        </w:rPr>
      </w:pPr>
    </w:p>
    <w:p w:rsidR="00AB7233" w:rsidRDefault="006C45EF" w:rsidP="00A5157C">
      <w:pPr>
        <w:spacing w:after="0" w:line="240" w:lineRule="auto"/>
        <w:rPr>
          <w:rFonts w:ascii="Times New Roman" w:hAnsi="Times New Roman" w:cs="Times New Roman"/>
          <w:sz w:val="24"/>
          <w:szCs w:val="24"/>
        </w:rPr>
      </w:pPr>
      <w:r w:rsidRPr="006C45EF">
        <w:rPr>
          <w:rFonts w:ascii="Times New Roman" w:hAnsi="Times New Roman" w:cs="Times New Roman"/>
          <w:sz w:val="24"/>
          <w:szCs w:val="24"/>
        </w:rPr>
        <w:t>Key, C. H., and N. C. Benson. 2006. Landscape assessment. Sampling and analysis Methods. USDA Forest Service Gen. Tech. Rep. RMRS-GTR-164-CD.</w:t>
      </w:r>
    </w:p>
    <w:p w:rsidR="00BD28AC" w:rsidRDefault="00BD28AC">
      <w:pPr>
        <w:rPr>
          <w:rFonts w:ascii="Times New Roman" w:hAnsi="Times New Roman" w:cs="Times New Roman"/>
          <w:sz w:val="24"/>
          <w:szCs w:val="24"/>
        </w:rPr>
      </w:pPr>
      <w:r>
        <w:rPr>
          <w:rFonts w:ascii="Times New Roman" w:hAnsi="Times New Roman" w:cs="Times New Roman"/>
          <w:sz w:val="24"/>
          <w:szCs w:val="24"/>
        </w:rPr>
        <w:br w:type="page"/>
      </w:r>
    </w:p>
    <w:p w:rsidR="00AB7233" w:rsidRDefault="00BD28AC" w:rsidP="00A5157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A1. Environmental metrics used to generate component scores for calculating composite burn index (CBI). </w:t>
      </w:r>
      <w:r w:rsidR="00706BAB">
        <w:rPr>
          <w:rFonts w:ascii="Times New Roman" w:hAnsi="Times New Roman" w:cs="Times New Roman"/>
          <w:sz w:val="24"/>
          <w:szCs w:val="24"/>
        </w:rPr>
        <w:t>Inclusion criteria were used to determine whether a given component was sufficiently informative to be included in the set used to calculate the final CBI score for a given survey point.</w:t>
      </w:r>
    </w:p>
    <w:tbl>
      <w:tblPr>
        <w:tblW w:w="9140" w:type="dxa"/>
        <w:tblLook w:val="04A0" w:firstRow="1" w:lastRow="0" w:firstColumn="1" w:lastColumn="0" w:noHBand="0" w:noVBand="1"/>
      </w:tblPr>
      <w:tblGrid>
        <w:gridCol w:w="1720"/>
        <w:gridCol w:w="2680"/>
        <w:gridCol w:w="2320"/>
        <w:gridCol w:w="2420"/>
      </w:tblGrid>
      <w:tr w:rsidR="00BD28AC" w:rsidRPr="00BD28AC" w:rsidTr="00BD28AC">
        <w:trPr>
          <w:trHeight w:val="315"/>
        </w:trPr>
        <w:tc>
          <w:tcPr>
            <w:tcW w:w="1720" w:type="dxa"/>
            <w:tcBorders>
              <w:top w:val="single" w:sz="4" w:space="0" w:color="auto"/>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Component</w:t>
            </w:r>
          </w:p>
        </w:tc>
        <w:tc>
          <w:tcPr>
            <w:tcW w:w="2680" w:type="dxa"/>
            <w:tcBorders>
              <w:top w:val="single" w:sz="4" w:space="0" w:color="auto"/>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Description</w:t>
            </w:r>
          </w:p>
        </w:tc>
        <w:tc>
          <w:tcPr>
            <w:tcW w:w="2320" w:type="dxa"/>
            <w:tcBorders>
              <w:top w:val="single" w:sz="4" w:space="0" w:color="auto"/>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Measurement unit</w:t>
            </w:r>
          </w:p>
        </w:tc>
        <w:tc>
          <w:tcPr>
            <w:tcW w:w="2420" w:type="dxa"/>
            <w:tcBorders>
              <w:top w:val="single" w:sz="4" w:space="0" w:color="auto"/>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Inclusion criteria</w:t>
            </w:r>
          </w:p>
        </w:tc>
      </w:tr>
      <w:tr w:rsidR="00BD28AC" w:rsidRPr="00BD28AC" w:rsidTr="00BD28AC">
        <w:trPr>
          <w:trHeight w:val="1005"/>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 xml:space="preserve">Medium </w:t>
            </w:r>
            <w:proofErr w:type="spellStart"/>
            <w:r w:rsidRPr="00BD28AC">
              <w:rPr>
                <w:rFonts w:ascii="Times New Roman" w:eastAsia="Times New Roman" w:hAnsi="Times New Roman" w:cs="Times New Roman"/>
                <w:color w:val="000000"/>
                <w:sz w:val="24"/>
                <w:szCs w:val="24"/>
              </w:rPr>
              <w:t>fuels</w:t>
            </w:r>
            <w:r w:rsidRPr="00BD28AC">
              <w:rPr>
                <w:rFonts w:ascii="Times New Roman" w:eastAsia="Times New Roman" w:hAnsi="Times New Roman" w:cs="Times New Roman"/>
                <w:color w:val="000000"/>
                <w:sz w:val="24"/>
                <w:szCs w:val="24"/>
                <w:vertAlign w:val="superscript"/>
              </w:rPr>
              <w:t>a</w:t>
            </w:r>
            <w:proofErr w:type="spellEnd"/>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Percent decrease in weight of medium (7.6 to &lt; 23 cm diameter) downed wood</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4 50m transects (200 m total) radiating in 4 cardinal directions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5 pieces of medium fuel counted pre-disturbance</w:t>
            </w:r>
          </w:p>
        </w:tc>
      </w:tr>
      <w:tr w:rsidR="00BD28AC" w:rsidRPr="00BD28AC" w:rsidTr="00BD28AC">
        <w:trPr>
          <w:trHeight w:val="945"/>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 xml:space="preserve">Large </w:t>
            </w:r>
            <w:proofErr w:type="spellStart"/>
            <w:r w:rsidRPr="00BD28AC">
              <w:rPr>
                <w:rFonts w:ascii="Times New Roman" w:eastAsia="Times New Roman" w:hAnsi="Times New Roman" w:cs="Times New Roman"/>
                <w:color w:val="000000"/>
                <w:sz w:val="24"/>
                <w:szCs w:val="24"/>
              </w:rPr>
              <w:t>fuels</w:t>
            </w:r>
            <w:r w:rsidRPr="00BD28AC">
              <w:rPr>
                <w:rFonts w:ascii="Times New Roman" w:eastAsia="Times New Roman" w:hAnsi="Times New Roman" w:cs="Times New Roman"/>
                <w:color w:val="000000"/>
                <w:sz w:val="24"/>
                <w:szCs w:val="24"/>
                <w:vertAlign w:val="superscript"/>
              </w:rPr>
              <w:t>a</w:t>
            </w:r>
            <w:proofErr w:type="spellEnd"/>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Percent decrease in weight of large (≥ 23 cm diameter) downed wood</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4 50m transects (200 m total) radiating in 4 cardinal directions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5 pieces of large fuel counted pre-disturbance</w:t>
            </w:r>
          </w:p>
        </w:tc>
      </w:tr>
      <w:tr w:rsidR="00BD28AC" w:rsidRPr="00BD28AC" w:rsidTr="00BD28AC">
        <w:trPr>
          <w:trHeight w:val="630"/>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Large fuel char</w:t>
            </w:r>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Post-burn char class for large downed wood</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as for large fuels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0 pieces of large fuel present post-disturbance</w:t>
            </w:r>
          </w:p>
        </w:tc>
      </w:tr>
      <w:tr w:rsidR="00BD28AC" w:rsidRPr="00BD28AC" w:rsidTr="00BD28AC">
        <w:trPr>
          <w:trHeight w:val="630"/>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Shrubs</w:t>
            </w:r>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Decrease in percent cover of shrubs</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3 4m-radius circular plots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5% shrub cover pre-disturbance</w:t>
            </w:r>
          </w:p>
        </w:tc>
      </w:tr>
      <w:tr w:rsidR="00BD28AC" w:rsidRPr="00BD28AC" w:rsidTr="00BD28AC">
        <w:trPr>
          <w:trHeight w:val="630"/>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Bare ground</w:t>
            </w:r>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Increase in percent bare ground</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3 4m-radius circular plots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 70% bare ground pre-disturbance</w:t>
            </w:r>
          </w:p>
        </w:tc>
      </w:tr>
      <w:tr w:rsidR="00BD28AC" w:rsidRPr="00BD28AC" w:rsidTr="00BD28AC">
        <w:trPr>
          <w:trHeight w:val="1005"/>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 xml:space="preserve">Small </w:t>
            </w:r>
            <w:proofErr w:type="spellStart"/>
            <w:r w:rsidRPr="00BD28AC">
              <w:rPr>
                <w:rFonts w:ascii="Times New Roman" w:eastAsia="Times New Roman" w:hAnsi="Times New Roman" w:cs="Times New Roman"/>
                <w:color w:val="000000"/>
                <w:sz w:val="24"/>
                <w:szCs w:val="24"/>
              </w:rPr>
              <w:t>trees</w:t>
            </w:r>
            <w:r w:rsidRPr="00BD28AC">
              <w:rPr>
                <w:rFonts w:ascii="Times New Roman" w:eastAsia="Times New Roman" w:hAnsi="Times New Roman" w:cs="Times New Roman"/>
                <w:color w:val="000000"/>
                <w:sz w:val="24"/>
                <w:szCs w:val="24"/>
                <w:vertAlign w:val="superscript"/>
              </w:rPr>
              <w:t>b</w:t>
            </w:r>
            <w:proofErr w:type="spellEnd"/>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Percent decrease in number of small live trees (&lt; 8 cm DBH)</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4 100m</w:t>
            </w:r>
            <w:r w:rsidRPr="00BD28AC">
              <w:rPr>
                <w:rFonts w:ascii="Times New Roman" w:eastAsia="Times New Roman" w:hAnsi="Times New Roman" w:cs="Times New Roman"/>
                <w:color w:val="000000"/>
                <w:sz w:val="24"/>
                <w:szCs w:val="24"/>
                <w:vertAlign w:val="superscript"/>
              </w:rPr>
              <w:t>2</w:t>
            </w:r>
            <w:r w:rsidRPr="00BD28AC">
              <w:rPr>
                <w:rFonts w:ascii="Times New Roman" w:eastAsia="Times New Roman" w:hAnsi="Times New Roman" w:cs="Times New Roman"/>
                <w:color w:val="000000"/>
                <w:sz w:val="24"/>
                <w:szCs w:val="24"/>
              </w:rPr>
              <w:t xml:space="preserve"> plots (400 m</w:t>
            </w:r>
            <w:r w:rsidRPr="00BD28AC">
              <w:rPr>
                <w:rFonts w:ascii="Times New Roman" w:eastAsia="Times New Roman" w:hAnsi="Times New Roman" w:cs="Times New Roman"/>
                <w:color w:val="000000"/>
                <w:sz w:val="24"/>
                <w:szCs w:val="24"/>
                <w:vertAlign w:val="superscript"/>
              </w:rPr>
              <w:t>2</w:t>
            </w:r>
            <w:r w:rsidRPr="00BD28AC">
              <w:rPr>
                <w:rFonts w:ascii="Times New Roman" w:eastAsia="Times New Roman" w:hAnsi="Times New Roman" w:cs="Times New Roman"/>
                <w:color w:val="000000"/>
                <w:sz w:val="24"/>
                <w:szCs w:val="24"/>
              </w:rPr>
              <w:t xml:space="preserve"> total) radiating in 4 cardinal directions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5 small live trees in plot before disturbance</w:t>
            </w:r>
          </w:p>
        </w:tc>
      </w:tr>
      <w:tr w:rsidR="00BD28AC" w:rsidRPr="00BD28AC" w:rsidTr="00BD28AC">
        <w:trPr>
          <w:trHeight w:val="1005"/>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 xml:space="preserve">Medium </w:t>
            </w:r>
            <w:proofErr w:type="spellStart"/>
            <w:r w:rsidRPr="00BD28AC">
              <w:rPr>
                <w:rFonts w:ascii="Times New Roman" w:eastAsia="Times New Roman" w:hAnsi="Times New Roman" w:cs="Times New Roman"/>
                <w:color w:val="000000"/>
                <w:sz w:val="24"/>
                <w:szCs w:val="24"/>
              </w:rPr>
              <w:t>trees</w:t>
            </w:r>
            <w:r w:rsidRPr="00BD28AC">
              <w:rPr>
                <w:rFonts w:ascii="Times New Roman" w:eastAsia="Times New Roman" w:hAnsi="Times New Roman" w:cs="Times New Roman"/>
                <w:color w:val="000000"/>
                <w:sz w:val="24"/>
                <w:szCs w:val="24"/>
                <w:vertAlign w:val="superscript"/>
              </w:rPr>
              <w:t>b</w:t>
            </w:r>
            <w:proofErr w:type="spellEnd"/>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Percent decrease in number of medium live trees (8 to &lt; 23 cm DBH)</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4 100m</w:t>
            </w:r>
            <w:r w:rsidRPr="00BD28AC">
              <w:rPr>
                <w:rFonts w:ascii="Times New Roman" w:eastAsia="Times New Roman" w:hAnsi="Times New Roman" w:cs="Times New Roman"/>
                <w:color w:val="000000"/>
                <w:sz w:val="24"/>
                <w:szCs w:val="24"/>
                <w:vertAlign w:val="superscript"/>
              </w:rPr>
              <w:t>2</w:t>
            </w:r>
            <w:r w:rsidRPr="00BD28AC">
              <w:rPr>
                <w:rFonts w:ascii="Times New Roman" w:eastAsia="Times New Roman" w:hAnsi="Times New Roman" w:cs="Times New Roman"/>
                <w:color w:val="000000"/>
                <w:sz w:val="24"/>
                <w:szCs w:val="24"/>
              </w:rPr>
              <w:t xml:space="preserve"> plots (400 m</w:t>
            </w:r>
            <w:r w:rsidRPr="00BD28AC">
              <w:rPr>
                <w:rFonts w:ascii="Times New Roman" w:eastAsia="Times New Roman" w:hAnsi="Times New Roman" w:cs="Times New Roman"/>
                <w:color w:val="000000"/>
                <w:sz w:val="24"/>
                <w:szCs w:val="24"/>
                <w:vertAlign w:val="superscript"/>
              </w:rPr>
              <w:t>2</w:t>
            </w:r>
            <w:r w:rsidRPr="00BD28AC">
              <w:rPr>
                <w:rFonts w:ascii="Times New Roman" w:eastAsia="Times New Roman" w:hAnsi="Times New Roman" w:cs="Times New Roman"/>
                <w:color w:val="000000"/>
                <w:sz w:val="24"/>
                <w:szCs w:val="24"/>
              </w:rPr>
              <w:t xml:space="preserve"> total) radiating in 4 cardinal directions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5 medium live trees in plot before disturbance</w:t>
            </w:r>
          </w:p>
        </w:tc>
      </w:tr>
      <w:tr w:rsidR="00BD28AC" w:rsidRPr="00BD28AC" w:rsidTr="00BD28AC">
        <w:trPr>
          <w:trHeight w:val="1065"/>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Large trees</w:t>
            </w:r>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Percent decrease in number of large live trees (≥ 23 cm DBH)</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4 300m</w:t>
            </w:r>
            <w:r w:rsidRPr="00BD28AC">
              <w:rPr>
                <w:rFonts w:ascii="Times New Roman" w:eastAsia="Times New Roman" w:hAnsi="Times New Roman" w:cs="Times New Roman"/>
                <w:color w:val="000000"/>
                <w:sz w:val="24"/>
                <w:szCs w:val="24"/>
                <w:vertAlign w:val="superscript"/>
              </w:rPr>
              <w:t>2</w:t>
            </w:r>
            <w:r w:rsidRPr="00BD28AC">
              <w:rPr>
                <w:rFonts w:ascii="Times New Roman" w:eastAsia="Times New Roman" w:hAnsi="Times New Roman" w:cs="Times New Roman"/>
                <w:color w:val="000000"/>
                <w:sz w:val="24"/>
                <w:szCs w:val="24"/>
              </w:rPr>
              <w:t xml:space="preserve"> plots (1200 m</w:t>
            </w:r>
            <w:r w:rsidRPr="00BD28AC">
              <w:rPr>
                <w:rFonts w:ascii="Times New Roman" w:eastAsia="Times New Roman" w:hAnsi="Times New Roman" w:cs="Times New Roman"/>
                <w:color w:val="000000"/>
                <w:sz w:val="24"/>
                <w:szCs w:val="24"/>
                <w:vertAlign w:val="superscript"/>
              </w:rPr>
              <w:t>2</w:t>
            </w:r>
            <w:r w:rsidRPr="00BD28AC">
              <w:rPr>
                <w:rFonts w:ascii="Times New Roman" w:eastAsia="Times New Roman" w:hAnsi="Times New Roman" w:cs="Times New Roman"/>
                <w:color w:val="000000"/>
                <w:sz w:val="24"/>
                <w:szCs w:val="24"/>
              </w:rPr>
              <w:t xml:space="preserve"> total) radiating in 4 cardinal directions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0 large live trees in plot before disturbance</w:t>
            </w:r>
          </w:p>
        </w:tc>
      </w:tr>
      <w:tr w:rsidR="00BD28AC" w:rsidRPr="00BD28AC" w:rsidTr="00BD28AC">
        <w:trPr>
          <w:trHeight w:val="630"/>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Large tree bole scorch</w:t>
            </w:r>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Post-burn mean char height (m) along large-tree boles</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as for large trees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0 large live trees in plot after disturbance</w:t>
            </w:r>
          </w:p>
        </w:tc>
      </w:tr>
      <w:tr w:rsidR="00BD28AC" w:rsidRPr="00BD28AC" w:rsidTr="00BD28AC">
        <w:trPr>
          <w:trHeight w:val="945"/>
        </w:trPr>
        <w:tc>
          <w:tcPr>
            <w:tcW w:w="17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Canopy green</w:t>
            </w:r>
          </w:p>
        </w:tc>
        <w:tc>
          <w:tcPr>
            <w:tcW w:w="268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Post-burn percent tree canopy green (unaltered)</w:t>
            </w:r>
          </w:p>
        </w:tc>
        <w:tc>
          <w:tcPr>
            <w:tcW w:w="23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as for large trees</w:t>
            </w:r>
          </w:p>
        </w:tc>
        <w:tc>
          <w:tcPr>
            <w:tcW w:w="2420" w:type="dxa"/>
            <w:tcBorders>
              <w:top w:val="nil"/>
              <w:left w:val="nil"/>
              <w:bottom w:val="nil"/>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0 large live trees with needles in plot after disturbance</w:t>
            </w:r>
          </w:p>
        </w:tc>
      </w:tr>
      <w:tr w:rsidR="00BD28AC" w:rsidRPr="00BD28AC" w:rsidTr="00BD28AC">
        <w:trPr>
          <w:trHeight w:val="945"/>
        </w:trPr>
        <w:tc>
          <w:tcPr>
            <w:tcW w:w="1720" w:type="dxa"/>
            <w:tcBorders>
              <w:top w:val="nil"/>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Canopy brown</w:t>
            </w:r>
          </w:p>
        </w:tc>
        <w:tc>
          <w:tcPr>
            <w:tcW w:w="2680" w:type="dxa"/>
            <w:tcBorders>
              <w:top w:val="nil"/>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Post-burn percent tree canopy brown (scorch)</w:t>
            </w:r>
          </w:p>
        </w:tc>
        <w:tc>
          <w:tcPr>
            <w:tcW w:w="2320" w:type="dxa"/>
            <w:tcBorders>
              <w:top w:val="nil"/>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as for large trees</w:t>
            </w:r>
          </w:p>
        </w:tc>
        <w:tc>
          <w:tcPr>
            <w:tcW w:w="2420" w:type="dxa"/>
            <w:tcBorders>
              <w:top w:val="nil"/>
              <w:left w:val="nil"/>
              <w:bottom w:val="single" w:sz="4" w:space="0" w:color="auto"/>
              <w:right w:val="nil"/>
            </w:tcBorders>
            <w:shd w:val="clear" w:color="auto" w:fill="auto"/>
            <w:hideMark/>
          </w:tcPr>
          <w:p w:rsidR="00BD28AC" w:rsidRPr="00BD28AC" w:rsidRDefault="00BD28AC" w:rsidP="00BD28AC">
            <w:pPr>
              <w:spacing w:after="0" w:line="240" w:lineRule="auto"/>
              <w:rPr>
                <w:rFonts w:ascii="Times New Roman" w:eastAsia="Times New Roman" w:hAnsi="Times New Roman" w:cs="Times New Roman"/>
                <w:color w:val="000000"/>
                <w:sz w:val="24"/>
                <w:szCs w:val="24"/>
              </w:rPr>
            </w:pPr>
            <w:r w:rsidRPr="00BD28AC">
              <w:rPr>
                <w:rFonts w:ascii="Times New Roman" w:eastAsia="Times New Roman" w:hAnsi="Times New Roman" w:cs="Times New Roman"/>
                <w:color w:val="000000"/>
                <w:sz w:val="24"/>
                <w:szCs w:val="24"/>
              </w:rPr>
              <w:t>&gt; 0 large live trees with needles in plot after disturbance</w:t>
            </w:r>
          </w:p>
        </w:tc>
      </w:tr>
    </w:tbl>
    <w:p w:rsidR="00BD28AC" w:rsidRDefault="00706BAB" w:rsidP="00A5157C">
      <w:pPr>
        <w:spacing w:after="0" w:line="240" w:lineRule="auto"/>
        <w:rPr>
          <w:rFonts w:ascii="Times New Roman" w:hAnsi="Times New Roman" w:cs="Times New Roman"/>
          <w:sz w:val="24"/>
          <w:szCs w:val="24"/>
        </w:rPr>
      </w:pPr>
      <w:proofErr w:type="spellStart"/>
      <w:proofErr w:type="gramStart"/>
      <w:r w:rsidRPr="00706BAB">
        <w:rPr>
          <w:rFonts w:ascii="Times New Roman" w:hAnsi="Times New Roman" w:cs="Times New Roman"/>
          <w:sz w:val="24"/>
          <w:szCs w:val="24"/>
          <w:vertAlign w:val="superscript"/>
        </w:rPr>
        <w:t>a</w:t>
      </w:r>
      <w:r w:rsidRPr="00706BAB">
        <w:rPr>
          <w:rFonts w:ascii="Times New Roman" w:hAnsi="Times New Roman" w:cs="Times New Roman"/>
          <w:sz w:val="24"/>
          <w:szCs w:val="24"/>
        </w:rPr>
        <w:t>Scores</w:t>
      </w:r>
      <w:proofErr w:type="spellEnd"/>
      <w:proofErr w:type="gramEnd"/>
      <w:r w:rsidRPr="00706BAB">
        <w:rPr>
          <w:rFonts w:ascii="Times New Roman" w:hAnsi="Times New Roman" w:cs="Times New Roman"/>
          <w:sz w:val="24"/>
          <w:szCs w:val="24"/>
        </w:rPr>
        <w:t xml:space="preserve"> for medium and large fuels were averaged (mean) and combined to form a single component for sites with &lt; 5 medium and &lt; 5 large pieces but ≥ 5 pieces of both.</w:t>
      </w:r>
      <w:r>
        <w:rPr>
          <w:rFonts w:ascii="Times New Roman" w:hAnsi="Times New Roman" w:cs="Times New Roman"/>
          <w:sz w:val="24"/>
          <w:szCs w:val="24"/>
        </w:rPr>
        <w:t xml:space="preserve"> For each metric, we counted pieces that intersected 50m transect lines radiating in the 4 cardinal directions from the survey point.</w:t>
      </w:r>
    </w:p>
    <w:p w:rsidR="00706BAB" w:rsidRDefault="00706BAB" w:rsidP="00A5157C">
      <w:pPr>
        <w:spacing w:after="0" w:line="240" w:lineRule="auto"/>
        <w:rPr>
          <w:rFonts w:ascii="Times New Roman" w:hAnsi="Times New Roman" w:cs="Times New Roman"/>
          <w:sz w:val="24"/>
          <w:szCs w:val="24"/>
        </w:rPr>
      </w:pPr>
      <w:proofErr w:type="spellStart"/>
      <w:proofErr w:type="gramStart"/>
      <w:r w:rsidRPr="00706BAB">
        <w:rPr>
          <w:rFonts w:ascii="Times New Roman" w:hAnsi="Times New Roman" w:cs="Times New Roman"/>
          <w:sz w:val="24"/>
          <w:szCs w:val="24"/>
          <w:vertAlign w:val="superscript"/>
        </w:rPr>
        <w:lastRenderedPageBreak/>
        <w:t>b</w:t>
      </w:r>
      <w:r w:rsidRPr="00706BAB">
        <w:rPr>
          <w:rFonts w:ascii="Times New Roman" w:hAnsi="Times New Roman" w:cs="Times New Roman"/>
          <w:sz w:val="24"/>
          <w:szCs w:val="24"/>
        </w:rPr>
        <w:t>Scores</w:t>
      </w:r>
      <w:proofErr w:type="spellEnd"/>
      <w:proofErr w:type="gramEnd"/>
      <w:r w:rsidRPr="00706BAB">
        <w:rPr>
          <w:rFonts w:ascii="Times New Roman" w:hAnsi="Times New Roman" w:cs="Times New Roman"/>
          <w:sz w:val="24"/>
          <w:szCs w:val="24"/>
        </w:rPr>
        <w:t xml:space="preserve"> for small and medium trees were averaged (mean) and combined to form a single component for sites with &lt; 5 small and &lt; 5 medium trees but ≥ 5 of both </w:t>
      </w:r>
      <w:proofErr w:type="spellStart"/>
      <w:r w:rsidRPr="00706BAB">
        <w:rPr>
          <w:rFonts w:ascii="Times New Roman" w:hAnsi="Times New Roman" w:cs="Times New Roman"/>
          <w:sz w:val="24"/>
          <w:szCs w:val="24"/>
        </w:rPr>
        <w:t>both</w:t>
      </w:r>
      <w:proofErr w:type="spellEnd"/>
      <w:r w:rsidRPr="00706BAB">
        <w:rPr>
          <w:rFonts w:ascii="Times New Roman" w:hAnsi="Times New Roman" w:cs="Times New Roman"/>
          <w:sz w:val="24"/>
          <w:szCs w:val="24"/>
        </w:rPr>
        <w:t>.</w:t>
      </w:r>
    </w:p>
    <w:p w:rsidR="007174ED" w:rsidRDefault="007174ED" w:rsidP="007174ED">
      <w:pPr>
        <w:rPr>
          <w:rFonts w:ascii="Times New Roman" w:hAnsi="Times New Roman" w:cs="Times New Roman"/>
          <w:sz w:val="24"/>
          <w:szCs w:val="24"/>
        </w:rPr>
        <w:sectPr w:rsidR="007174ED">
          <w:pgSz w:w="12240" w:h="15840"/>
          <w:pgMar w:top="1440" w:right="1440" w:bottom="1440" w:left="1440" w:header="720" w:footer="720" w:gutter="0"/>
          <w:cols w:space="720"/>
          <w:docGrid w:linePitch="360"/>
        </w:sectPr>
      </w:pPr>
    </w:p>
    <w:p w:rsidR="007174ED" w:rsidRDefault="007174ED" w:rsidP="007174ED">
      <w:pPr>
        <w:rPr>
          <w:rFonts w:ascii="Times New Roman" w:hAnsi="Times New Roman" w:cs="Times New Roman"/>
          <w:sz w:val="24"/>
          <w:szCs w:val="24"/>
        </w:rPr>
      </w:pPr>
      <w:r>
        <w:rPr>
          <w:rFonts w:ascii="Times New Roman" w:hAnsi="Times New Roman" w:cs="Times New Roman"/>
          <w:sz w:val="24"/>
          <w:szCs w:val="24"/>
        </w:rPr>
        <w:lastRenderedPageBreak/>
        <w:t>Table A2.</w:t>
      </w:r>
      <w:r w:rsidR="00BD12EF">
        <w:rPr>
          <w:rFonts w:ascii="Times New Roman" w:hAnsi="Times New Roman" w:cs="Times New Roman"/>
          <w:sz w:val="24"/>
          <w:szCs w:val="24"/>
        </w:rPr>
        <w:t xml:space="preserve"> Translation of environmental metrics into 11 component scores (0–3) for composite burn index (CBI). Component scores were averaged (mean) to generate one value for each survey point.</w:t>
      </w:r>
    </w:p>
    <w:tbl>
      <w:tblPr>
        <w:tblW w:w="0" w:type="auto"/>
        <w:tblLook w:val="04A0" w:firstRow="1" w:lastRow="0" w:firstColumn="1" w:lastColumn="0" w:noHBand="0" w:noVBand="1"/>
      </w:tblPr>
      <w:tblGrid>
        <w:gridCol w:w="2355"/>
        <w:gridCol w:w="1176"/>
        <w:gridCol w:w="1698"/>
        <w:gridCol w:w="1578"/>
        <w:gridCol w:w="1578"/>
        <w:gridCol w:w="1609"/>
        <w:gridCol w:w="1578"/>
        <w:gridCol w:w="1196"/>
      </w:tblGrid>
      <w:tr w:rsidR="007174ED" w:rsidRPr="007174ED" w:rsidTr="007174ED">
        <w:trPr>
          <w:trHeight w:val="315"/>
        </w:trPr>
        <w:tc>
          <w:tcPr>
            <w:tcW w:w="0" w:type="auto"/>
            <w:vMerge w:val="restart"/>
            <w:tcBorders>
              <w:top w:val="single" w:sz="4" w:space="0" w:color="auto"/>
              <w:left w:val="nil"/>
              <w:bottom w:val="single" w:sz="4" w:space="0" w:color="000000"/>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Component</w:t>
            </w:r>
          </w:p>
        </w:tc>
        <w:tc>
          <w:tcPr>
            <w:tcW w:w="0" w:type="auto"/>
            <w:gridSpan w:val="7"/>
            <w:tcBorders>
              <w:top w:val="single" w:sz="4" w:space="0" w:color="auto"/>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Burn severity index</w:t>
            </w:r>
          </w:p>
        </w:tc>
      </w:tr>
      <w:tr w:rsidR="007174ED" w:rsidRPr="007174ED" w:rsidTr="007174ED">
        <w:trPr>
          <w:trHeight w:val="315"/>
        </w:trPr>
        <w:tc>
          <w:tcPr>
            <w:tcW w:w="0" w:type="auto"/>
            <w:vMerge/>
            <w:tcBorders>
              <w:top w:val="single" w:sz="4" w:space="0" w:color="auto"/>
              <w:left w:val="nil"/>
              <w:bottom w:val="single" w:sz="4" w:space="0" w:color="000000"/>
              <w:right w:val="nil"/>
            </w:tcBorders>
            <w:vAlign w:val="center"/>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0.5</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1.5</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2.5</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3</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Medium fuels</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&lt; 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 to &lt; 20%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20 to &lt; 30%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30 to &lt; 40%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40 to &lt; 50%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50 to &lt; 60%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u w:val="single"/>
              </w:rPr>
            </w:pPr>
            <w:r w:rsidRPr="007174ED">
              <w:rPr>
                <w:rFonts w:ascii="Times New Roman" w:eastAsia="Times New Roman" w:hAnsi="Times New Roman" w:cs="Times New Roman"/>
                <w:color w:val="000000"/>
                <w:sz w:val="24"/>
                <w:szCs w:val="24"/>
                <w:u w:val="single"/>
              </w:rPr>
              <w:t xml:space="preserve">&gt; </w:t>
            </w:r>
            <w:r w:rsidRPr="007174ED">
              <w:rPr>
                <w:rFonts w:ascii="Times New Roman" w:eastAsia="Times New Roman" w:hAnsi="Times New Roman" w:cs="Times New Roman"/>
                <w:color w:val="000000"/>
                <w:sz w:val="24"/>
                <w:szCs w:val="24"/>
              </w:rPr>
              <w:t>60%</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Large fuels</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&lt; 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 to &lt; 10%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 to &lt; 17.5%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17.5 to &lt; 25%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25 to &lt; 32.5%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32.5 to &lt; 40%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u w:val="single"/>
              </w:rPr>
            </w:pPr>
            <w:r w:rsidRPr="007174ED">
              <w:rPr>
                <w:rFonts w:ascii="Times New Roman" w:eastAsia="Times New Roman" w:hAnsi="Times New Roman" w:cs="Times New Roman"/>
                <w:color w:val="000000"/>
                <w:sz w:val="24"/>
                <w:szCs w:val="24"/>
                <w:u w:val="single"/>
              </w:rPr>
              <w:t>&gt;</w:t>
            </w:r>
            <w:r w:rsidRPr="007174ED">
              <w:rPr>
                <w:rFonts w:ascii="Times New Roman" w:eastAsia="Times New Roman" w:hAnsi="Times New Roman" w:cs="Times New Roman"/>
                <w:color w:val="000000"/>
                <w:sz w:val="24"/>
                <w:szCs w:val="24"/>
              </w:rPr>
              <w:t xml:space="preserve"> 40%</w:t>
            </w:r>
          </w:p>
        </w:tc>
      </w:tr>
      <w:tr w:rsidR="007174ED" w:rsidRPr="007174ED" w:rsidTr="007174ED">
        <w:trPr>
          <w:trHeight w:val="37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 xml:space="preserve">Large fuel </w:t>
            </w:r>
            <w:proofErr w:type="spellStart"/>
            <w:r w:rsidRPr="007174ED">
              <w:rPr>
                <w:rFonts w:ascii="Times New Roman" w:eastAsia="Times New Roman" w:hAnsi="Times New Roman" w:cs="Times New Roman"/>
                <w:color w:val="000000"/>
                <w:sz w:val="24"/>
                <w:szCs w:val="24"/>
              </w:rPr>
              <w:t>char</w:t>
            </w:r>
            <w:r w:rsidRPr="007174ED">
              <w:rPr>
                <w:rFonts w:ascii="Times New Roman" w:eastAsia="Times New Roman" w:hAnsi="Times New Roman" w:cs="Times New Roman"/>
                <w:color w:val="000000"/>
                <w:sz w:val="24"/>
                <w:szCs w:val="24"/>
                <w:vertAlign w:val="superscript"/>
              </w:rPr>
              <w:t>a</w:t>
            </w:r>
            <w:proofErr w:type="spellEnd"/>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Unburned</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Light char</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Moderate char</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Deep char</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Shrubs</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&lt; 2.5%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2.5 to &lt; 10%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 to &lt; 30%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30 to &lt; 50%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50 to &lt; 80%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80 to &lt; 100%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100%</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Bare ground</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 to &lt; 2.5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2.5 to &lt; 7.5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7.5 to &lt; 17.5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17.5 to &lt; 40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40 to &lt; 60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60 to &lt; 80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u w:val="single"/>
              </w:rPr>
            </w:pPr>
            <w:r w:rsidRPr="007174ED">
              <w:rPr>
                <w:rFonts w:ascii="Times New Roman" w:eastAsia="Times New Roman" w:hAnsi="Times New Roman" w:cs="Times New Roman"/>
                <w:color w:val="000000"/>
                <w:sz w:val="24"/>
                <w:szCs w:val="24"/>
                <w:u w:val="single"/>
              </w:rPr>
              <w:t>&gt;</w:t>
            </w:r>
            <w:r w:rsidRPr="007174ED">
              <w:rPr>
                <w:rFonts w:ascii="Times New Roman" w:eastAsia="Times New Roman" w:hAnsi="Times New Roman" w:cs="Times New Roman"/>
                <w:color w:val="000000"/>
                <w:sz w:val="24"/>
                <w:szCs w:val="24"/>
              </w:rPr>
              <w:t xml:space="preserve"> 80</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Small trees</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&lt; 2.5%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2.5 to &lt; 10%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 to &lt; 30%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30 to &lt; 50%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50 to &lt; 80%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80 to &lt; 100%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100%</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Medium trees</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0.1 to &lt; 10%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 to &lt; 40%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40 to &lt; 70%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70 to &lt; 85%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85 to &lt; 99%</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u w:val="single"/>
              </w:rPr>
            </w:pPr>
            <w:r w:rsidRPr="007174ED">
              <w:rPr>
                <w:rFonts w:ascii="Times New Roman" w:eastAsia="Times New Roman" w:hAnsi="Times New Roman" w:cs="Times New Roman"/>
                <w:color w:val="000000"/>
                <w:sz w:val="24"/>
                <w:szCs w:val="24"/>
                <w:u w:val="single"/>
              </w:rPr>
              <w:t>&gt;</w:t>
            </w:r>
            <w:r w:rsidRPr="007174ED">
              <w:rPr>
                <w:rFonts w:ascii="Times New Roman" w:eastAsia="Times New Roman" w:hAnsi="Times New Roman" w:cs="Times New Roman"/>
                <w:color w:val="000000"/>
                <w:sz w:val="24"/>
                <w:szCs w:val="24"/>
              </w:rPr>
              <w:t xml:space="preserve"> 99%</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Large trees</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0.1 to &lt; 10%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 to &lt; 40%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40 to &lt; 70%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70 to &lt; 85%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85 to &lt; 99%</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u w:val="single"/>
              </w:rPr>
            </w:pPr>
            <w:r w:rsidRPr="007174ED">
              <w:rPr>
                <w:rFonts w:ascii="Times New Roman" w:eastAsia="Times New Roman" w:hAnsi="Times New Roman" w:cs="Times New Roman"/>
                <w:color w:val="000000"/>
                <w:sz w:val="24"/>
                <w:szCs w:val="24"/>
                <w:u w:val="single"/>
              </w:rPr>
              <w:t>&gt;</w:t>
            </w:r>
            <w:r w:rsidRPr="007174ED">
              <w:rPr>
                <w:rFonts w:ascii="Times New Roman" w:eastAsia="Times New Roman" w:hAnsi="Times New Roman" w:cs="Times New Roman"/>
                <w:color w:val="000000"/>
                <w:sz w:val="24"/>
                <w:szCs w:val="24"/>
              </w:rPr>
              <w:t xml:space="preserve"> 99%</w:t>
            </w:r>
          </w:p>
        </w:tc>
      </w:tr>
      <w:tr w:rsidR="007174ED" w:rsidRPr="007174ED" w:rsidTr="007174ED">
        <w:trPr>
          <w:trHeight w:val="31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Large tree bole scorch</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 m</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0.1 to &lt; 1.8 m</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1.8 to &lt; 2.9 m</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2.9 to &lt; 4 m</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4 to &lt; 5.5 m</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5.5 to &lt; 7 m</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u w:val="single"/>
              </w:rPr>
            </w:pPr>
            <w:r w:rsidRPr="007174ED">
              <w:rPr>
                <w:rFonts w:ascii="Times New Roman" w:eastAsia="Times New Roman" w:hAnsi="Times New Roman" w:cs="Times New Roman"/>
                <w:color w:val="000000"/>
                <w:sz w:val="24"/>
                <w:szCs w:val="24"/>
                <w:u w:val="single"/>
              </w:rPr>
              <w:t>&gt;</w:t>
            </w:r>
            <w:r w:rsidRPr="007174ED">
              <w:rPr>
                <w:rFonts w:ascii="Times New Roman" w:eastAsia="Times New Roman" w:hAnsi="Times New Roman" w:cs="Times New Roman"/>
                <w:color w:val="000000"/>
                <w:sz w:val="24"/>
                <w:szCs w:val="24"/>
              </w:rPr>
              <w:t xml:space="preserve"> 7 m</w:t>
            </w:r>
          </w:p>
        </w:tc>
      </w:tr>
      <w:tr w:rsidR="007174ED" w:rsidRPr="007174ED" w:rsidTr="007174ED">
        <w:trPr>
          <w:trHeight w:val="375"/>
        </w:trPr>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 xml:space="preserve">Canopy </w:t>
            </w:r>
            <w:proofErr w:type="spellStart"/>
            <w:r w:rsidRPr="007174ED">
              <w:rPr>
                <w:rFonts w:ascii="Times New Roman" w:eastAsia="Times New Roman" w:hAnsi="Times New Roman" w:cs="Times New Roman"/>
                <w:color w:val="000000"/>
                <w:sz w:val="24"/>
                <w:szCs w:val="24"/>
              </w:rPr>
              <w:t>green</w:t>
            </w:r>
            <w:r w:rsidRPr="007174ED">
              <w:rPr>
                <w:rFonts w:ascii="Times New Roman" w:eastAsia="Times New Roman" w:hAnsi="Times New Roman" w:cs="Times New Roman"/>
                <w:color w:val="000000"/>
                <w:sz w:val="24"/>
                <w:szCs w:val="24"/>
                <w:vertAlign w:val="superscript"/>
              </w:rPr>
              <w:t>b</w:t>
            </w:r>
            <w:proofErr w:type="spellEnd"/>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97.5 to &lt; 100%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95 to &lt; 97.5%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72.5 to &lt; 95%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50 to &lt; 72.5</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10 to &lt; 50%</w:t>
            </w:r>
          </w:p>
        </w:tc>
        <w:tc>
          <w:tcPr>
            <w:tcW w:w="0" w:type="auto"/>
            <w:tcBorders>
              <w:top w:val="nil"/>
              <w:left w:val="nil"/>
              <w:bottom w:val="nil"/>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&lt; 10%</w:t>
            </w:r>
          </w:p>
        </w:tc>
      </w:tr>
      <w:tr w:rsidR="007174ED" w:rsidRPr="007174ED" w:rsidTr="007174ED">
        <w:trPr>
          <w:trHeight w:val="375"/>
        </w:trPr>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 xml:space="preserve">Canopy </w:t>
            </w:r>
            <w:proofErr w:type="spellStart"/>
            <w:r w:rsidRPr="007174ED">
              <w:rPr>
                <w:rFonts w:ascii="Times New Roman" w:eastAsia="Times New Roman" w:hAnsi="Times New Roman" w:cs="Times New Roman"/>
                <w:color w:val="000000"/>
                <w:sz w:val="24"/>
                <w:szCs w:val="24"/>
              </w:rPr>
              <w:t>brown</w:t>
            </w:r>
            <w:r w:rsidRPr="007174ED">
              <w:rPr>
                <w:rFonts w:ascii="Times New Roman" w:eastAsia="Times New Roman" w:hAnsi="Times New Roman" w:cs="Times New Roman"/>
                <w:color w:val="000000"/>
                <w:sz w:val="24"/>
                <w:szCs w:val="24"/>
                <w:vertAlign w:val="superscript"/>
              </w:rPr>
              <w:t>b</w:t>
            </w:r>
            <w:proofErr w:type="spellEnd"/>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0.1 to &lt; 5%</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5 to &lt; 10%</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11 to &lt; 30%</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30 to &lt; 70%</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u w:val="single"/>
              </w:rPr>
            </w:pPr>
            <w:r w:rsidRPr="007174ED">
              <w:rPr>
                <w:rFonts w:ascii="Times New Roman" w:eastAsia="Times New Roman" w:hAnsi="Times New Roman" w:cs="Times New Roman"/>
                <w:color w:val="000000"/>
                <w:sz w:val="24"/>
                <w:szCs w:val="24"/>
                <w:u w:val="single"/>
              </w:rPr>
              <w:t>&gt;</w:t>
            </w:r>
            <w:r w:rsidRPr="007174ED">
              <w:rPr>
                <w:rFonts w:ascii="Times New Roman" w:eastAsia="Times New Roman" w:hAnsi="Times New Roman" w:cs="Times New Roman"/>
                <w:color w:val="000000"/>
                <w:sz w:val="24"/>
                <w:szCs w:val="24"/>
              </w:rPr>
              <w:t xml:space="preserve"> 70%</w:t>
            </w:r>
          </w:p>
        </w:tc>
        <w:tc>
          <w:tcPr>
            <w:tcW w:w="0" w:type="auto"/>
            <w:tcBorders>
              <w:top w:val="nil"/>
              <w:left w:val="nil"/>
              <w:bottom w:val="single" w:sz="4" w:space="0" w:color="auto"/>
              <w:right w:val="nil"/>
            </w:tcBorders>
            <w:shd w:val="clear" w:color="auto" w:fill="auto"/>
            <w:hideMark/>
          </w:tcPr>
          <w:p w:rsidR="007174ED" w:rsidRPr="007174ED" w:rsidRDefault="007174ED" w:rsidP="007174ED">
            <w:pPr>
              <w:spacing w:after="0" w:line="240" w:lineRule="auto"/>
              <w:jc w:val="center"/>
              <w:rPr>
                <w:rFonts w:ascii="Times New Roman" w:eastAsia="Times New Roman" w:hAnsi="Times New Roman" w:cs="Times New Roman"/>
                <w:color w:val="000000"/>
                <w:sz w:val="24"/>
                <w:szCs w:val="24"/>
              </w:rPr>
            </w:pPr>
            <w:r w:rsidRPr="007174ED">
              <w:rPr>
                <w:rFonts w:ascii="Times New Roman" w:eastAsia="Times New Roman" w:hAnsi="Times New Roman" w:cs="Times New Roman"/>
                <w:color w:val="000000"/>
                <w:sz w:val="24"/>
                <w:szCs w:val="24"/>
              </w:rPr>
              <w:t> </w:t>
            </w:r>
          </w:p>
        </w:tc>
      </w:tr>
    </w:tbl>
    <w:p w:rsidR="007174ED" w:rsidRDefault="00BD12EF" w:rsidP="00A5157C">
      <w:pPr>
        <w:spacing w:after="0" w:line="240" w:lineRule="auto"/>
        <w:rPr>
          <w:rFonts w:ascii="Times New Roman" w:hAnsi="Times New Roman" w:cs="Times New Roman"/>
          <w:sz w:val="24"/>
          <w:szCs w:val="24"/>
        </w:rPr>
      </w:pPr>
      <w:proofErr w:type="spellStart"/>
      <w:proofErr w:type="gramStart"/>
      <w:r w:rsidRPr="00BD12EF">
        <w:rPr>
          <w:rFonts w:ascii="Times New Roman" w:hAnsi="Times New Roman" w:cs="Times New Roman"/>
          <w:sz w:val="24"/>
          <w:szCs w:val="24"/>
          <w:vertAlign w:val="superscript"/>
        </w:rPr>
        <w:t>a</w:t>
      </w:r>
      <w:r w:rsidRPr="00BD12EF">
        <w:rPr>
          <w:rFonts w:ascii="Times New Roman" w:hAnsi="Times New Roman" w:cs="Times New Roman"/>
          <w:sz w:val="24"/>
          <w:szCs w:val="24"/>
        </w:rPr>
        <w:t>Individual</w:t>
      </w:r>
      <w:proofErr w:type="spellEnd"/>
      <w:proofErr w:type="gramEnd"/>
      <w:r w:rsidRPr="00BD12EF">
        <w:rPr>
          <w:rFonts w:ascii="Times New Roman" w:hAnsi="Times New Roman" w:cs="Times New Roman"/>
          <w:sz w:val="24"/>
          <w:szCs w:val="24"/>
        </w:rPr>
        <w:t xml:space="preserve"> </w:t>
      </w:r>
      <w:r>
        <w:rPr>
          <w:rFonts w:ascii="Times New Roman" w:hAnsi="Times New Roman" w:cs="Times New Roman"/>
          <w:sz w:val="24"/>
          <w:szCs w:val="24"/>
        </w:rPr>
        <w:t xml:space="preserve">fuel </w:t>
      </w:r>
      <w:r w:rsidRPr="00BD12EF">
        <w:rPr>
          <w:rFonts w:ascii="Times New Roman" w:hAnsi="Times New Roman" w:cs="Times New Roman"/>
          <w:sz w:val="24"/>
          <w:szCs w:val="24"/>
        </w:rPr>
        <w:t>pieces were scored and scores we</w:t>
      </w:r>
      <w:r w:rsidR="008B5991">
        <w:rPr>
          <w:rFonts w:ascii="Times New Roman" w:hAnsi="Times New Roman" w:cs="Times New Roman"/>
          <w:sz w:val="24"/>
          <w:szCs w:val="24"/>
        </w:rPr>
        <w:t>re then averaged (mean) for each survey point</w:t>
      </w:r>
      <w:r w:rsidRPr="00BD12EF">
        <w:rPr>
          <w:rFonts w:ascii="Times New Roman" w:hAnsi="Times New Roman" w:cs="Times New Roman"/>
          <w:sz w:val="24"/>
          <w:szCs w:val="24"/>
        </w:rPr>
        <w:t>. Char classes are defined as follows: unburned ‒ whole log remains unburned, light char ‒ blackened but some areas remain unburned, moderate char ‒ completely blackened but the sapwood or heartwood is only charred along a portion of the length of the log, deep char ‒ the entire log is charred into the sapwood and heartwood</w:t>
      </w:r>
      <w:r>
        <w:rPr>
          <w:rFonts w:ascii="Times New Roman" w:hAnsi="Times New Roman" w:cs="Times New Roman"/>
          <w:sz w:val="24"/>
          <w:szCs w:val="24"/>
        </w:rPr>
        <w:t>.</w:t>
      </w:r>
    </w:p>
    <w:p w:rsidR="00706BAB" w:rsidRDefault="00BD12EF" w:rsidP="00A5157C">
      <w:pPr>
        <w:spacing w:after="0" w:line="240" w:lineRule="auto"/>
        <w:rPr>
          <w:rFonts w:ascii="Times New Roman" w:hAnsi="Times New Roman" w:cs="Times New Roman"/>
          <w:sz w:val="24"/>
          <w:szCs w:val="24"/>
        </w:rPr>
      </w:pPr>
      <w:proofErr w:type="spellStart"/>
      <w:proofErr w:type="gramStart"/>
      <w:r w:rsidRPr="00BD12EF">
        <w:rPr>
          <w:rFonts w:ascii="Times New Roman" w:hAnsi="Times New Roman" w:cs="Times New Roman"/>
          <w:sz w:val="24"/>
          <w:szCs w:val="24"/>
          <w:vertAlign w:val="superscript"/>
        </w:rPr>
        <w:t>b</w:t>
      </w:r>
      <w:r w:rsidRPr="00BD12EF">
        <w:rPr>
          <w:rFonts w:ascii="Times New Roman" w:hAnsi="Times New Roman" w:cs="Times New Roman"/>
          <w:sz w:val="24"/>
          <w:szCs w:val="24"/>
        </w:rPr>
        <w:t>Individual</w:t>
      </w:r>
      <w:proofErr w:type="spellEnd"/>
      <w:proofErr w:type="gramEnd"/>
      <w:r w:rsidRPr="00BD12EF">
        <w:rPr>
          <w:rFonts w:ascii="Times New Roman" w:hAnsi="Times New Roman" w:cs="Times New Roman"/>
          <w:sz w:val="24"/>
          <w:szCs w:val="24"/>
        </w:rPr>
        <w:t xml:space="preserve"> trees with needles remaining were scored and then scores were averaged (mean weighted by pe</w:t>
      </w:r>
      <w:r w:rsidR="008B5991">
        <w:rPr>
          <w:rFonts w:ascii="Times New Roman" w:hAnsi="Times New Roman" w:cs="Times New Roman"/>
          <w:sz w:val="24"/>
          <w:szCs w:val="24"/>
        </w:rPr>
        <w:t>rcent needles remaining) for each</w:t>
      </w:r>
      <w:r w:rsidRPr="00BD12EF">
        <w:rPr>
          <w:rFonts w:ascii="Times New Roman" w:hAnsi="Times New Roman" w:cs="Times New Roman"/>
          <w:sz w:val="24"/>
          <w:szCs w:val="24"/>
        </w:rPr>
        <w:t xml:space="preserve"> </w:t>
      </w:r>
      <w:r w:rsidR="008B5991">
        <w:rPr>
          <w:rFonts w:ascii="Times New Roman" w:hAnsi="Times New Roman" w:cs="Times New Roman"/>
          <w:sz w:val="24"/>
          <w:szCs w:val="24"/>
        </w:rPr>
        <w:t>survey point</w:t>
      </w:r>
      <w:r w:rsidRPr="00BD12EF">
        <w:rPr>
          <w:rFonts w:ascii="Times New Roman" w:hAnsi="Times New Roman" w:cs="Times New Roman"/>
          <w:sz w:val="24"/>
          <w:szCs w:val="24"/>
        </w:rPr>
        <w:t>.</w:t>
      </w:r>
    </w:p>
    <w:p w:rsidR="00CA04EE" w:rsidRDefault="00CA04EE" w:rsidP="00A5157C">
      <w:pPr>
        <w:spacing w:after="0" w:line="240" w:lineRule="auto"/>
        <w:rPr>
          <w:rFonts w:ascii="Times New Roman" w:hAnsi="Times New Roman" w:cs="Times New Roman"/>
          <w:sz w:val="24"/>
          <w:szCs w:val="24"/>
        </w:rPr>
        <w:sectPr w:rsidR="00CA04EE" w:rsidSect="007174ED">
          <w:pgSz w:w="15840" w:h="12240" w:orient="landscape"/>
          <w:pgMar w:top="1440" w:right="1440" w:bottom="1440" w:left="1440" w:header="720" w:footer="720" w:gutter="0"/>
          <w:cols w:space="720"/>
          <w:docGrid w:linePitch="360"/>
        </w:sectPr>
      </w:pPr>
    </w:p>
    <w:p w:rsidR="00CA04EE" w:rsidRDefault="00CA04EE" w:rsidP="00A5157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Appendix B.</w:t>
      </w:r>
      <w:r w:rsidR="008E6188">
        <w:rPr>
          <w:rFonts w:ascii="Times New Roman" w:hAnsi="Times New Roman" w:cs="Times New Roman"/>
          <w:sz w:val="24"/>
          <w:szCs w:val="24"/>
        </w:rPr>
        <w:t xml:space="preserve"> </w:t>
      </w:r>
      <w:r w:rsidR="005E4F73">
        <w:rPr>
          <w:rFonts w:ascii="Times New Roman" w:hAnsi="Times New Roman" w:cs="Times New Roman"/>
          <w:sz w:val="24"/>
          <w:szCs w:val="24"/>
        </w:rPr>
        <w:t>Prior distributions used for parameters in community occupancy models</w:t>
      </w:r>
      <w:r w:rsidR="001A624E">
        <w:rPr>
          <w:rFonts w:ascii="Times New Roman" w:hAnsi="Times New Roman" w:cs="Times New Roman"/>
          <w:sz w:val="24"/>
          <w:szCs w:val="24"/>
        </w:rPr>
        <w:t xml:space="preserve"> fitted to </w:t>
      </w:r>
      <w:r w:rsidR="005E4F73">
        <w:rPr>
          <w:rFonts w:ascii="Times New Roman" w:hAnsi="Times New Roman" w:cs="Times New Roman"/>
          <w:sz w:val="24"/>
          <w:szCs w:val="24"/>
        </w:rPr>
        <w:t xml:space="preserve">bird detection </w:t>
      </w:r>
      <w:r w:rsidR="001A624E">
        <w:rPr>
          <w:rFonts w:ascii="Times New Roman" w:hAnsi="Times New Roman" w:cs="Times New Roman"/>
          <w:sz w:val="24"/>
          <w:szCs w:val="24"/>
        </w:rPr>
        <w:t xml:space="preserve">data </w:t>
      </w:r>
      <w:r w:rsidR="005E4F73">
        <w:rPr>
          <w:rFonts w:ascii="Times New Roman" w:hAnsi="Times New Roman" w:cs="Times New Roman"/>
          <w:sz w:val="24"/>
          <w:szCs w:val="24"/>
        </w:rPr>
        <w:t xml:space="preserve">from the </w:t>
      </w:r>
      <w:r w:rsidR="001A624E">
        <w:rPr>
          <w:rFonts w:ascii="Times New Roman" w:hAnsi="Times New Roman" w:cs="Times New Roman"/>
          <w:sz w:val="24"/>
          <w:szCs w:val="24"/>
        </w:rPr>
        <w:t xml:space="preserve">Payette </w:t>
      </w:r>
      <w:r w:rsidR="005E4F73">
        <w:rPr>
          <w:rFonts w:ascii="Times New Roman" w:hAnsi="Times New Roman" w:cs="Times New Roman"/>
          <w:sz w:val="24"/>
          <w:szCs w:val="24"/>
        </w:rPr>
        <w:t>National Forest (</w:t>
      </w:r>
      <w:r w:rsidR="001A624E">
        <w:rPr>
          <w:rFonts w:ascii="Times New Roman" w:hAnsi="Times New Roman" w:cs="Times New Roman"/>
          <w:sz w:val="24"/>
          <w:szCs w:val="24"/>
        </w:rPr>
        <w:t>Idaho</w:t>
      </w:r>
      <w:r w:rsidR="005E4F73">
        <w:rPr>
          <w:rFonts w:ascii="Times New Roman" w:hAnsi="Times New Roman" w:cs="Times New Roman"/>
          <w:sz w:val="24"/>
          <w:szCs w:val="24"/>
        </w:rPr>
        <w:t>, U.S.A.)</w:t>
      </w:r>
      <w:r>
        <w:rPr>
          <w:rFonts w:ascii="Times New Roman" w:hAnsi="Times New Roman" w:cs="Times New Roman"/>
          <w:sz w:val="24"/>
          <w:szCs w:val="24"/>
        </w:rPr>
        <w:t>.</w:t>
      </w:r>
    </w:p>
    <w:tbl>
      <w:tblPr>
        <w:tblW w:w="8624" w:type="dxa"/>
        <w:tblLook w:val="04A0" w:firstRow="1" w:lastRow="0" w:firstColumn="1" w:lastColumn="0" w:noHBand="0" w:noVBand="1"/>
      </w:tblPr>
      <w:tblGrid>
        <w:gridCol w:w="2930"/>
        <w:gridCol w:w="3116"/>
        <w:gridCol w:w="2856"/>
      </w:tblGrid>
      <w:tr w:rsidR="00B3093C" w:rsidRPr="00B3093C" w:rsidTr="00B3093C">
        <w:trPr>
          <w:trHeight w:val="315"/>
        </w:trPr>
        <w:tc>
          <w:tcPr>
            <w:tcW w:w="2652" w:type="dxa"/>
            <w:tcBorders>
              <w:top w:val="single" w:sz="4" w:space="0" w:color="auto"/>
              <w:left w:val="nil"/>
              <w:bottom w:val="single" w:sz="4" w:space="0" w:color="auto"/>
              <w:right w:val="nil"/>
            </w:tcBorders>
            <w:shd w:val="clear" w:color="auto" w:fill="auto"/>
            <w:noWrap/>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Parameters</w:t>
            </w:r>
          </w:p>
        </w:tc>
        <w:tc>
          <w:tcPr>
            <w:tcW w:w="3116" w:type="dxa"/>
            <w:tcBorders>
              <w:top w:val="single" w:sz="4" w:space="0" w:color="auto"/>
              <w:left w:val="nil"/>
              <w:bottom w:val="single" w:sz="4" w:space="0" w:color="auto"/>
              <w:right w:val="nil"/>
            </w:tcBorders>
            <w:shd w:val="clear" w:color="auto" w:fill="auto"/>
            <w:noWrap/>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Description</w:t>
            </w:r>
          </w:p>
        </w:tc>
        <w:tc>
          <w:tcPr>
            <w:tcW w:w="2856" w:type="dxa"/>
            <w:tcBorders>
              <w:top w:val="single" w:sz="4" w:space="0" w:color="auto"/>
              <w:left w:val="nil"/>
              <w:bottom w:val="single" w:sz="4" w:space="0" w:color="auto"/>
              <w:right w:val="nil"/>
            </w:tcBorders>
            <w:shd w:val="clear" w:color="auto" w:fill="auto"/>
            <w:noWrap/>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Prior</w:t>
            </w:r>
          </w:p>
        </w:tc>
      </w:tr>
      <w:tr w:rsidR="00B3093C" w:rsidRPr="00B3093C" w:rsidTr="00B3093C">
        <w:trPr>
          <w:trHeight w:val="945"/>
        </w:trPr>
        <w:tc>
          <w:tcPr>
            <w:tcW w:w="2652" w:type="dxa"/>
            <w:tcBorders>
              <w:top w:val="nil"/>
              <w:left w:val="nil"/>
              <w:bottom w:val="nil"/>
              <w:right w:val="nil"/>
            </w:tcBorders>
            <w:shd w:val="clear" w:color="auto" w:fill="auto"/>
            <w:noWrap/>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Mean(β</w:t>
            </w:r>
            <w:r w:rsidRPr="00B3093C">
              <w:rPr>
                <w:rFonts w:ascii="Times New Roman" w:eastAsia="Times New Roman" w:hAnsi="Times New Roman" w:cs="Times New Roman"/>
                <w:color w:val="000000"/>
                <w:sz w:val="24"/>
                <w:szCs w:val="24"/>
                <w:vertAlign w:val="subscript"/>
              </w:rPr>
              <w:t>0</w:t>
            </w:r>
            <w:r w:rsidRPr="00B3093C">
              <w:rPr>
                <w:rFonts w:ascii="Times New Roman" w:eastAsia="Times New Roman" w:hAnsi="Times New Roman" w:cs="Times New Roman"/>
                <w:color w:val="000000"/>
                <w:sz w:val="24"/>
                <w:szCs w:val="24"/>
              </w:rPr>
              <w:t>)</w:t>
            </w:r>
          </w:p>
        </w:tc>
        <w:tc>
          <w:tcPr>
            <w:tcW w:w="311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Community mean of species-specific and year-specific logit-occupancy intercepts</w:t>
            </w:r>
          </w:p>
        </w:tc>
        <w:tc>
          <w:tcPr>
            <w:tcW w:w="285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i/>
                <w:iCs/>
                <w:color w:val="000000"/>
                <w:sz w:val="24"/>
                <w:szCs w:val="24"/>
              </w:rPr>
            </w:pPr>
            <w:r w:rsidRPr="00B3093C">
              <w:rPr>
                <w:rFonts w:ascii="Times New Roman" w:eastAsia="Times New Roman" w:hAnsi="Times New Roman" w:cs="Times New Roman"/>
                <w:i/>
                <w:iCs/>
                <w:color w:val="000000"/>
                <w:sz w:val="24"/>
                <w:szCs w:val="24"/>
              </w:rPr>
              <w:t>Normal</w:t>
            </w:r>
            <w:r w:rsidRPr="00B3093C">
              <w:rPr>
                <w:rFonts w:ascii="Times New Roman" w:eastAsia="Times New Roman" w:hAnsi="Times New Roman" w:cs="Times New Roman"/>
                <w:color w:val="000000"/>
                <w:sz w:val="24"/>
                <w:szCs w:val="24"/>
              </w:rPr>
              <w:t>(0,10)</w:t>
            </w:r>
          </w:p>
        </w:tc>
      </w:tr>
      <w:tr w:rsidR="00B3093C" w:rsidRPr="00B3093C" w:rsidTr="00B3093C">
        <w:trPr>
          <w:trHeight w:val="1260"/>
        </w:trPr>
        <w:tc>
          <w:tcPr>
            <w:tcW w:w="2652" w:type="dxa"/>
            <w:tcBorders>
              <w:top w:val="nil"/>
              <w:left w:val="nil"/>
              <w:bottom w:val="nil"/>
              <w:right w:val="nil"/>
            </w:tcBorders>
            <w:shd w:val="clear" w:color="auto" w:fill="auto"/>
            <w:noWrap/>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SD(β</w:t>
            </w:r>
            <w:r w:rsidRPr="00B3093C">
              <w:rPr>
                <w:rFonts w:ascii="Times New Roman" w:eastAsia="Times New Roman" w:hAnsi="Times New Roman" w:cs="Times New Roman"/>
                <w:color w:val="000000"/>
                <w:sz w:val="24"/>
                <w:szCs w:val="24"/>
                <w:vertAlign w:val="subscript"/>
              </w:rPr>
              <w:t>0</w:t>
            </w:r>
            <w:r w:rsidRPr="00B3093C">
              <w:rPr>
                <w:rFonts w:ascii="Times New Roman" w:eastAsia="Times New Roman" w:hAnsi="Times New Roman" w:cs="Times New Roman"/>
                <w:color w:val="000000"/>
                <w:sz w:val="24"/>
                <w:szCs w:val="24"/>
              </w:rPr>
              <w:t>)</w:t>
            </w:r>
          </w:p>
        </w:tc>
        <w:tc>
          <w:tcPr>
            <w:tcW w:w="311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Community standard deviation of species-specific and year-specific logit-occupancy intercepts</w:t>
            </w:r>
          </w:p>
        </w:tc>
        <w:tc>
          <w:tcPr>
            <w:tcW w:w="285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i/>
                <w:iCs/>
                <w:color w:val="000000"/>
                <w:sz w:val="24"/>
                <w:szCs w:val="24"/>
              </w:rPr>
            </w:pPr>
            <w:r w:rsidRPr="00B3093C">
              <w:rPr>
                <w:rFonts w:ascii="Times New Roman" w:eastAsia="Times New Roman" w:hAnsi="Times New Roman" w:cs="Times New Roman"/>
                <w:i/>
                <w:iCs/>
                <w:color w:val="000000"/>
                <w:sz w:val="24"/>
                <w:szCs w:val="24"/>
              </w:rPr>
              <w:t>Uniform</w:t>
            </w:r>
            <w:r w:rsidRPr="00B3093C">
              <w:rPr>
                <w:rFonts w:ascii="Times New Roman" w:eastAsia="Times New Roman" w:hAnsi="Times New Roman" w:cs="Times New Roman"/>
                <w:color w:val="000000"/>
                <w:sz w:val="24"/>
                <w:szCs w:val="24"/>
              </w:rPr>
              <w:t>(0,10)</w:t>
            </w:r>
          </w:p>
        </w:tc>
      </w:tr>
      <w:tr w:rsidR="00B3093C" w:rsidRPr="00B3093C" w:rsidTr="00B3093C">
        <w:trPr>
          <w:trHeight w:val="1890"/>
        </w:trPr>
        <w:tc>
          <w:tcPr>
            <w:tcW w:w="2652" w:type="dxa"/>
            <w:tcBorders>
              <w:top w:val="nil"/>
              <w:left w:val="nil"/>
              <w:bottom w:val="nil"/>
              <w:right w:val="nil"/>
            </w:tcBorders>
            <w:shd w:val="clear" w:color="auto" w:fill="auto"/>
            <w:hideMark/>
          </w:tcPr>
          <w:p w:rsidR="00B3093C" w:rsidRDefault="00B3093C" w:rsidP="000E63A2">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PF</m:t>
                      </m:r>
                    </m:sub>
                  </m:sSub>
                </m:sub>
              </m:sSub>
            </m:oMath>
            <w:r w:rsidRPr="00B3093C">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sub>
              </m:sSub>
            </m:oMath>
            <w:r w:rsidRPr="00B3093C">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PF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sub>
              </m:sSub>
            </m:oMath>
            <w:r w:rsidRPr="00B3093C">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WF</m:t>
                      </m:r>
                    </m:sub>
                  </m:sSub>
                </m:sub>
              </m:sSub>
            </m:oMath>
            <w:r w:rsidRPr="00B3093C">
              <w:rPr>
                <w:rFonts w:ascii="Times New Roman" w:eastAsia="Times New Roman" w:hAnsi="Times New Roman" w:cs="Times New Roman"/>
                <w:color w:val="000000"/>
                <w:sz w:val="24"/>
                <w:szCs w:val="24"/>
              </w:rPr>
              <w:t>),</w:t>
            </w:r>
          </w:p>
          <w:p w:rsidR="000E63A2" w:rsidRPr="00B3093C" w:rsidRDefault="000E63A2" w:rsidP="000E6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WF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WF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r>
                    <w:rPr>
                      <w:rFonts w:ascii="Cambria Math" w:eastAsia="MS Mincho" w:hAnsi="Cambria Math"/>
                      <w:sz w:val="24"/>
                      <w:szCs w:val="24"/>
                    </w:rPr>
                    <m:t xml:space="preserve">, </m:t>
                  </m:r>
                  <m:sSub>
                    <m:sSubPr>
                      <m:ctrlPr>
                        <w:rPr>
                          <w:rFonts w:ascii="Cambria Math" w:eastAsia="MS Mincho" w:hAnsi="Cambria Math"/>
                          <w:i/>
                          <w:sz w:val="24"/>
                          <w:szCs w:val="24"/>
                        </w:rPr>
                      </m:ctrlPr>
                    </m:sSubPr>
                    <m:e>
                      <m:r>
                        <w:rPr>
                          <w:rFonts w:ascii="Cambria Math" w:eastAsia="MS Mincho" w:hAnsi="Cambria Math"/>
                          <w:sz w:val="24"/>
                          <w:szCs w:val="24"/>
                        </w:rPr>
                        <m:t>t</m:t>
                      </m:r>
                    </m:e>
                    <m:sub>
                      <m:r>
                        <w:rPr>
                          <w:rFonts w:ascii="Cambria Math" w:eastAsia="MS Mincho" w:hAnsi="Cambria Math"/>
                          <w:sz w:val="24"/>
                          <w:szCs w:val="24"/>
                        </w:rPr>
                        <m:t>PF</m:t>
                      </m:r>
                    </m:sub>
                  </m:sSub>
                </m:sub>
              </m:sSub>
            </m:oMath>
            <w:r>
              <w:rPr>
                <w:rFonts w:ascii="Times New Roman" w:eastAsia="Times New Roman" w:hAnsi="Times New Roman" w:cs="Times New Roman"/>
                <w:color w:val="000000"/>
                <w:sz w:val="24"/>
                <w:szCs w:val="24"/>
              </w:rPr>
              <w:t>), Mean(</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r>
                    <w:rPr>
                      <w:rFonts w:ascii="Cambria Math" w:eastAsia="MS Mincho" w:hAnsi="Cambria Math"/>
                      <w:sz w:val="24"/>
                      <w:szCs w:val="24"/>
                    </w:rPr>
                    <m:t xml:space="preserve">, </m:t>
                  </m:r>
                  <m:sSub>
                    <m:sSubPr>
                      <m:ctrlPr>
                        <w:rPr>
                          <w:rFonts w:ascii="Cambria Math" w:eastAsia="MS Mincho" w:hAnsi="Cambria Math"/>
                          <w:i/>
                          <w:sz w:val="24"/>
                          <w:szCs w:val="24"/>
                        </w:rPr>
                      </m:ctrlPr>
                    </m:sSubPr>
                    <m:e>
                      <m:r>
                        <w:rPr>
                          <w:rFonts w:ascii="Cambria Math" w:eastAsia="MS Mincho" w:hAnsi="Cambria Math"/>
                          <w:sz w:val="24"/>
                          <w:szCs w:val="24"/>
                        </w:rPr>
                        <m:t>t</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w:t>
            </w:r>
          </w:p>
        </w:tc>
        <w:tc>
          <w:tcPr>
            <w:tcW w:w="311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Community means for species-specific logit-linear occupancy relationships with covariates (see Equations 3‒6)</w:t>
            </w:r>
          </w:p>
        </w:tc>
        <w:tc>
          <w:tcPr>
            <w:tcW w:w="285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i/>
                <w:iCs/>
                <w:color w:val="000000"/>
                <w:sz w:val="24"/>
                <w:szCs w:val="24"/>
              </w:rPr>
            </w:pPr>
            <w:r w:rsidRPr="00B3093C">
              <w:rPr>
                <w:rFonts w:ascii="Times New Roman" w:eastAsia="Times New Roman" w:hAnsi="Times New Roman" w:cs="Times New Roman"/>
                <w:i/>
                <w:iCs/>
                <w:color w:val="000000"/>
                <w:sz w:val="24"/>
                <w:szCs w:val="24"/>
              </w:rPr>
              <w:t>Normal</w:t>
            </w:r>
            <w:r w:rsidRPr="00B3093C">
              <w:rPr>
                <w:rFonts w:ascii="Times New Roman" w:eastAsia="Times New Roman" w:hAnsi="Times New Roman" w:cs="Times New Roman"/>
                <w:color w:val="000000"/>
                <w:sz w:val="24"/>
                <w:szCs w:val="24"/>
              </w:rPr>
              <w:t>(0,10)</w:t>
            </w:r>
          </w:p>
        </w:tc>
      </w:tr>
      <w:tr w:rsidR="00B3093C" w:rsidRPr="00B3093C" w:rsidTr="00B3093C">
        <w:trPr>
          <w:trHeight w:val="1260"/>
        </w:trPr>
        <w:tc>
          <w:tcPr>
            <w:tcW w:w="2652" w:type="dxa"/>
            <w:tcBorders>
              <w:top w:val="nil"/>
              <w:left w:val="nil"/>
              <w:bottom w:val="nil"/>
              <w:right w:val="nil"/>
            </w:tcBorders>
            <w:shd w:val="clear" w:color="auto" w:fill="auto"/>
            <w:hideMark/>
          </w:tcPr>
          <w:p w:rsidR="000E63A2" w:rsidRDefault="000E63A2" w:rsidP="000E6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SD</w:t>
            </w:r>
            <w:r w:rsidRPr="00B3093C">
              <w:rPr>
                <w:rFonts w:ascii="Times New Roman" w:eastAsia="Times New Roman" w:hAnsi="Times New Roman" w:cs="Times New Roman"/>
                <w:color w:val="000000"/>
                <w:sz w:val="24"/>
                <w:szCs w:val="24"/>
              </w:rPr>
              <w:t>(</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PF</m:t>
                      </m:r>
                    </m:sub>
                  </m:sSub>
                </m:sub>
              </m:sSub>
            </m:oMath>
            <w:r w:rsidRPr="00B3093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SD</w:t>
            </w:r>
            <w:r w:rsidRPr="00B3093C">
              <w:rPr>
                <w:rFonts w:ascii="Times New Roman" w:eastAsia="Times New Roman" w:hAnsi="Times New Roman" w:cs="Times New Roman"/>
                <w:color w:val="000000"/>
                <w:sz w:val="24"/>
                <w:szCs w:val="24"/>
              </w:rPr>
              <w:t>(</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sub>
              </m:sSub>
            </m:oMath>
            <w:r w:rsidRPr="00B3093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SD</w:t>
            </w:r>
            <w:r w:rsidRPr="00B3093C">
              <w:rPr>
                <w:rFonts w:ascii="Times New Roman" w:eastAsia="Times New Roman" w:hAnsi="Times New Roman" w:cs="Times New Roman"/>
                <w:color w:val="000000"/>
                <w:sz w:val="24"/>
                <w:szCs w:val="24"/>
              </w:rPr>
              <w:t>(</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PF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sub>
              </m:sSub>
            </m:oMath>
            <w:r w:rsidRPr="00B3093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SD</w:t>
            </w:r>
            <w:r w:rsidRPr="00B3093C">
              <w:rPr>
                <w:rFonts w:ascii="Times New Roman" w:eastAsia="Times New Roman" w:hAnsi="Times New Roman" w:cs="Times New Roman"/>
                <w:color w:val="000000"/>
                <w:sz w:val="24"/>
                <w:szCs w:val="24"/>
              </w:rPr>
              <w:t>(</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WF</m:t>
                      </m:r>
                    </m:sub>
                  </m:sSub>
                </m:sub>
              </m:sSub>
            </m:oMath>
            <w:r w:rsidRPr="00B3093C">
              <w:rPr>
                <w:rFonts w:ascii="Times New Roman" w:eastAsia="Times New Roman" w:hAnsi="Times New Roman" w:cs="Times New Roman"/>
                <w:color w:val="000000"/>
                <w:sz w:val="24"/>
                <w:szCs w:val="24"/>
              </w:rPr>
              <w:t>),</w:t>
            </w:r>
          </w:p>
          <w:p w:rsidR="00B3093C" w:rsidRPr="00B3093C" w:rsidRDefault="000E63A2" w:rsidP="000E63A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SD(</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SD(</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WF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SD(</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SD(</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Per</m:t>
                      </m:r>
                    </m:e>
                    <m:sub>
                      <m:r>
                        <w:rPr>
                          <w:rFonts w:ascii="Cambria Math" w:eastAsia="MS Mincho" w:hAnsi="Cambria Math"/>
                          <w:sz w:val="24"/>
                          <w:szCs w:val="24"/>
                        </w:rPr>
                        <m:t>WF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r>
                    <w:rPr>
                      <w:rFonts w:ascii="Cambria Math" w:eastAsia="MS Mincho" w:hAnsi="Cambria Math"/>
                      <w:sz w:val="24"/>
                      <w:szCs w:val="24"/>
                    </w:rPr>
                    <m:t>×</m:t>
                  </m:r>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 SD(</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Trt</m:t>
                      </m:r>
                    </m:e>
                    <m:sub>
                      <m:r>
                        <w:rPr>
                          <w:rFonts w:ascii="Cambria Math" w:eastAsia="MS Mincho" w:hAnsi="Cambria Math"/>
                          <w:sz w:val="24"/>
                          <w:szCs w:val="24"/>
                        </w:rPr>
                        <m:t>PF</m:t>
                      </m:r>
                    </m:sub>
                  </m:sSub>
                  <m:r>
                    <w:rPr>
                      <w:rFonts w:ascii="Cambria Math" w:eastAsia="MS Mincho" w:hAnsi="Cambria Math"/>
                      <w:sz w:val="24"/>
                      <w:szCs w:val="24"/>
                    </w:rPr>
                    <m:t xml:space="preserve">, </m:t>
                  </m:r>
                  <m:sSub>
                    <m:sSubPr>
                      <m:ctrlPr>
                        <w:rPr>
                          <w:rFonts w:ascii="Cambria Math" w:eastAsia="MS Mincho" w:hAnsi="Cambria Math"/>
                          <w:i/>
                          <w:sz w:val="24"/>
                          <w:szCs w:val="24"/>
                        </w:rPr>
                      </m:ctrlPr>
                    </m:sSubPr>
                    <m:e>
                      <m:r>
                        <w:rPr>
                          <w:rFonts w:ascii="Cambria Math" w:eastAsia="MS Mincho" w:hAnsi="Cambria Math"/>
                          <w:sz w:val="24"/>
                          <w:szCs w:val="24"/>
                        </w:rPr>
                        <m:t>t</m:t>
                      </m:r>
                    </m:e>
                    <m:sub>
                      <m:r>
                        <w:rPr>
                          <w:rFonts w:ascii="Cambria Math" w:eastAsia="MS Mincho" w:hAnsi="Cambria Math"/>
                          <w:sz w:val="24"/>
                          <w:szCs w:val="24"/>
                        </w:rPr>
                        <m:t>PF</m:t>
                      </m:r>
                    </m:sub>
                  </m:sSub>
                </m:sub>
              </m:sSub>
            </m:oMath>
            <w:r>
              <w:rPr>
                <w:rFonts w:ascii="Times New Roman" w:eastAsia="Times New Roman" w:hAnsi="Times New Roman" w:cs="Times New Roman"/>
                <w:color w:val="000000"/>
                <w:sz w:val="24"/>
                <w:szCs w:val="24"/>
              </w:rPr>
              <w:t>), SD(</w:t>
            </w:r>
            <m:oMath>
              <m:sSub>
                <m:sSubPr>
                  <m:ctrlPr>
                    <w:rPr>
                      <w:rFonts w:ascii="Cambria Math" w:eastAsia="MS Mincho" w:hAnsi="Cambria Math"/>
                      <w:i/>
                      <w:sz w:val="24"/>
                      <w:szCs w:val="24"/>
                    </w:rPr>
                  </m:ctrlPr>
                </m:sSubPr>
                <m:e>
                  <m:r>
                    <w:rPr>
                      <w:rFonts w:ascii="Cambria Math" w:eastAsia="MS Mincho" w:hAnsi="Cambria Math"/>
                      <w:sz w:val="24"/>
                      <w:szCs w:val="24"/>
                    </w:rPr>
                    <m:t>β</m:t>
                  </m:r>
                </m:e>
                <m:sub>
                  <m:sSub>
                    <m:sSubPr>
                      <m:ctrlPr>
                        <w:rPr>
                          <w:rFonts w:ascii="Cambria Math" w:eastAsia="MS Mincho" w:hAnsi="Cambria Math"/>
                          <w:i/>
                          <w:sz w:val="24"/>
                          <w:szCs w:val="24"/>
                        </w:rPr>
                      </m:ctrlPr>
                    </m:sSubPr>
                    <m:e>
                      <m:r>
                        <w:rPr>
                          <w:rFonts w:ascii="Cambria Math" w:eastAsia="MS Mincho" w:hAnsi="Cambria Math"/>
                          <w:sz w:val="24"/>
                          <w:szCs w:val="24"/>
                        </w:rPr>
                        <m:t>CBI</m:t>
                      </m:r>
                    </m:e>
                    <m:sub>
                      <m:r>
                        <w:rPr>
                          <w:rFonts w:ascii="Cambria Math" w:eastAsia="MS Mincho" w:hAnsi="Cambria Math"/>
                          <w:sz w:val="24"/>
                          <w:szCs w:val="24"/>
                        </w:rPr>
                        <m:t>WF</m:t>
                      </m:r>
                    </m:sub>
                  </m:sSub>
                  <m:r>
                    <w:rPr>
                      <w:rFonts w:ascii="Cambria Math" w:eastAsia="MS Mincho" w:hAnsi="Cambria Math"/>
                      <w:sz w:val="24"/>
                      <w:szCs w:val="24"/>
                    </w:rPr>
                    <m:t xml:space="preserve">, </m:t>
                  </m:r>
                  <m:sSub>
                    <m:sSubPr>
                      <m:ctrlPr>
                        <w:rPr>
                          <w:rFonts w:ascii="Cambria Math" w:eastAsia="MS Mincho" w:hAnsi="Cambria Math"/>
                          <w:i/>
                          <w:sz w:val="24"/>
                          <w:szCs w:val="24"/>
                        </w:rPr>
                      </m:ctrlPr>
                    </m:sSubPr>
                    <m:e>
                      <m:r>
                        <w:rPr>
                          <w:rFonts w:ascii="Cambria Math" w:eastAsia="MS Mincho" w:hAnsi="Cambria Math"/>
                          <w:sz w:val="24"/>
                          <w:szCs w:val="24"/>
                        </w:rPr>
                        <m:t>t</m:t>
                      </m:r>
                    </m:e>
                    <m:sub>
                      <m:r>
                        <w:rPr>
                          <w:rFonts w:ascii="Cambria Math" w:eastAsia="MS Mincho" w:hAnsi="Cambria Math"/>
                          <w:sz w:val="24"/>
                          <w:szCs w:val="24"/>
                        </w:rPr>
                        <m:t>WF</m:t>
                      </m:r>
                    </m:sub>
                  </m:sSub>
                </m:sub>
              </m:sSub>
            </m:oMath>
            <w:r>
              <w:rPr>
                <w:rFonts w:ascii="Times New Roman" w:eastAsia="Times New Roman" w:hAnsi="Times New Roman" w:cs="Times New Roman"/>
                <w:color w:val="000000"/>
                <w:sz w:val="24"/>
                <w:szCs w:val="24"/>
              </w:rPr>
              <w:t>)</w:t>
            </w:r>
          </w:p>
        </w:tc>
        <w:tc>
          <w:tcPr>
            <w:tcW w:w="311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Community standard deviations for species-specific logit-linear occupancy relationships with covariates (see Equations 3‒6)</w:t>
            </w:r>
          </w:p>
        </w:tc>
        <w:tc>
          <w:tcPr>
            <w:tcW w:w="285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i/>
                <w:iCs/>
                <w:color w:val="000000"/>
                <w:sz w:val="24"/>
                <w:szCs w:val="24"/>
              </w:rPr>
            </w:pPr>
            <w:r w:rsidRPr="00B3093C">
              <w:rPr>
                <w:rFonts w:ascii="Times New Roman" w:eastAsia="Times New Roman" w:hAnsi="Times New Roman" w:cs="Times New Roman"/>
                <w:i/>
                <w:iCs/>
                <w:color w:val="000000"/>
                <w:sz w:val="24"/>
                <w:szCs w:val="24"/>
              </w:rPr>
              <w:t>Uniform</w:t>
            </w:r>
            <w:r w:rsidRPr="00B3093C">
              <w:rPr>
                <w:rFonts w:ascii="Times New Roman" w:eastAsia="Times New Roman" w:hAnsi="Times New Roman" w:cs="Times New Roman"/>
                <w:color w:val="000000"/>
                <w:sz w:val="24"/>
                <w:szCs w:val="24"/>
              </w:rPr>
              <w:t>(0,10)</w:t>
            </w:r>
          </w:p>
        </w:tc>
      </w:tr>
      <w:tr w:rsidR="00B3093C" w:rsidRPr="00B3093C" w:rsidTr="00B3093C">
        <w:trPr>
          <w:trHeight w:val="945"/>
        </w:trPr>
        <w:tc>
          <w:tcPr>
            <w:tcW w:w="2652" w:type="dxa"/>
            <w:tcBorders>
              <w:top w:val="nil"/>
              <w:left w:val="nil"/>
              <w:bottom w:val="nil"/>
              <w:right w:val="nil"/>
            </w:tcBorders>
            <w:shd w:val="clear" w:color="auto" w:fill="auto"/>
            <w:noWrap/>
            <w:hideMark/>
          </w:tcPr>
          <w:p w:rsidR="00B3093C" w:rsidRPr="00B3093C" w:rsidRDefault="000E63A2" w:rsidP="00B3093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Mea</w:t>
            </w:r>
            <w:r w:rsidR="00B3093C" w:rsidRPr="00B3093C">
              <w:rPr>
                <w:rFonts w:ascii="Times New Roman" w:eastAsia="Times New Roman" w:hAnsi="Times New Roman" w:cs="Times New Roman"/>
                <w:color w:val="000000"/>
                <w:sz w:val="24"/>
                <w:szCs w:val="24"/>
              </w:rPr>
              <w:t>n(</w:t>
            </w:r>
            <w:r w:rsidR="00B3093C" w:rsidRPr="00B3093C">
              <w:rPr>
                <w:rFonts w:ascii="Times New Roman" w:eastAsia="Times New Roman" w:hAnsi="Times New Roman" w:cs="Times New Roman"/>
                <w:i/>
                <w:iCs/>
                <w:color w:val="000000"/>
                <w:sz w:val="24"/>
                <w:szCs w:val="24"/>
              </w:rPr>
              <w:t>b</w:t>
            </w:r>
            <w:r w:rsidR="00B3093C" w:rsidRPr="00B3093C">
              <w:rPr>
                <w:rFonts w:ascii="Times New Roman" w:eastAsia="Times New Roman" w:hAnsi="Times New Roman" w:cs="Times New Roman"/>
                <w:color w:val="000000"/>
                <w:sz w:val="24"/>
                <w:szCs w:val="24"/>
                <w:vertAlign w:val="subscript"/>
              </w:rPr>
              <w:t>0</w:t>
            </w:r>
            <w:r w:rsidR="00B3093C" w:rsidRPr="00B3093C">
              <w:rPr>
                <w:rFonts w:ascii="Times New Roman" w:eastAsia="Times New Roman" w:hAnsi="Times New Roman" w:cs="Times New Roman"/>
                <w:color w:val="000000"/>
                <w:sz w:val="24"/>
                <w:szCs w:val="24"/>
              </w:rPr>
              <w:t>)</w:t>
            </w:r>
          </w:p>
        </w:tc>
        <w:tc>
          <w:tcPr>
            <w:tcW w:w="311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Community mean of species-specific logit detection probability</w:t>
            </w:r>
          </w:p>
        </w:tc>
        <w:tc>
          <w:tcPr>
            <w:tcW w:w="285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i/>
                <w:iCs/>
                <w:color w:val="000000"/>
                <w:sz w:val="24"/>
                <w:szCs w:val="24"/>
              </w:rPr>
            </w:pPr>
            <w:r w:rsidRPr="00B3093C">
              <w:rPr>
                <w:rFonts w:ascii="Times New Roman" w:eastAsia="Times New Roman" w:hAnsi="Times New Roman" w:cs="Times New Roman"/>
                <w:i/>
                <w:iCs/>
                <w:color w:val="000000"/>
                <w:sz w:val="24"/>
                <w:szCs w:val="24"/>
              </w:rPr>
              <w:t>Normal</w:t>
            </w:r>
            <w:r w:rsidRPr="00B3093C">
              <w:rPr>
                <w:rFonts w:ascii="Times New Roman" w:eastAsia="Times New Roman" w:hAnsi="Times New Roman" w:cs="Times New Roman"/>
                <w:color w:val="000000"/>
                <w:sz w:val="24"/>
                <w:szCs w:val="24"/>
              </w:rPr>
              <w:t>(0,10)</w:t>
            </w:r>
          </w:p>
        </w:tc>
      </w:tr>
      <w:tr w:rsidR="00B3093C" w:rsidRPr="00B3093C" w:rsidTr="00B3093C">
        <w:trPr>
          <w:trHeight w:val="945"/>
        </w:trPr>
        <w:tc>
          <w:tcPr>
            <w:tcW w:w="2652" w:type="dxa"/>
            <w:tcBorders>
              <w:top w:val="nil"/>
              <w:left w:val="nil"/>
              <w:bottom w:val="nil"/>
              <w:right w:val="nil"/>
            </w:tcBorders>
            <w:shd w:val="clear" w:color="auto" w:fill="auto"/>
            <w:noWrap/>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SD(</w:t>
            </w:r>
            <w:r w:rsidRPr="00B3093C">
              <w:rPr>
                <w:rFonts w:ascii="Times New Roman" w:eastAsia="Times New Roman" w:hAnsi="Times New Roman" w:cs="Times New Roman"/>
                <w:i/>
                <w:iCs/>
                <w:color w:val="000000"/>
                <w:sz w:val="24"/>
                <w:szCs w:val="24"/>
              </w:rPr>
              <w:t>b</w:t>
            </w:r>
            <w:r w:rsidRPr="00B3093C">
              <w:rPr>
                <w:rFonts w:ascii="Times New Roman" w:eastAsia="Times New Roman" w:hAnsi="Times New Roman" w:cs="Times New Roman"/>
                <w:color w:val="000000"/>
                <w:sz w:val="24"/>
                <w:szCs w:val="24"/>
                <w:vertAlign w:val="subscript"/>
              </w:rPr>
              <w:t>0</w:t>
            </w:r>
            <w:r w:rsidRPr="00B3093C">
              <w:rPr>
                <w:rFonts w:ascii="Times New Roman" w:eastAsia="Times New Roman" w:hAnsi="Times New Roman" w:cs="Times New Roman"/>
                <w:color w:val="000000"/>
                <w:sz w:val="24"/>
                <w:szCs w:val="24"/>
              </w:rPr>
              <w:t>)</w:t>
            </w:r>
          </w:p>
        </w:tc>
        <w:tc>
          <w:tcPr>
            <w:tcW w:w="311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Community standard deviation of species-specific logit detection probability</w:t>
            </w:r>
          </w:p>
        </w:tc>
        <w:tc>
          <w:tcPr>
            <w:tcW w:w="2856" w:type="dxa"/>
            <w:tcBorders>
              <w:top w:val="nil"/>
              <w:left w:val="nil"/>
              <w:bottom w:val="nil"/>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i/>
                <w:iCs/>
                <w:color w:val="000000"/>
                <w:sz w:val="24"/>
                <w:szCs w:val="24"/>
              </w:rPr>
            </w:pPr>
            <w:r w:rsidRPr="00B3093C">
              <w:rPr>
                <w:rFonts w:ascii="Times New Roman" w:eastAsia="Times New Roman" w:hAnsi="Times New Roman" w:cs="Times New Roman"/>
                <w:i/>
                <w:iCs/>
                <w:color w:val="000000"/>
                <w:sz w:val="24"/>
                <w:szCs w:val="24"/>
              </w:rPr>
              <w:t>Uniform</w:t>
            </w:r>
            <w:r w:rsidRPr="00B3093C">
              <w:rPr>
                <w:rFonts w:ascii="Times New Roman" w:eastAsia="Times New Roman" w:hAnsi="Times New Roman" w:cs="Times New Roman"/>
                <w:color w:val="000000"/>
                <w:sz w:val="24"/>
                <w:szCs w:val="24"/>
              </w:rPr>
              <w:t>(0,10)</w:t>
            </w:r>
          </w:p>
        </w:tc>
      </w:tr>
      <w:tr w:rsidR="00B3093C" w:rsidRPr="00B3093C" w:rsidTr="00B3093C">
        <w:trPr>
          <w:trHeight w:val="945"/>
        </w:trPr>
        <w:tc>
          <w:tcPr>
            <w:tcW w:w="2652" w:type="dxa"/>
            <w:tcBorders>
              <w:top w:val="nil"/>
              <w:left w:val="nil"/>
              <w:bottom w:val="single" w:sz="4" w:space="0" w:color="auto"/>
              <w:right w:val="nil"/>
            </w:tcBorders>
            <w:shd w:val="clear" w:color="auto" w:fill="auto"/>
            <w:noWrap/>
            <w:hideMark/>
          </w:tcPr>
          <w:p w:rsidR="00B3093C" w:rsidRPr="00B3093C" w:rsidRDefault="00B3093C" w:rsidP="00B3093C">
            <w:pPr>
              <w:spacing w:after="0" w:line="240" w:lineRule="auto"/>
              <w:rPr>
                <w:rFonts w:ascii="Calibri" w:eastAsia="Times New Roman" w:hAnsi="Calibri" w:cs="Times New Roman"/>
                <w:color w:val="000000"/>
                <w:sz w:val="24"/>
                <w:szCs w:val="24"/>
              </w:rPr>
            </w:pPr>
            <w:r w:rsidRPr="00B3093C">
              <w:rPr>
                <w:rFonts w:ascii="Calibri" w:eastAsia="Times New Roman" w:hAnsi="Calibri" w:cs="Times New Roman"/>
                <w:color w:val="000000"/>
                <w:sz w:val="24"/>
                <w:szCs w:val="24"/>
              </w:rPr>
              <w:t>ρ</w:t>
            </w:r>
          </w:p>
        </w:tc>
        <w:tc>
          <w:tcPr>
            <w:tcW w:w="3116" w:type="dxa"/>
            <w:tcBorders>
              <w:top w:val="nil"/>
              <w:left w:val="nil"/>
              <w:bottom w:val="single" w:sz="4" w:space="0" w:color="auto"/>
              <w:right w:val="nil"/>
            </w:tcBorders>
            <w:shd w:val="clear" w:color="auto" w:fill="auto"/>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color w:val="000000"/>
                <w:sz w:val="24"/>
                <w:szCs w:val="24"/>
              </w:rPr>
              <w:t>Correlation between occupancy and detection intercepts among species</w:t>
            </w:r>
          </w:p>
        </w:tc>
        <w:tc>
          <w:tcPr>
            <w:tcW w:w="2856" w:type="dxa"/>
            <w:tcBorders>
              <w:top w:val="nil"/>
              <w:left w:val="nil"/>
              <w:bottom w:val="single" w:sz="4" w:space="0" w:color="auto"/>
              <w:right w:val="nil"/>
            </w:tcBorders>
            <w:shd w:val="clear" w:color="auto" w:fill="auto"/>
            <w:noWrap/>
            <w:hideMark/>
          </w:tcPr>
          <w:p w:rsidR="00B3093C" w:rsidRPr="00B3093C" w:rsidRDefault="00B3093C" w:rsidP="00B3093C">
            <w:pPr>
              <w:spacing w:after="0" w:line="240" w:lineRule="auto"/>
              <w:rPr>
                <w:rFonts w:ascii="Times New Roman" w:eastAsia="Times New Roman" w:hAnsi="Times New Roman" w:cs="Times New Roman"/>
                <w:color w:val="000000"/>
                <w:sz w:val="24"/>
                <w:szCs w:val="24"/>
              </w:rPr>
            </w:pPr>
            <w:r w:rsidRPr="00B3093C">
              <w:rPr>
                <w:rFonts w:ascii="Times New Roman" w:eastAsia="Times New Roman" w:hAnsi="Times New Roman" w:cs="Times New Roman"/>
                <w:i/>
                <w:iCs/>
                <w:color w:val="000000"/>
                <w:sz w:val="24"/>
                <w:szCs w:val="24"/>
              </w:rPr>
              <w:t>Uniform</w:t>
            </w:r>
            <w:r w:rsidRPr="00B3093C">
              <w:rPr>
                <w:rFonts w:ascii="Times New Roman" w:eastAsia="Times New Roman" w:hAnsi="Times New Roman" w:cs="Times New Roman"/>
                <w:color w:val="000000"/>
                <w:sz w:val="24"/>
                <w:szCs w:val="24"/>
              </w:rPr>
              <w:t>(-1,1)</w:t>
            </w:r>
          </w:p>
        </w:tc>
      </w:tr>
    </w:tbl>
    <w:p w:rsidR="00B3093C" w:rsidRDefault="00B3093C" w:rsidP="00A5157C">
      <w:pPr>
        <w:spacing w:after="0" w:line="240" w:lineRule="auto"/>
        <w:rPr>
          <w:rFonts w:ascii="Times New Roman" w:hAnsi="Times New Roman" w:cs="Times New Roman"/>
          <w:sz w:val="24"/>
          <w:szCs w:val="24"/>
        </w:rPr>
      </w:pPr>
    </w:p>
    <w:p w:rsidR="00CA04EE" w:rsidRDefault="00CA04EE">
      <w:pPr>
        <w:rPr>
          <w:rFonts w:ascii="Times New Roman" w:hAnsi="Times New Roman" w:cs="Times New Roman"/>
          <w:sz w:val="24"/>
          <w:szCs w:val="24"/>
        </w:rPr>
      </w:pPr>
      <w:r>
        <w:rPr>
          <w:rFonts w:ascii="Times New Roman" w:hAnsi="Times New Roman" w:cs="Times New Roman"/>
          <w:sz w:val="24"/>
          <w:szCs w:val="24"/>
        </w:rPr>
        <w:br w:type="page"/>
      </w:r>
    </w:p>
    <w:p w:rsidR="00D85EC8" w:rsidRDefault="001B3724" w:rsidP="00657237">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Appendix C</w:t>
      </w:r>
      <w:r w:rsidR="00CA04EE">
        <w:rPr>
          <w:rFonts w:ascii="Times New Roman" w:hAnsi="Times New Roman" w:cs="Times New Roman"/>
          <w:sz w:val="24"/>
          <w:szCs w:val="24"/>
        </w:rPr>
        <w:t xml:space="preserve">. </w:t>
      </w:r>
      <w:r w:rsidR="00D85EC8">
        <w:rPr>
          <w:rFonts w:ascii="Times New Roman" w:hAnsi="Times New Roman" w:cs="Times New Roman"/>
          <w:sz w:val="24"/>
          <w:szCs w:val="24"/>
        </w:rPr>
        <w:t>Species</w:t>
      </w:r>
      <w:r w:rsidR="00657237">
        <w:rPr>
          <w:rFonts w:ascii="Times New Roman" w:hAnsi="Times New Roman" w:cs="Times New Roman"/>
          <w:sz w:val="24"/>
          <w:szCs w:val="24"/>
        </w:rPr>
        <w:t>-</w:t>
      </w:r>
      <w:r w:rsidR="00D85EC8">
        <w:rPr>
          <w:rFonts w:ascii="Times New Roman" w:hAnsi="Times New Roman" w:cs="Times New Roman"/>
          <w:sz w:val="24"/>
          <w:szCs w:val="24"/>
        </w:rPr>
        <w:t xml:space="preserve">specific detection probabilities </w:t>
      </w:r>
      <w:r w:rsidR="00657237">
        <w:rPr>
          <w:rFonts w:ascii="Times New Roman" w:hAnsi="Times New Roman" w:cs="Times New Roman"/>
          <w:sz w:val="24"/>
          <w:szCs w:val="24"/>
        </w:rPr>
        <w:t>(medians and 90</w:t>
      </w:r>
      <w:r w:rsidR="00D85EC8">
        <w:rPr>
          <w:rFonts w:ascii="Times New Roman" w:hAnsi="Times New Roman" w:cs="Times New Roman"/>
          <w:sz w:val="24"/>
          <w:szCs w:val="24"/>
        </w:rPr>
        <w:t xml:space="preserve">% BCIs) from </w:t>
      </w:r>
      <w:r w:rsidR="00657237">
        <w:rPr>
          <w:rFonts w:ascii="Times New Roman" w:hAnsi="Times New Roman" w:cs="Times New Roman"/>
          <w:sz w:val="24"/>
          <w:szCs w:val="24"/>
        </w:rPr>
        <w:t xml:space="preserve">community </w:t>
      </w:r>
      <w:r w:rsidR="00D85EC8">
        <w:rPr>
          <w:rFonts w:ascii="Times New Roman" w:hAnsi="Times New Roman" w:cs="Times New Roman"/>
          <w:sz w:val="24"/>
          <w:szCs w:val="24"/>
        </w:rPr>
        <w:t xml:space="preserve">occupancy models fitted to </w:t>
      </w:r>
      <w:r w:rsidR="00657237">
        <w:rPr>
          <w:rFonts w:ascii="Times New Roman" w:hAnsi="Times New Roman" w:cs="Times New Roman"/>
          <w:sz w:val="24"/>
          <w:szCs w:val="24"/>
        </w:rPr>
        <w:t>data from the Payette National Forest (</w:t>
      </w:r>
      <w:r w:rsidR="00D85EC8">
        <w:rPr>
          <w:rFonts w:ascii="Times New Roman" w:hAnsi="Times New Roman" w:cs="Times New Roman"/>
          <w:sz w:val="24"/>
          <w:szCs w:val="24"/>
        </w:rPr>
        <w:t xml:space="preserve">Idaho, </w:t>
      </w:r>
      <w:r w:rsidR="00657237">
        <w:rPr>
          <w:rFonts w:ascii="Times New Roman" w:hAnsi="Times New Roman" w:cs="Times New Roman"/>
          <w:sz w:val="24"/>
          <w:szCs w:val="24"/>
        </w:rPr>
        <w:t>U.S.A.). See Table 2</w:t>
      </w:r>
      <w:r w:rsidR="00D85EC8">
        <w:rPr>
          <w:rFonts w:ascii="Times New Roman" w:hAnsi="Times New Roman" w:cs="Times New Roman"/>
          <w:sz w:val="24"/>
          <w:szCs w:val="24"/>
        </w:rPr>
        <w:t xml:space="preserve"> for common and taxonomic species names.</w:t>
      </w:r>
      <w:r w:rsidR="00657237">
        <w:rPr>
          <w:rFonts w:ascii="Times New Roman" w:hAnsi="Times New Roman" w:cs="Times New Roman"/>
          <w:sz w:val="24"/>
          <w:szCs w:val="24"/>
        </w:rPr>
        <w:t xml:space="preserve"> Detectability was estimated as correlated with occupancy across species;</w:t>
      </w:r>
      <w:r w:rsidR="00657237" w:rsidRPr="00657237">
        <w:rPr>
          <w:rFonts w:ascii="Times New Roman" w:hAnsi="Times New Roman" w:cs="Times New Roman"/>
          <w:sz w:val="24"/>
          <w:szCs w:val="24"/>
        </w:rPr>
        <w:t xml:space="preserve"> </w:t>
      </w:r>
      <w:r w:rsidR="00657237">
        <w:rPr>
          <w:rFonts w:ascii="Times New Roman" w:hAnsi="Times New Roman" w:cs="Times New Roman"/>
          <w:sz w:val="24"/>
          <w:szCs w:val="24"/>
        </w:rPr>
        <w:t xml:space="preserve">estimates for </w:t>
      </w:r>
      <w:r w:rsidR="00657237" w:rsidRPr="00B3093C">
        <w:rPr>
          <w:rFonts w:ascii="Times New Roman" w:eastAsia="Times New Roman" w:hAnsi="Times New Roman" w:cs="Times New Roman"/>
          <w:color w:val="000000"/>
          <w:sz w:val="24"/>
          <w:szCs w:val="24"/>
        </w:rPr>
        <w:t>ρ</w:t>
      </w:r>
      <w:r w:rsidR="00657237" w:rsidRPr="00657237">
        <w:rPr>
          <w:rFonts w:ascii="Times New Roman" w:eastAsia="Times New Roman" w:hAnsi="Times New Roman" w:cs="Times New Roman"/>
          <w:color w:val="000000"/>
          <w:sz w:val="24"/>
          <w:szCs w:val="24"/>
        </w:rPr>
        <w:t xml:space="preserve"> = 0.53</w:t>
      </w:r>
      <w:r w:rsidR="00657237">
        <w:rPr>
          <w:rFonts w:ascii="Times New Roman" w:eastAsia="Times New Roman" w:hAnsi="Times New Roman" w:cs="Times New Roman"/>
          <w:color w:val="000000"/>
          <w:sz w:val="24"/>
          <w:szCs w:val="24"/>
        </w:rPr>
        <w:t xml:space="preserve"> (0.16, 0.79), 0.41 (-0.21, 0.74), 0.36 (</w:t>
      </w:r>
      <w:r w:rsidR="0052310E">
        <w:rPr>
          <w:rFonts w:ascii="Times New Roman" w:eastAsia="Times New Roman" w:hAnsi="Times New Roman" w:cs="Times New Roman"/>
          <w:color w:val="000000"/>
          <w:sz w:val="24"/>
          <w:szCs w:val="24"/>
        </w:rPr>
        <w:t>0.24, 0.64</w:t>
      </w:r>
      <w:r w:rsidR="00657237">
        <w:rPr>
          <w:rFonts w:ascii="Times New Roman" w:eastAsia="Times New Roman" w:hAnsi="Times New Roman" w:cs="Times New Roman"/>
          <w:color w:val="000000"/>
          <w:sz w:val="24"/>
          <w:szCs w:val="24"/>
        </w:rPr>
        <w:t xml:space="preserve">) and </w:t>
      </w:r>
      <w:r w:rsidR="0052310E">
        <w:rPr>
          <w:rFonts w:ascii="Times New Roman" w:eastAsia="Times New Roman" w:hAnsi="Times New Roman" w:cs="Times New Roman"/>
          <w:color w:val="000000"/>
          <w:sz w:val="24"/>
          <w:szCs w:val="24"/>
        </w:rPr>
        <w:t>0.52</w:t>
      </w:r>
      <w:r w:rsidR="00657237">
        <w:rPr>
          <w:rFonts w:ascii="Times New Roman" w:eastAsia="Times New Roman" w:hAnsi="Times New Roman" w:cs="Times New Roman"/>
          <w:color w:val="000000"/>
          <w:sz w:val="24"/>
          <w:szCs w:val="24"/>
        </w:rPr>
        <w:t xml:space="preserve"> (</w:t>
      </w:r>
      <w:r w:rsidR="0052310E">
        <w:rPr>
          <w:rFonts w:ascii="Times New Roman" w:eastAsia="Times New Roman" w:hAnsi="Times New Roman" w:cs="Times New Roman"/>
          <w:color w:val="000000"/>
          <w:sz w:val="24"/>
          <w:szCs w:val="24"/>
        </w:rPr>
        <w:t>0.21, 0.74</w:t>
      </w:r>
      <w:r w:rsidR="00657237">
        <w:rPr>
          <w:rFonts w:ascii="Times New Roman" w:eastAsia="Times New Roman" w:hAnsi="Times New Roman" w:cs="Times New Roman"/>
          <w:color w:val="000000"/>
          <w:sz w:val="24"/>
          <w:szCs w:val="24"/>
        </w:rPr>
        <w:t>)</w:t>
      </w:r>
      <w:r w:rsidR="0052310E">
        <w:rPr>
          <w:rFonts w:ascii="Times New Roman" w:eastAsia="Times New Roman" w:hAnsi="Times New Roman" w:cs="Times New Roman"/>
          <w:color w:val="000000"/>
          <w:sz w:val="24"/>
          <w:szCs w:val="24"/>
        </w:rPr>
        <w:t xml:space="preserve"> for Models 1, 2, 3, and 4, respectively.</w:t>
      </w:r>
    </w:p>
    <w:p w:rsidR="0052310E" w:rsidRDefault="0052310E" w:rsidP="00657237">
      <w:pPr>
        <w:spacing w:after="0" w:line="240" w:lineRule="auto"/>
        <w:rPr>
          <w:rFonts w:ascii="Times New Roman" w:hAnsi="Times New Roman" w:cs="Times New Roman"/>
          <w:sz w:val="24"/>
          <w:szCs w:val="24"/>
        </w:rPr>
      </w:pPr>
    </w:p>
    <w:p w:rsidR="00657237" w:rsidRPr="00657237" w:rsidRDefault="00222AE0" w:rsidP="00657237">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89.15pt">
            <v:imagedata r:id="rId5" o:title="figure_detectability"/>
          </v:shape>
        </w:pict>
      </w:r>
    </w:p>
    <w:sectPr w:rsidR="00657237" w:rsidRPr="00657237" w:rsidSect="00CA04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09"/>
  </w:docVars>
  <w:rsids>
    <w:rsidRoot w:val="007A47EC"/>
    <w:rsid w:val="000372A9"/>
    <w:rsid w:val="000E63A2"/>
    <w:rsid w:val="00101157"/>
    <w:rsid w:val="00121382"/>
    <w:rsid w:val="001A624E"/>
    <w:rsid w:val="001B3724"/>
    <w:rsid w:val="001D64A7"/>
    <w:rsid w:val="001E16FA"/>
    <w:rsid w:val="0021111D"/>
    <w:rsid w:val="00222AE0"/>
    <w:rsid w:val="00322D03"/>
    <w:rsid w:val="0036341B"/>
    <w:rsid w:val="00363D0D"/>
    <w:rsid w:val="004506AE"/>
    <w:rsid w:val="0052310E"/>
    <w:rsid w:val="005E4F73"/>
    <w:rsid w:val="00657237"/>
    <w:rsid w:val="006C45EF"/>
    <w:rsid w:val="00706BAB"/>
    <w:rsid w:val="007174ED"/>
    <w:rsid w:val="007A1A67"/>
    <w:rsid w:val="007A47EC"/>
    <w:rsid w:val="008B5991"/>
    <w:rsid w:val="008E6188"/>
    <w:rsid w:val="00A5157C"/>
    <w:rsid w:val="00AB7233"/>
    <w:rsid w:val="00B3093C"/>
    <w:rsid w:val="00BD12EF"/>
    <w:rsid w:val="00BD28AC"/>
    <w:rsid w:val="00CA04EE"/>
    <w:rsid w:val="00CC3AC4"/>
    <w:rsid w:val="00D85EC8"/>
    <w:rsid w:val="00E16C12"/>
    <w:rsid w:val="00E91C3F"/>
    <w:rsid w:val="00EE7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57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57237"/>
    <w:rPr>
      <w:rFonts w:ascii="Courier New" w:eastAsia="Times New Roman" w:hAnsi="Courier New" w:cs="Courier New"/>
      <w:sz w:val="20"/>
      <w:szCs w:val="20"/>
    </w:rPr>
  </w:style>
  <w:style w:type="character" w:customStyle="1" w:styleId="gnkrckgcgsb">
    <w:name w:val="gnkrckgcgsb"/>
    <w:basedOn w:val="DefaultParagraphFont"/>
    <w:rsid w:val="006572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572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57237"/>
    <w:rPr>
      <w:rFonts w:ascii="Courier New" w:eastAsia="Times New Roman" w:hAnsi="Courier New" w:cs="Courier New"/>
      <w:sz w:val="20"/>
      <w:szCs w:val="20"/>
    </w:rPr>
  </w:style>
  <w:style w:type="character" w:customStyle="1" w:styleId="gnkrckgcgsb">
    <w:name w:val="gnkrckgcgsb"/>
    <w:basedOn w:val="DefaultParagraphFont"/>
    <w:rsid w:val="00657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57831">
      <w:bodyDiv w:val="1"/>
      <w:marLeft w:val="0"/>
      <w:marRight w:val="0"/>
      <w:marTop w:val="0"/>
      <w:marBottom w:val="0"/>
      <w:divBdr>
        <w:top w:val="none" w:sz="0" w:space="0" w:color="auto"/>
        <w:left w:val="none" w:sz="0" w:space="0" w:color="auto"/>
        <w:bottom w:val="none" w:sz="0" w:space="0" w:color="auto"/>
        <w:right w:val="none" w:sz="0" w:space="0" w:color="auto"/>
      </w:divBdr>
    </w:div>
    <w:div w:id="697969518">
      <w:bodyDiv w:val="1"/>
      <w:marLeft w:val="0"/>
      <w:marRight w:val="0"/>
      <w:marTop w:val="0"/>
      <w:marBottom w:val="0"/>
      <w:divBdr>
        <w:top w:val="none" w:sz="0" w:space="0" w:color="auto"/>
        <w:left w:val="none" w:sz="0" w:space="0" w:color="auto"/>
        <w:bottom w:val="none" w:sz="0" w:space="0" w:color="auto"/>
        <w:right w:val="none" w:sz="0" w:space="0" w:color="auto"/>
      </w:divBdr>
    </w:div>
    <w:div w:id="1157065593">
      <w:bodyDiv w:val="1"/>
      <w:marLeft w:val="0"/>
      <w:marRight w:val="0"/>
      <w:marTop w:val="0"/>
      <w:marBottom w:val="0"/>
      <w:divBdr>
        <w:top w:val="none" w:sz="0" w:space="0" w:color="auto"/>
        <w:left w:val="none" w:sz="0" w:space="0" w:color="auto"/>
        <w:bottom w:val="none" w:sz="0" w:space="0" w:color="auto"/>
        <w:right w:val="none" w:sz="0" w:space="0" w:color="auto"/>
      </w:divBdr>
    </w:div>
    <w:div w:id="159439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6</Pages>
  <Words>1446</Words>
  <Characters>7233</Characters>
  <Application>Microsoft Office Word</Application>
  <DocSecurity>0</DocSecurity>
  <Lines>344</Lines>
  <Paragraphs>222</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 Quresh S -FS</dc:creator>
  <cp:keywords/>
  <dc:description/>
  <cp:lastModifiedBy>MSARDAN</cp:lastModifiedBy>
  <cp:revision>21</cp:revision>
  <dcterms:created xsi:type="dcterms:W3CDTF">2018-02-22T23:05:00Z</dcterms:created>
  <dcterms:modified xsi:type="dcterms:W3CDTF">2021-11-18T00:57:00Z</dcterms:modified>
</cp:coreProperties>
</file>