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CE9638" w14:textId="457A01CF" w:rsidR="00921DB0" w:rsidRPr="00C36617" w:rsidRDefault="00921DB0" w:rsidP="00FA6EBE">
      <w:pPr>
        <w:tabs>
          <w:tab w:val="left" w:pos="3874"/>
        </w:tabs>
        <w:spacing w:after="160"/>
        <w:rPr>
          <w:rFonts w:cs="Times New Roman"/>
        </w:rPr>
      </w:pPr>
      <w:r w:rsidRPr="00C36617">
        <w:rPr>
          <w:rFonts w:cs="Times New Roman"/>
          <w:b/>
        </w:rPr>
        <w:t xml:space="preserve">Appendix </w:t>
      </w:r>
      <w:r w:rsidR="007E58FE" w:rsidRPr="00C36617">
        <w:rPr>
          <w:rFonts w:cs="Times New Roman"/>
          <w:b/>
        </w:rPr>
        <w:t>1</w:t>
      </w:r>
      <w:r w:rsidRPr="00C36617">
        <w:rPr>
          <w:rFonts w:cs="Times New Roman"/>
        </w:rPr>
        <w:t xml:space="preserve">. </w:t>
      </w:r>
      <w:r w:rsidR="007E58FE" w:rsidRPr="00C36617">
        <w:rPr>
          <w:rFonts w:cs="Times New Roman"/>
        </w:rPr>
        <w:t xml:space="preserve">Detailed methodology for preparation of climate data for simulation in FSim. </w:t>
      </w:r>
    </w:p>
    <w:p w14:paraId="7CD783B9" w14:textId="77777777" w:rsidR="007E58FE" w:rsidRPr="00C36617" w:rsidRDefault="007E58FE" w:rsidP="007E58FE">
      <w:pPr>
        <w:spacing w:after="160"/>
        <w:contextualSpacing/>
        <w:rPr>
          <w:rFonts w:cs="Times New Roman"/>
        </w:rPr>
      </w:pPr>
    </w:p>
    <w:p w14:paraId="67AC4B1B" w14:textId="005EDA66" w:rsidR="00FA6EBE" w:rsidRPr="00C36617" w:rsidRDefault="00FA6EBE" w:rsidP="007E58FE">
      <w:pPr>
        <w:spacing w:after="160"/>
        <w:ind w:firstLine="720"/>
        <w:contextualSpacing/>
        <w:rPr>
          <w:rFonts w:cs="Times New Roman"/>
        </w:rPr>
      </w:pPr>
      <w:r w:rsidRPr="00C36617">
        <w:rPr>
          <w:rFonts w:cs="Times New Roman"/>
        </w:rPr>
        <w:t>Although GCMs are generally considered competent at simulating total precipitation amount, they are criticized for overestimating the frequency of light precipitation (Sun et al.</w:t>
      </w:r>
      <w:r w:rsidR="00921DB0" w:rsidRPr="00C36617">
        <w:rPr>
          <w:rFonts w:cs="Times New Roman"/>
        </w:rPr>
        <w:t xml:space="preserve"> </w:t>
      </w:r>
      <w:r w:rsidRPr="00C36617">
        <w:rPr>
          <w:rFonts w:cs="Times New Roman"/>
        </w:rPr>
        <w:t xml:space="preserve">2006). This has consequences for FSim because of the significant impact that light precipitation has on the </w:t>
      </w:r>
      <w:r w:rsidR="009D005F" w:rsidRPr="00C36617">
        <w:rPr>
          <w:rFonts w:cs="Times New Roman"/>
        </w:rPr>
        <w:t>state of the weather (</w:t>
      </w:r>
      <w:r w:rsidRPr="00C36617">
        <w:rPr>
          <w:rFonts w:cs="Times New Roman"/>
        </w:rPr>
        <w:t>SOW</w:t>
      </w:r>
      <w:r w:rsidR="009D005F" w:rsidRPr="00C36617">
        <w:rPr>
          <w:rFonts w:cs="Times New Roman"/>
        </w:rPr>
        <w:t>)</w:t>
      </w:r>
      <w:r w:rsidRPr="00C36617">
        <w:rPr>
          <w:rFonts w:cs="Times New Roman"/>
        </w:rPr>
        <w:t xml:space="preserve"> classification used in ERC calculation.  For example, daily precipitation between 0.01-0.05 inches results in a “Drizzle” classification (Table </w:t>
      </w:r>
      <w:r w:rsidR="00CF0BC6" w:rsidRPr="00C36617">
        <w:rPr>
          <w:rFonts w:cs="Times New Roman"/>
        </w:rPr>
        <w:t>A</w:t>
      </w:r>
      <w:r w:rsidR="005B0559" w:rsidRPr="00C36617">
        <w:rPr>
          <w:rFonts w:cs="Times New Roman"/>
        </w:rPr>
        <w:t>1</w:t>
      </w:r>
      <w:r w:rsidRPr="00C36617">
        <w:rPr>
          <w:rFonts w:cs="Times New Roman"/>
        </w:rPr>
        <w:t xml:space="preserve">), which results in lower ERC values. Initially, our ERC calculations for all MACAv2-METDATA GCMs resulted in ERC values that were comparatively lower than </w:t>
      </w:r>
      <w:r w:rsidR="0014463E" w:rsidRPr="00C36617">
        <w:rPr>
          <w:rFonts w:cs="Times New Roman"/>
        </w:rPr>
        <w:t>gridMET</w:t>
      </w:r>
      <w:r w:rsidRPr="00C36617">
        <w:rPr>
          <w:rFonts w:cs="Times New Roman"/>
        </w:rPr>
        <w:t xml:space="preserve"> during the summer, when ERC should be highest and have the biggest impact on fire. Likewise, relative to </w:t>
      </w:r>
      <w:r w:rsidR="0014463E" w:rsidRPr="00C36617">
        <w:rPr>
          <w:rFonts w:cs="Times New Roman"/>
        </w:rPr>
        <w:t>gridMET</w:t>
      </w:r>
      <w:r w:rsidRPr="00C36617">
        <w:rPr>
          <w:rFonts w:cs="Times New Roman"/>
        </w:rPr>
        <w:t xml:space="preserve">, each GCM had a significantly higher frequency of summer days with a “Drizzle” SOW classification, even though total precipitation was similar throughout the year. To counteract this, we designed a simple procedure that adjusts the frequency of light precipitation days in MACAv2-METDATA to more closely match the frequency in </w:t>
      </w:r>
      <w:r w:rsidR="0014463E" w:rsidRPr="00C36617">
        <w:rPr>
          <w:rFonts w:cs="Times New Roman"/>
        </w:rPr>
        <w:t>gridMET</w:t>
      </w:r>
      <w:r w:rsidRPr="00C36617">
        <w:rPr>
          <w:rFonts w:cs="Times New Roman"/>
        </w:rPr>
        <w:t xml:space="preserve"> without significantly changing the total precipitation amount. </w:t>
      </w:r>
    </w:p>
    <w:p w14:paraId="57CA2E63" w14:textId="6F5E5227" w:rsidR="00FA6EBE" w:rsidRPr="00C36617" w:rsidRDefault="00921DB0" w:rsidP="00921DB0">
      <w:pPr>
        <w:spacing w:before="240" w:after="160"/>
        <w:ind w:firstLine="720"/>
        <w:contextualSpacing/>
        <w:rPr>
          <w:rFonts w:cs="Times New Roman"/>
        </w:rPr>
      </w:pPr>
      <w:r w:rsidRPr="00C36617">
        <w:rPr>
          <w:rFonts w:cs="Times New Roman"/>
        </w:rPr>
        <w:t>F</w:t>
      </w:r>
      <w:r w:rsidR="00FA6EBE" w:rsidRPr="00C36617">
        <w:rPr>
          <w:rFonts w:cs="Times New Roman"/>
        </w:rPr>
        <w:t xml:space="preserve">irst, we counted the average number of rain days per month (precipitation &gt; 0) reported by </w:t>
      </w:r>
      <w:r w:rsidR="0014463E" w:rsidRPr="00C36617">
        <w:rPr>
          <w:rFonts w:cs="Times New Roman"/>
        </w:rPr>
        <w:t>gridMET</w:t>
      </w:r>
      <w:r w:rsidR="00FA6EBE" w:rsidRPr="00C36617">
        <w:rPr>
          <w:rFonts w:cs="Times New Roman"/>
        </w:rPr>
        <w:t xml:space="preserve"> over the baseline period to set our desired target for MACAv2-METDATA adjustments. Then, if the average number of rain days per month for any GCM was outside of </w:t>
      </w:r>
      <w:r w:rsidR="0014463E" w:rsidRPr="00C36617">
        <w:rPr>
          <w:rFonts w:cs="Times New Roman"/>
        </w:rPr>
        <w:t>gridMET</w:t>
      </w:r>
      <w:r w:rsidR="00D6422B" w:rsidRPr="00C36617">
        <w:rPr>
          <w:rFonts w:cs="Times New Roman"/>
        </w:rPr>
        <w:t>’</w:t>
      </w:r>
      <w:r w:rsidR="00FA6EBE" w:rsidRPr="00C36617">
        <w:rPr>
          <w:rFonts w:cs="Times New Roman"/>
        </w:rPr>
        <w:t xml:space="preserve">s 95% confidence interval for that same month, we sequentially removed rain days from the GCM for that month during the baseline 1979-2005 period, starting with days with the least precipitation, until the number of rain days equaled that of </w:t>
      </w:r>
      <w:r w:rsidR="0014463E" w:rsidRPr="00C36617">
        <w:rPr>
          <w:rFonts w:cs="Times New Roman"/>
        </w:rPr>
        <w:t>gridMET</w:t>
      </w:r>
      <w:r w:rsidR="00FA6EBE" w:rsidRPr="00C36617">
        <w:rPr>
          <w:rFonts w:cs="Times New Roman"/>
        </w:rPr>
        <w:t>. Th</w:t>
      </w:r>
      <w:r w:rsidR="009D005F" w:rsidRPr="00C36617">
        <w:rPr>
          <w:rFonts w:cs="Times New Roman"/>
        </w:rPr>
        <w:t xml:space="preserve">ese criteria resulted in </w:t>
      </w:r>
      <w:r w:rsidR="00FA6EBE" w:rsidRPr="00C36617">
        <w:rPr>
          <w:rFonts w:cs="Times New Roman"/>
        </w:rPr>
        <w:t xml:space="preserve">corrections </w:t>
      </w:r>
      <w:r w:rsidR="009D005F" w:rsidRPr="00C36617">
        <w:rPr>
          <w:rFonts w:cs="Times New Roman"/>
        </w:rPr>
        <w:t>being applied only for the summer months of</w:t>
      </w:r>
      <w:r w:rsidR="00FA6EBE" w:rsidRPr="00C36617">
        <w:rPr>
          <w:rFonts w:cs="Times New Roman"/>
        </w:rPr>
        <w:t xml:space="preserve"> May to September for </w:t>
      </w:r>
      <w:r w:rsidR="00D6422B" w:rsidRPr="00C36617">
        <w:rPr>
          <w:rFonts w:cs="Times New Roman"/>
        </w:rPr>
        <w:t>the Central Coast pyrome</w:t>
      </w:r>
      <w:r w:rsidR="00FA6EBE" w:rsidRPr="00C36617">
        <w:rPr>
          <w:rFonts w:cs="Times New Roman"/>
        </w:rPr>
        <w:t xml:space="preserve"> and June </w:t>
      </w:r>
      <w:r w:rsidR="009D005F" w:rsidRPr="00C36617">
        <w:rPr>
          <w:rFonts w:cs="Times New Roman"/>
        </w:rPr>
        <w:t>to</w:t>
      </w:r>
      <w:r w:rsidR="00FA6EBE" w:rsidRPr="00C36617">
        <w:rPr>
          <w:rFonts w:cs="Times New Roman"/>
        </w:rPr>
        <w:t xml:space="preserve"> September for </w:t>
      </w:r>
      <w:r w:rsidR="00D6422B" w:rsidRPr="00C36617">
        <w:rPr>
          <w:rFonts w:cs="Times New Roman"/>
        </w:rPr>
        <w:t>the Southern Coas</w:t>
      </w:r>
      <w:r w:rsidR="009D005F" w:rsidRPr="00C36617">
        <w:rPr>
          <w:rFonts w:cs="Times New Roman"/>
        </w:rPr>
        <w:t>t</w:t>
      </w:r>
      <w:r w:rsidR="00D6422B" w:rsidRPr="00C36617">
        <w:rPr>
          <w:rFonts w:cs="Times New Roman"/>
        </w:rPr>
        <w:t xml:space="preserve"> Pyrome</w:t>
      </w:r>
      <w:r w:rsidR="00FA6EBE" w:rsidRPr="00C36617">
        <w:rPr>
          <w:rFonts w:cs="Times New Roman"/>
        </w:rPr>
        <w:t>.  This had the desired result for all GCMs by increasing summertime ERC and decreasing the frequency of summertime “Drizzle” days without significantly altering total precipitation amounts. For example, the maximum amount of monthly total precipitation removed by adjustment in any month is only 3.7mm.</w:t>
      </w:r>
    </w:p>
    <w:p w14:paraId="61AA7E69" w14:textId="7D3A5816" w:rsidR="00543F6D" w:rsidRPr="00C36617" w:rsidRDefault="00FA6EBE" w:rsidP="00EF0FB4">
      <w:pPr>
        <w:ind w:firstLine="720"/>
        <w:contextualSpacing/>
        <w:rPr>
          <w:rFonts w:cs="Times New Roman"/>
        </w:rPr>
      </w:pPr>
      <w:r w:rsidRPr="00C36617">
        <w:rPr>
          <w:rFonts w:cs="Times New Roman"/>
        </w:rPr>
        <w:t xml:space="preserve">Since we do not have a comparative </w:t>
      </w:r>
      <w:r w:rsidR="0014463E" w:rsidRPr="00C36617">
        <w:rPr>
          <w:rFonts w:cs="Times New Roman"/>
        </w:rPr>
        <w:t>gridMET</w:t>
      </w:r>
      <w:r w:rsidRPr="00C36617">
        <w:rPr>
          <w:rFonts w:cs="Times New Roman"/>
        </w:rPr>
        <w:t xml:space="preserve"> equivalent for the future period, we defined future targets for each GCM as the number of rain days from baseline </w:t>
      </w:r>
      <w:r w:rsidR="0014463E" w:rsidRPr="00C36617">
        <w:rPr>
          <w:rFonts w:cs="Times New Roman"/>
        </w:rPr>
        <w:t>gridMET</w:t>
      </w:r>
      <w:r w:rsidRPr="00C36617">
        <w:rPr>
          <w:rFonts w:cs="Times New Roman"/>
        </w:rPr>
        <w:t xml:space="preserve"> (i.e. the rain</w:t>
      </w:r>
      <w:r w:rsidR="009D005F" w:rsidRPr="00C36617">
        <w:rPr>
          <w:rFonts w:cs="Times New Roman"/>
        </w:rPr>
        <w:t>y</w:t>
      </w:r>
      <w:r w:rsidRPr="00C36617">
        <w:rPr>
          <w:rFonts w:cs="Times New Roman"/>
        </w:rPr>
        <w:t xml:space="preserve"> days target) multiplied by the ratio of future to baseline rain days for each GCM (equation </w:t>
      </w:r>
      <w:r w:rsidR="00CF0BC6" w:rsidRPr="00C36617">
        <w:rPr>
          <w:rFonts w:cs="Times New Roman"/>
        </w:rPr>
        <w:t>A</w:t>
      </w:r>
      <w:r w:rsidR="00D6422B" w:rsidRPr="00C36617">
        <w:rPr>
          <w:rFonts w:cs="Times New Roman"/>
        </w:rPr>
        <w:t>1</w:t>
      </w:r>
      <w:r w:rsidRPr="00C36617">
        <w:rPr>
          <w:rFonts w:cs="Times New Roman"/>
        </w:rPr>
        <w:t>). We again applied the same procedure of sequentially removing rain days from the future GCMs, starting with days of least precipitation, until the number of rain days equaled the future target.</w:t>
      </w:r>
    </w:p>
    <w:p w14:paraId="1635A700" w14:textId="18160E15" w:rsidR="00FA6EBE" w:rsidRPr="00CF0BC6" w:rsidRDefault="00FA6EBE" w:rsidP="00FA6EBE">
      <w:pPr>
        <w:tabs>
          <w:tab w:val="left" w:pos="3874"/>
        </w:tabs>
        <w:spacing w:after="160"/>
        <w:contextualSpacing/>
        <w:rPr>
          <w:rFonts w:ascii="Times New Roman" w:hAnsi="Times New Roman" w:cs="Times New Roman"/>
        </w:rPr>
      </w:pPr>
    </w:p>
    <w:p w14:paraId="23545D35" w14:textId="42524BEA" w:rsidR="00FA6EBE" w:rsidRPr="00CF0BC6" w:rsidRDefault="00FA6EBE" w:rsidP="00FA6EBE">
      <w:pPr>
        <w:tabs>
          <w:tab w:val="left" w:pos="3874"/>
        </w:tabs>
        <w:spacing w:after="160"/>
        <w:contextualSpacing/>
        <w:rPr>
          <w:rFonts w:ascii="Times New Roman" w:hAnsi="Times New Roman" w:cs="Times New Roman"/>
          <w:i/>
        </w:rPr>
      </w:pPr>
      <w:r w:rsidRPr="00CF0BC6">
        <w:rPr>
          <w:rFonts w:ascii="Times New Roman" w:hAnsi="Times New Roman" w:cs="Times New Roman"/>
          <w:i/>
        </w:rPr>
        <w:t xml:space="preserve">(equation </w:t>
      </w:r>
      <w:r w:rsidR="009D005F">
        <w:rPr>
          <w:rFonts w:ascii="Times New Roman" w:hAnsi="Times New Roman" w:cs="Times New Roman"/>
          <w:i/>
        </w:rPr>
        <w:t>A</w:t>
      </w:r>
      <w:r w:rsidR="00EF0FB4">
        <w:rPr>
          <w:rFonts w:ascii="Times New Roman" w:hAnsi="Times New Roman" w:cs="Times New Roman"/>
          <w:i/>
        </w:rPr>
        <w:t>1</w:t>
      </w:r>
      <w:r w:rsidRPr="00CF0BC6">
        <w:rPr>
          <w:rFonts w:ascii="Times New Roman" w:hAnsi="Times New Roman" w:cs="Times New Roman"/>
          <w:i/>
        </w:rPr>
        <w:t>)</w:t>
      </w:r>
    </w:p>
    <w:p w14:paraId="70E2B2D5" w14:textId="6B3AE5C5" w:rsidR="00D6422B" w:rsidRPr="00CF0BC6" w:rsidRDefault="00D6422B" w:rsidP="00F1737E">
      <w:pPr>
        <w:tabs>
          <w:tab w:val="left" w:pos="3874"/>
        </w:tabs>
        <w:spacing w:after="160"/>
        <w:contextualSpacing/>
        <w:jc w:val="center"/>
        <w:rPr>
          <w:rFonts w:ascii="Times New Roman" w:hAnsi="Times New Roman" w:cs="Times New Roman"/>
          <w:i/>
        </w:rPr>
      </w:pPr>
      <m:oMathPara>
        <m:oMath>
          <m:r>
            <w:rPr>
              <w:rFonts w:ascii="Cambria Math" w:hAnsi="Cambria Math" w:cs="Times New Roman"/>
            </w:rPr>
            <m:t>Future Target</m:t>
          </m:r>
          <m:r>
            <m:rPr>
              <m:scr m:val="script"/>
            </m:rPr>
            <w:rPr>
              <w:rFonts w:ascii="Cambria Math" w:hAnsi="Cambria Math" w:cs="Times New Roman"/>
            </w:rPr>
            <m:t xml:space="preserve"> = g × </m:t>
          </m:r>
          <m:sSub>
            <m:sSubPr>
              <m:ctrlPr>
                <w:rPr>
                  <w:rFonts w:ascii="Cambria Math" w:hAnsi="Cambria Math" w:cs="Times New Roman"/>
                  <w:i/>
                </w:rPr>
              </m:ctrlPr>
            </m:sSubPr>
            <m:e>
              <m:r>
                <m:rPr>
                  <m:scr m:val="script"/>
                </m:rPr>
                <w:rPr>
                  <w:rFonts w:ascii="Cambria Math" w:hAnsi="Cambria Math" w:cs="Times New Roman"/>
                </w:rPr>
                <m:t>m</m:t>
              </m:r>
            </m:e>
            <m:sub>
              <m:r>
                <w:rPr>
                  <w:rFonts w:ascii="Cambria Math" w:hAnsi="Cambria Math" w:cs="Times New Roman"/>
                </w:rPr>
                <m:t>2</m:t>
              </m:r>
            </m:sub>
          </m:sSub>
          <m:r>
            <w:rPr>
              <w:rFonts w:ascii="Cambria Math" w:hAnsi="Cambria Math" w:cs="Times New Roman"/>
            </w:rPr>
            <m:t xml:space="preserve"> ÷ </m:t>
          </m:r>
          <m:sSub>
            <m:sSubPr>
              <m:ctrlPr>
                <w:rPr>
                  <w:rFonts w:ascii="Cambria Math" w:hAnsi="Cambria Math" w:cs="Times New Roman"/>
                  <w:i/>
                </w:rPr>
              </m:ctrlPr>
            </m:sSubPr>
            <m:e>
              <m:r>
                <m:rPr>
                  <m:scr m:val="script"/>
                </m:rPr>
                <w:rPr>
                  <w:rFonts w:ascii="Cambria Math" w:hAnsi="Cambria Math" w:cs="Times New Roman"/>
                </w:rPr>
                <m:t>m</m:t>
              </m:r>
            </m:e>
            <m:sub>
              <m:r>
                <w:rPr>
                  <w:rFonts w:ascii="Cambria Math" w:hAnsi="Cambria Math" w:cs="Times New Roman"/>
                </w:rPr>
                <m:t>1</m:t>
              </m:r>
            </m:sub>
          </m:sSub>
          <m:r>
            <w:rPr>
              <w:rFonts w:ascii="Cambria Math" w:hAnsi="Cambria Math" w:cs="Times New Roman"/>
            </w:rPr>
            <m:t xml:space="preserve"> </m:t>
          </m:r>
        </m:oMath>
      </m:oMathPara>
    </w:p>
    <w:p w14:paraId="30732A8B" w14:textId="77777777" w:rsidR="00F1737E" w:rsidRPr="00CF0BC6" w:rsidRDefault="00FA6EBE" w:rsidP="00FA6EBE">
      <w:pPr>
        <w:tabs>
          <w:tab w:val="left" w:pos="3874"/>
        </w:tabs>
        <w:contextualSpacing/>
        <w:rPr>
          <w:rFonts w:ascii="Times New Roman" w:hAnsi="Times New Roman" w:cs="Times New Roman"/>
          <w:i/>
        </w:rPr>
      </w:pPr>
      <w:r w:rsidRPr="00CF0BC6">
        <w:rPr>
          <w:rFonts w:ascii="Times New Roman" w:hAnsi="Times New Roman" w:cs="Times New Roman"/>
          <w:i/>
        </w:rPr>
        <w:t xml:space="preserve">where </w:t>
      </w:r>
    </w:p>
    <w:p w14:paraId="6C9E3CD1" w14:textId="15927381" w:rsidR="00FA6EBE" w:rsidRPr="00CF0BC6" w:rsidRDefault="00FA6EBE" w:rsidP="00F1737E">
      <w:pPr>
        <w:ind w:firstLine="720"/>
        <w:contextualSpacing/>
        <w:rPr>
          <w:rFonts w:ascii="Times New Roman" w:hAnsi="Times New Roman" w:cs="Times New Roman"/>
          <w:i/>
        </w:rPr>
      </w:pPr>
      <w:r w:rsidRPr="00CF0BC6">
        <w:rPr>
          <w:rFonts w:ascii="Times New Roman" w:hAnsi="Times New Roman" w:cs="Times New Roman"/>
          <w:i/>
        </w:rPr>
        <w:t>g is the original target number of rain days</w:t>
      </w:r>
      <w:r w:rsidR="00F1737E" w:rsidRPr="00CF0BC6">
        <w:rPr>
          <w:rFonts w:ascii="Times New Roman" w:hAnsi="Times New Roman" w:cs="Times New Roman"/>
          <w:i/>
        </w:rPr>
        <w:t xml:space="preserve"> from </w:t>
      </w:r>
      <w:r w:rsidR="009D005F">
        <w:rPr>
          <w:rFonts w:ascii="Times New Roman" w:hAnsi="Times New Roman" w:cs="Times New Roman"/>
          <w:i/>
        </w:rPr>
        <w:t xml:space="preserve">baseline </w:t>
      </w:r>
      <w:r w:rsidR="0014463E">
        <w:rPr>
          <w:rFonts w:ascii="Times New Roman" w:hAnsi="Times New Roman" w:cs="Times New Roman"/>
          <w:i/>
        </w:rPr>
        <w:t>gridMET</w:t>
      </w:r>
      <w:r w:rsidR="00F1737E" w:rsidRPr="00CF0BC6">
        <w:rPr>
          <w:rFonts w:ascii="Times New Roman" w:hAnsi="Times New Roman" w:cs="Times New Roman"/>
          <w:i/>
        </w:rPr>
        <w:t xml:space="preserve"> (1979-2005)</w:t>
      </w:r>
      <w:r w:rsidRPr="00CF0BC6">
        <w:rPr>
          <w:rFonts w:ascii="Times New Roman" w:hAnsi="Times New Roman" w:cs="Times New Roman"/>
          <w:i/>
        </w:rPr>
        <w:t xml:space="preserve">, </w:t>
      </w:r>
    </w:p>
    <w:p w14:paraId="0D900D0C" w14:textId="2E65E1B3" w:rsidR="00FA6EBE" w:rsidRPr="00CF0BC6" w:rsidRDefault="00FA6EBE" w:rsidP="00F1737E">
      <w:pPr>
        <w:ind w:firstLine="720"/>
        <w:contextualSpacing/>
        <w:rPr>
          <w:rFonts w:ascii="Times New Roman" w:hAnsi="Times New Roman" w:cs="Times New Roman"/>
          <w:i/>
        </w:rPr>
      </w:pPr>
      <w:r w:rsidRPr="00CF0BC6">
        <w:rPr>
          <w:rFonts w:ascii="Times New Roman" w:hAnsi="Times New Roman" w:cs="Times New Roman"/>
          <w:i/>
        </w:rPr>
        <w:t>m</w:t>
      </w:r>
      <w:r w:rsidR="00F1737E" w:rsidRPr="00CF0BC6">
        <w:rPr>
          <w:rFonts w:ascii="Times New Roman" w:hAnsi="Times New Roman" w:cs="Times New Roman"/>
          <w:i/>
          <w:vertAlign w:val="subscript"/>
        </w:rPr>
        <w:t>2</w:t>
      </w:r>
      <w:r w:rsidRPr="00CF0BC6">
        <w:rPr>
          <w:rFonts w:ascii="Times New Roman" w:hAnsi="Times New Roman" w:cs="Times New Roman"/>
          <w:i/>
        </w:rPr>
        <w:t xml:space="preserve"> is the future period</w:t>
      </w:r>
      <w:r w:rsidR="00F1737E" w:rsidRPr="00CF0BC6">
        <w:rPr>
          <w:rFonts w:ascii="Times New Roman" w:hAnsi="Times New Roman" w:cs="Times New Roman"/>
          <w:i/>
        </w:rPr>
        <w:t xml:space="preserve"> (2040-2069) </w:t>
      </w:r>
      <w:r w:rsidRPr="00CF0BC6">
        <w:rPr>
          <w:rFonts w:ascii="Times New Roman" w:hAnsi="Times New Roman" w:cs="Times New Roman"/>
          <w:i/>
        </w:rPr>
        <w:t>number of rain days for the GCM,</w:t>
      </w:r>
    </w:p>
    <w:p w14:paraId="6A514738" w14:textId="5C23EA65" w:rsidR="00FA6EBE" w:rsidRPr="00CF0BC6" w:rsidRDefault="00FA6EBE" w:rsidP="00F1737E">
      <w:pPr>
        <w:ind w:firstLine="720"/>
        <w:contextualSpacing/>
        <w:rPr>
          <w:rFonts w:ascii="Times New Roman" w:hAnsi="Times New Roman" w:cs="Times New Roman"/>
          <w:i/>
        </w:rPr>
      </w:pPr>
      <w:r w:rsidRPr="00CF0BC6">
        <w:rPr>
          <w:rFonts w:ascii="Times New Roman" w:hAnsi="Times New Roman" w:cs="Times New Roman"/>
          <w:i/>
        </w:rPr>
        <w:t>m</w:t>
      </w:r>
      <w:r w:rsidR="009D005F">
        <w:rPr>
          <w:rFonts w:ascii="Times New Roman" w:hAnsi="Times New Roman" w:cs="Times New Roman"/>
          <w:i/>
          <w:vertAlign w:val="subscript"/>
        </w:rPr>
        <w:t>1</w:t>
      </w:r>
      <w:r w:rsidRPr="00CF0BC6">
        <w:rPr>
          <w:rFonts w:ascii="Times New Roman" w:hAnsi="Times New Roman" w:cs="Times New Roman"/>
          <w:i/>
        </w:rPr>
        <w:t xml:space="preserve"> is the baseline period</w:t>
      </w:r>
      <w:r w:rsidR="00F1737E" w:rsidRPr="00CF0BC6">
        <w:rPr>
          <w:rFonts w:ascii="Times New Roman" w:hAnsi="Times New Roman" w:cs="Times New Roman"/>
          <w:i/>
        </w:rPr>
        <w:t xml:space="preserve"> (1979-2005)</w:t>
      </w:r>
      <w:r w:rsidRPr="00CF0BC6">
        <w:rPr>
          <w:rFonts w:ascii="Times New Roman" w:hAnsi="Times New Roman" w:cs="Times New Roman"/>
          <w:i/>
        </w:rPr>
        <w:t xml:space="preserve"> number of rain days for the GCM </w:t>
      </w:r>
    </w:p>
    <w:p w14:paraId="3D7EFE42" w14:textId="1D7F2154" w:rsidR="00D4127C" w:rsidRPr="00CF0BC6" w:rsidRDefault="00C36617">
      <w:pPr>
        <w:contextualSpacing/>
        <w:rPr>
          <w:rFonts w:ascii="Times New Roman" w:hAnsi="Times New Roman" w:cs="Times New Roman"/>
        </w:rPr>
      </w:pPr>
    </w:p>
    <w:p w14:paraId="282C6CD8" w14:textId="649E7D01" w:rsidR="00921DB0" w:rsidRDefault="00921DB0">
      <w:pPr>
        <w:rPr>
          <w:rFonts w:ascii="Times New Roman" w:hAnsi="Times New Roman" w:cs="Times New Roman"/>
        </w:rPr>
      </w:pPr>
    </w:p>
    <w:p w14:paraId="2F2E8BE5" w14:textId="2126F780" w:rsidR="00CF0BC6" w:rsidRDefault="00CF0BC6">
      <w:pPr>
        <w:rPr>
          <w:rFonts w:ascii="Times New Roman" w:hAnsi="Times New Roman" w:cs="Times New Roman"/>
        </w:rPr>
      </w:pPr>
    </w:p>
    <w:p w14:paraId="6EF1A1FE" w14:textId="46E08BD4" w:rsidR="00CF0BC6" w:rsidRDefault="00CF0BC6">
      <w:pPr>
        <w:rPr>
          <w:rFonts w:ascii="Times New Roman" w:hAnsi="Times New Roman" w:cs="Times New Roman"/>
        </w:rPr>
      </w:pPr>
    </w:p>
    <w:p w14:paraId="2F6115EA" w14:textId="3A9279F1" w:rsidR="00CF0BC6" w:rsidRDefault="00CF0BC6">
      <w:pPr>
        <w:rPr>
          <w:rFonts w:ascii="Times New Roman" w:hAnsi="Times New Roman" w:cs="Times New Roman"/>
        </w:rPr>
      </w:pPr>
    </w:p>
    <w:p w14:paraId="720A2EA3" w14:textId="77777777" w:rsidR="00543F6D" w:rsidRDefault="00543F6D" w:rsidP="00CF0BC6">
      <w:pPr>
        <w:spacing w:after="160"/>
        <w:rPr>
          <w:rFonts w:ascii="Times New Roman" w:eastAsia="Times New Roman" w:hAnsi="Times New Roman" w:cs="Times New Roman"/>
          <w:b/>
          <w:color w:val="000000"/>
        </w:rPr>
      </w:pPr>
    </w:p>
    <w:p w14:paraId="21209B99" w14:textId="04454F91" w:rsidR="00CF0BC6" w:rsidRPr="00C36617" w:rsidRDefault="00CF0BC6" w:rsidP="00CF0BC6">
      <w:pPr>
        <w:spacing w:after="160"/>
        <w:rPr>
          <w:rFonts w:eastAsia="Times New Roman" w:cs="Times New Roman"/>
        </w:rPr>
      </w:pPr>
      <w:r w:rsidRPr="00C36617">
        <w:rPr>
          <w:rFonts w:eastAsia="Times New Roman" w:cs="Times New Roman"/>
          <w:b/>
          <w:color w:val="000000"/>
        </w:rPr>
        <w:t xml:space="preserve">Table A1. </w:t>
      </w:r>
      <w:r w:rsidRPr="00C36617">
        <w:rPr>
          <w:rFonts w:eastAsia="Times New Roman" w:cs="Times New Roman"/>
          <w:color w:val="000000"/>
        </w:rPr>
        <w:t xml:space="preserve">The lookup table for estimation of State of the Weather (SOW). </w:t>
      </w:r>
    </w:p>
    <w:p w14:paraId="44C05243" w14:textId="77777777" w:rsidR="00CF0BC6" w:rsidRPr="00C36617" w:rsidRDefault="00CF0BC6">
      <w:pPr>
        <w:rPr>
          <w:rFonts w:cs="Times New Roman"/>
        </w:rPr>
      </w:pPr>
    </w:p>
    <w:tbl>
      <w:tblPr>
        <w:tblW w:w="0" w:type="auto"/>
        <w:tblCellMar>
          <w:top w:w="15" w:type="dxa"/>
          <w:left w:w="15" w:type="dxa"/>
          <w:bottom w:w="15" w:type="dxa"/>
          <w:right w:w="15" w:type="dxa"/>
        </w:tblCellMar>
        <w:tblLook w:val="04A0" w:firstRow="1" w:lastRow="0" w:firstColumn="1" w:lastColumn="0" w:noHBand="0" w:noVBand="1"/>
      </w:tblPr>
      <w:tblGrid>
        <w:gridCol w:w="1664"/>
        <w:gridCol w:w="2154"/>
        <w:gridCol w:w="1639"/>
      </w:tblGrid>
      <w:tr w:rsidR="00CF0BC6" w:rsidRPr="00C36617" w14:paraId="3B1155BF" w14:textId="77777777" w:rsidTr="00093648">
        <w:trPr>
          <w:trHeight w:val="290"/>
        </w:trPr>
        <w:tc>
          <w:tcPr>
            <w:tcW w:w="0" w:type="auto"/>
            <w:tcBorders>
              <w:top w:val="single" w:sz="4" w:space="0" w:color="000000"/>
              <w:bottom w:val="single" w:sz="4" w:space="0" w:color="000000"/>
            </w:tcBorders>
            <w:tcMar>
              <w:top w:w="0" w:type="dxa"/>
              <w:left w:w="115" w:type="dxa"/>
              <w:bottom w:w="0" w:type="dxa"/>
              <w:right w:w="115" w:type="dxa"/>
            </w:tcMar>
            <w:vAlign w:val="bottom"/>
            <w:hideMark/>
          </w:tcPr>
          <w:p w14:paraId="1A8B71E9" w14:textId="77777777" w:rsidR="00CF0BC6" w:rsidRPr="00C36617" w:rsidRDefault="00CF0BC6" w:rsidP="00093648">
            <w:pPr>
              <w:rPr>
                <w:rFonts w:eastAsia="Times New Roman" w:cs="Times New Roman"/>
                <w:sz w:val="20"/>
                <w:szCs w:val="20"/>
              </w:rPr>
            </w:pPr>
            <w:r w:rsidRPr="00C36617">
              <w:rPr>
                <w:rFonts w:eastAsia="Times New Roman" w:cs="Times New Roman"/>
                <w:color w:val="000000"/>
                <w:sz w:val="20"/>
                <w:szCs w:val="20"/>
              </w:rPr>
              <w:t>SOW</w:t>
            </w:r>
          </w:p>
        </w:tc>
        <w:tc>
          <w:tcPr>
            <w:tcW w:w="0" w:type="auto"/>
            <w:tcBorders>
              <w:top w:val="single" w:sz="4" w:space="0" w:color="000000"/>
              <w:bottom w:val="single" w:sz="4" w:space="0" w:color="000000"/>
            </w:tcBorders>
            <w:tcMar>
              <w:top w:w="0" w:type="dxa"/>
              <w:left w:w="115" w:type="dxa"/>
              <w:bottom w:w="0" w:type="dxa"/>
              <w:right w:w="115" w:type="dxa"/>
            </w:tcMar>
            <w:vAlign w:val="bottom"/>
            <w:hideMark/>
          </w:tcPr>
          <w:p w14:paraId="729DB04A" w14:textId="2086C16E" w:rsidR="00CF0BC6" w:rsidRPr="00C36617" w:rsidRDefault="00CF0BC6" w:rsidP="00093648">
            <w:pPr>
              <w:rPr>
                <w:rFonts w:eastAsia="Times New Roman" w:cs="Times New Roman"/>
                <w:sz w:val="20"/>
                <w:szCs w:val="20"/>
              </w:rPr>
            </w:pPr>
            <w:r w:rsidRPr="00C36617">
              <w:rPr>
                <w:rFonts w:eastAsia="Times New Roman" w:cs="Times New Roman"/>
                <w:color w:val="000000"/>
                <w:sz w:val="20"/>
                <w:szCs w:val="20"/>
              </w:rPr>
              <w:t>Precipitation (</w:t>
            </w:r>
            <w:r w:rsidR="00C36617">
              <w:rPr>
                <w:rFonts w:eastAsia="Times New Roman" w:cs="Times New Roman"/>
                <w:color w:val="000000"/>
                <w:sz w:val="20"/>
                <w:szCs w:val="20"/>
              </w:rPr>
              <w:t>in.</w:t>
            </w:r>
            <w:r w:rsidRPr="00C36617">
              <w:rPr>
                <w:rFonts w:eastAsia="Times New Roman" w:cs="Times New Roman"/>
                <w:color w:val="000000"/>
                <w:sz w:val="20"/>
                <w:szCs w:val="20"/>
              </w:rPr>
              <w:t>/day)</w:t>
            </w:r>
          </w:p>
        </w:tc>
        <w:tc>
          <w:tcPr>
            <w:tcW w:w="0" w:type="auto"/>
            <w:tcBorders>
              <w:top w:val="single" w:sz="4" w:space="0" w:color="000000"/>
              <w:bottom w:val="single" w:sz="4" w:space="0" w:color="000000"/>
            </w:tcBorders>
            <w:tcMar>
              <w:top w:w="0" w:type="dxa"/>
              <w:left w:w="115" w:type="dxa"/>
              <w:bottom w:w="0" w:type="dxa"/>
              <w:right w:w="115" w:type="dxa"/>
            </w:tcMar>
            <w:vAlign w:val="bottom"/>
            <w:hideMark/>
          </w:tcPr>
          <w:p w14:paraId="2680ED03" w14:textId="77777777" w:rsidR="00CF0BC6" w:rsidRPr="00C36617" w:rsidRDefault="00CF0BC6" w:rsidP="00093648">
            <w:pPr>
              <w:rPr>
                <w:rFonts w:eastAsia="Times New Roman" w:cs="Times New Roman"/>
                <w:sz w:val="20"/>
                <w:szCs w:val="20"/>
              </w:rPr>
            </w:pPr>
            <w:r w:rsidRPr="00C36617">
              <w:rPr>
                <w:rFonts w:eastAsia="Times New Roman" w:cs="Times New Roman"/>
                <w:color w:val="000000"/>
                <w:sz w:val="20"/>
                <w:szCs w:val="20"/>
              </w:rPr>
              <w:t>Percent of Cloud</w:t>
            </w:r>
          </w:p>
        </w:tc>
      </w:tr>
      <w:tr w:rsidR="00CF0BC6" w:rsidRPr="00C36617" w14:paraId="4695904D" w14:textId="77777777" w:rsidTr="00093648">
        <w:trPr>
          <w:trHeight w:val="290"/>
        </w:trPr>
        <w:tc>
          <w:tcPr>
            <w:tcW w:w="0" w:type="auto"/>
            <w:tcBorders>
              <w:top w:val="single" w:sz="4" w:space="0" w:color="000000"/>
            </w:tcBorders>
            <w:tcMar>
              <w:top w:w="0" w:type="dxa"/>
              <w:left w:w="115" w:type="dxa"/>
              <w:bottom w:w="0" w:type="dxa"/>
              <w:right w:w="115" w:type="dxa"/>
            </w:tcMar>
            <w:vAlign w:val="bottom"/>
            <w:hideMark/>
          </w:tcPr>
          <w:p w14:paraId="23134912" w14:textId="77777777" w:rsidR="00CF0BC6" w:rsidRPr="00C36617" w:rsidRDefault="00CF0BC6" w:rsidP="00093648">
            <w:pPr>
              <w:rPr>
                <w:rFonts w:eastAsia="Times New Roman" w:cs="Times New Roman"/>
                <w:sz w:val="20"/>
                <w:szCs w:val="20"/>
              </w:rPr>
            </w:pPr>
            <w:r w:rsidRPr="00C36617">
              <w:rPr>
                <w:rFonts w:eastAsia="Times New Roman" w:cs="Times New Roman"/>
                <w:color w:val="000000"/>
                <w:sz w:val="20"/>
                <w:szCs w:val="20"/>
              </w:rPr>
              <w:t>Rain</w:t>
            </w:r>
          </w:p>
        </w:tc>
        <w:tc>
          <w:tcPr>
            <w:tcW w:w="0" w:type="auto"/>
            <w:tcBorders>
              <w:top w:val="single" w:sz="4" w:space="0" w:color="000000"/>
            </w:tcBorders>
            <w:tcMar>
              <w:top w:w="0" w:type="dxa"/>
              <w:left w:w="115" w:type="dxa"/>
              <w:bottom w:w="0" w:type="dxa"/>
              <w:right w:w="115" w:type="dxa"/>
            </w:tcMar>
            <w:vAlign w:val="bottom"/>
            <w:hideMark/>
          </w:tcPr>
          <w:p w14:paraId="35E6F25C" w14:textId="77777777" w:rsidR="00CF0BC6" w:rsidRPr="00C36617" w:rsidRDefault="00CF0BC6" w:rsidP="00093648">
            <w:pPr>
              <w:rPr>
                <w:rFonts w:eastAsia="Times New Roman" w:cs="Times New Roman"/>
                <w:sz w:val="20"/>
                <w:szCs w:val="20"/>
              </w:rPr>
            </w:pPr>
            <w:r w:rsidRPr="00C36617">
              <w:rPr>
                <w:rFonts w:eastAsia="Times New Roman" w:cs="Times New Roman"/>
                <w:color w:val="000000"/>
                <w:sz w:val="20"/>
                <w:szCs w:val="20"/>
              </w:rPr>
              <w:t>&gt;=0.05</w:t>
            </w:r>
          </w:p>
        </w:tc>
        <w:tc>
          <w:tcPr>
            <w:tcW w:w="0" w:type="auto"/>
            <w:vMerge w:val="restart"/>
            <w:tcBorders>
              <w:top w:val="single" w:sz="4" w:space="0" w:color="000000"/>
              <w:bottom w:val="single" w:sz="4" w:space="0" w:color="000000"/>
            </w:tcBorders>
            <w:tcMar>
              <w:top w:w="0" w:type="dxa"/>
              <w:left w:w="115" w:type="dxa"/>
              <w:bottom w:w="0" w:type="dxa"/>
              <w:right w:w="115" w:type="dxa"/>
            </w:tcMar>
            <w:vAlign w:val="center"/>
            <w:hideMark/>
          </w:tcPr>
          <w:p w14:paraId="77EC7D73" w14:textId="77777777" w:rsidR="00CF0BC6" w:rsidRPr="00C36617" w:rsidRDefault="00CF0BC6" w:rsidP="00093648">
            <w:pPr>
              <w:rPr>
                <w:rFonts w:eastAsia="Times New Roman" w:cs="Times New Roman"/>
                <w:sz w:val="20"/>
                <w:szCs w:val="20"/>
              </w:rPr>
            </w:pPr>
            <w:r w:rsidRPr="00C36617">
              <w:rPr>
                <w:rFonts w:eastAsia="Times New Roman" w:cs="Times New Roman"/>
                <w:color w:val="000000"/>
                <w:sz w:val="20"/>
                <w:szCs w:val="20"/>
              </w:rPr>
              <w:t>NA</w:t>
            </w:r>
          </w:p>
        </w:tc>
      </w:tr>
      <w:tr w:rsidR="00CF0BC6" w:rsidRPr="00C36617" w14:paraId="78AADAB7" w14:textId="77777777" w:rsidTr="00093648">
        <w:trPr>
          <w:trHeight w:val="290"/>
        </w:trPr>
        <w:tc>
          <w:tcPr>
            <w:tcW w:w="0" w:type="auto"/>
            <w:tcBorders>
              <w:bottom w:val="single" w:sz="4" w:space="0" w:color="000000"/>
            </w:tcBorders>
            <w:tcMar>
              <w:top w:w="0" w:type="dxa"/>
              <w:left w:w="115" w:type="dxa"/>
              <w:bottom w:w="0" w:type="dxa"/>
              <w:right w:w="115" w:type="dxa"/>
            </w:tcMar>
            <w:vAlign w:val="bottom"/>
            <w:hideMark/>
          </w:tcPr>
          <w:p w14:paraId="72CDA69F" w14:textId="77777777" w:rsidR="00CF0BC6" w:rsidRPr="00C36617" w:rsidRDefault="00CF0BC6" w:rsidP="00093648">
            <w:pPr>
              <w:rPr>
                <w:rFonts w:eastAsia="Times New Roman" w:cs="Times New Roman"/>
                <w:sz w:val="20"/>
                <w:szCs w:val="20"/>
              </w:rPr>
            </w:pPr>
            <w:r w:rsidRPr="00C36617">
              <w:rPr>
                <w:rFonts w:eastAsia="Times New Roman" w:cs="Times New Roman"/>
                <w:color w:val="000000"/>
                <w:sz w:val="20"/>
                <w:szCs w:val="20"/>
              </w:rPr>
              <w:t>Drizzle</w:t>
            </w:r>
          </w:p>
        </w:tc>
        <w:tc>
          <w:tcPr>
            <w:tcW w:w="0" w:type="auto"/>
            <w:tcBorders>
              <w:bottom w:val="single" w:sz="4" w:space="0" w:color="000000"/>
            </w:tcBorders>
            <w:tcMar>
              <w:top w:w="0" w:type="dxa"/>
              <w:left w:w="115" w:type="dxa"/>
              <w:bottom w:w="0" w:type="dxa"/>
              <w:right w:w="115" w:type="dxa"/>
            </w:tcMar>
            <w:vAlign w:val="bottom"/>
            <w:hideMark/>
          </w:tcPr>
          <w:p w14:paraId="567E1AFF" w14:textId="77777777" w:rsidR="00CF0BC6" w:rsidRPr="00C36617" w:rsidRDefault="00CF0BC6" w:rsidP="00093648">
            <w:pPr>
              <w:rPr>
                <w:rFonts w:eastAsia="Times New Roman" w:cs="Times New Roman"/>
                <w:sz w:val="20"/>
                <w:szCs w:val="20"/>
              </w:rPr>
            </w:pPr>
            <w:r w:rsidRPr="00C36617">
              <w:rPr>
                <w:rFonts w:eastAsia="Times New Roman" w:cs="Times New Roman"/>
                <w:color w:val="000000"/>
                <w:sz w:val="20"/>
                <w:szCs w:val="20"/>
              </w:rPr>
              <w:t>&gt;=0.01 &amp; &lt;0.05</w:t>
            </w:r>
          </w:p>
        </w:tc>
        <w:tc>
          <w:tcPr>
            <w:tcW w:w="0" w:type="auto"/>
            <w:vMerge/>
            <w:tcBorders>
              <w:top w:val="single" w:sz="4" w:space="0" w:color="000000"/>
              <w:bottom w:val="single" w:sz="4" w:space="0" w:color="000000"/>
            </w:tcBorders>
            <w:vAlign w:val="center"/>
            <w:hideMark/>
          </w:tcPr>
          <w:p w14:paraId="3EDE7E94" w14:textId="77777777" w:rsidR="00CF0BC6" w:rsidRPr="00C36617" w:rsidRDefault="00CF0BC6" w:rsidP="00093648">
            <w:pPr>
              <w:rPr>
                <w:rFonts w:eastAsia="Times New Roman" w:cs="Times New Roman"/>
                <w:sz w:val="20"/>
                <w:szCs w:val="20"/>
              </w:rPr>
            </w:pPr>
          </w:p>
        </w:tc>
      </w:tr>
      <w:tr w:rsidR="00CF0BC6" w:rsidRPr="00C36617" w14:paraId="5B992AB4" w14:textId="77777777" w:rsidTr="00093648">
        <w:trPr>
          <w:trHeight w:val="290"/>
        </w:trPr>
        <w:tc>
          <w:tcPr>
            <w:tcW w:w="0" w:type="auto"/>
            <w:tcBorders>
              <w:top w:val="single" w:sz="4" w:space="0" w:color="000000"/>
            </w:tcBorders>
            <w:tcMar>
              <w:top w:w="0" w:type="dxa"/>
              <w:left w:w="115" w:type="dxa"/>
              <w:bottom w:w="0" w:type="dxa"/>
              <w:right w:w="115" w:type="dxa"/>
            </w:tcMar>
            <w:vAlign w:val="bottom"/>
            <w:hideMark/>
          </w:tcPr>
          <w:p w14:paraId="4D958E59" w14:textId="77777777" w:rsidR="00CF0BC6" w:rsidRPr="00C36617" w:rsidRDefault="00CF0BC6" w:rsidP="00093648">
            <w:pPr>
              <w:rPr>
                <w:rFonts w:eastAsia="Times New Roman" w:cs="Times New Roman"/>
                <w:sz w:val="20"/>
                <w:szCs w:val="20"/>
              </w:rPr>
            </w:pPr>
            <w:r w:rsidRPr="00C36617">
              <w:rPr>
                <w:rFonts w:eastAsia="Times New Roman" w:cs="Times New Roman"/>
                <w:color w:val="000000"/>
                <w:sz w:val="20"/>
                <w:szCs w:val="20"/>
              </w:rPr>
              <w:t>Clear</w:t>
            </w:r>
          </w:p>
        </w:tc>
        <w:tc>
          <w:tcPr>
            <w:tcW w:w="0" w:type="auto"/>
            <w:vMerge w:val="restart"/>
            <w:tcBorders>
              <w:top w:val="single" w:sz="4" w:space="0" w:color="000000"/>
              <w:bottom w:val="single" w:sz="4" w:space="0" w:color="000000"/>
            </w:tcBorders>
            <w:tcMar>
              <w:top w:w="0" w:type="dxa"/>
              <w:left w:w="115" w:type="dxa"/>
              <w:bottom w:w="0" w:type="dxa"/>
              <w:right w:w="115" w:type="dxa"/>
            </w:tcMar>
            <w:vAlign w:val="center"/>
            <w:hideMark/>
          </w:tcPr>
          <w:p w14:paraId="7D82CD83" w14:textId="77777777" w:rsidR="00CF0BC6" w:rsidRPr="00C36617" w:rsidRDefault="00CF0BC6" w:rsidP="00093648">
            <w:pPr>
              <w:rPr>
                <w:rFonts w:eastAsia="Times New Roman" w:cs="Times New Roman"/>
                <w:sz w:val="20"/>
                <w:szCs w:val="20"/>
              </w:rPr>
            </w:pPr>
            <w:r w:rsidRPr="00C36617">
              <w:rPr>
                <w:rFonts w:eastAsia="Times New Roman" w:cs="Times New Roman"/>
                <w:color w:val="000000"/>
                <w:sz w:val="20"/>
                <w:szCs w:val="20"/>
              </w:rPr>
              <w:t>&lt;0.01</w:t>
            </w:r>
          </w:p>
        </w:tc>
        <w:tc>
          <w:tcPr>
            <w:tcW w:w="0" w:type="auto"/>
            <w:tcBorders>
              <w:top w:val="single" w:sz="4" w:space="0" w:color="000000"/>
            </w:tcBorders>
            <w:tcMar>
              <w:top w:w="0" w:type="dxa"/>
              <w:left w:w="115" w:type="dxa"/>
              <w:bottom w:w="0" w:type="dxa"/>
              <w:right w:w="115" w:type="dxa"/>
            </w:tcMar>
            <w:vAlign w:val="bottom"/>
            <w:hideMark/>
          </w:tcPr>
          <w:p w14:paraId="1E130AFC" w14:textId="77777777" w:rsidR="00CF0BC6" w:rsidRPr="00C36617" w:rsidRDefault="00CF0BC6" w:rsidP="00093648">
            <w:pPr>
              <w:rPr>
                <w:rFonts w:eastAsia="Times New Roman" w:cs="Times New Roman"/>
                <w:sz w:val="20"/>
                <w:szCs w:val="20"/>
              </w:rPr>
            </w:pPr>
            <w:r w:rsidRPr="00C36617">
              <w:rPr>
                <w:rFonts w:eastAsia="Times New Roman" w:cs="Times New Roman"/>
                <w:color w:val="000000"/>
                <w:sz w:val="20"/>
                <w:szCs w:val="20"/>
              </w:rPr>
              <w:t>&gt;=91</w:t>
            </w:r>
          </w:p>
        </w:tc>
      </w:tr>
      <w:tr w:rsidR="00CF0BC6" w:rsidRPr="00C36617" w14:paraId="5169B1AE" w14:textId="77777777" w:rsidTr="00093648">
        <w:trPr>
          <w:trHeight w:val="290"/>
        </w:trPr>
        <w:tc>
          <w:tcPr>
            <w:tcW w:w="0" w:type="auto"/>
            <w:tcMar>
              <w:top w:w="0" w:type="dxa"/>
              <w:left w:w="115" w:type="dxa"/>
              <w:bottom w:w="0" w:type="dxa"/>
              <w:right w:w="115" w:type="dxa"/>
            </w:tcMar>
            <w:vAlign w:val="bottom"/>
            <w:hideMark/>
          </w:tcPr>
          <w:p w14:paraId="1E082E55" w14:textId="77777777" w:rsidR="00CF0BC6" w:rsidRPr="00C36617" w:rsidRDefault="00CF0BC6" w:rsidP="00093648">
            <w:pPr>
              <w:rPr>
                <w:rFonts w:eastAsia="Times New Roman" w:cs="Times New Roman"/>
                <w:sz w:val="20"/>
                <w:szCs w:val="20"/>
              </w:rPr>
            </w:pPr>
            <w:r w:rsidRPr="00C36617">
              <w:rPr>
                <w:rFonts w:eastAsia="Times New Roman" w:cs="Times New Roman"/>
                <w:color w:val="000000"/>
                <w:sz w:val="20"/>
                <w:szCs w:val="20"/>
              </w:rPr>
              <w:t>Scattered Clouds</w:t>
            </w:r>
          </w:p>
        </w:tc>
        <w:tc>
          <w:tcPr>
            <w:tcW w:w="0" w:type="auto"/>
            <w:vMerge/>
            <w:tcBorders>
              <w:top w:val="single" w:sz="4" w:space="0" w:color="000000"/>
              <w:bottom w:val="single" w:sz="4" w:space="0" w:color="000000"/>
            </w:tcBorders>
            <w:vAlign w:val="center"/>
            <w:hideMark/>
          </w:tcPr>
          <w:p w14:paraId="3AE63EC8" w14:textId="77777777" w:rsidR="00CF0BC6" w:rsidRPr="00C36617" w:rsidRDefault="00CF0BC6" w:rsidP="00093648">
            <w:pPr>
              <w:rPr>
                <w:rFonts w:eastAsia="Times New Roman" w:cs="Times New Roman"/>
                <w:sz w:val="20"/>
                <w:szCs w:val="20"/>
              </w:rPr>
            </w:pPr>
          </w:p>
        </w:tc>
        <w:tc>
          <w:tcPr>
            <w:tcW w:w="0" w:type="auto"/>
            <w:tcMar>
              <w:top w:w="0" w:type="dxa"/>
              <w:left w:w="115" w:type="dxa"/>
              <w:bottom w:w="0" w:type="dxa"/>
              <w:right w:w="115" w:type="dxa"/>
            </w:tcMar>
            <w:vAlign w:val="bottom"/>
            <w:hideMark/>
          </w:tcPr>
          <w:p w14:paraId="2E035892" w14:textId="77777777" w:rsidR="00CF0BC6" w:rsidRPr="00C36617" w:rsidRDefault="00CF0BC6" w:rsidP="00093648">
            <w:pPr>
              <w:rPr>
                <w:rFonts w:eastAsia="Times New Roman" w:cs="Times New Roman"/>
                <w:sz w:val="20"/>
                <w:szCs w:val="20"/>
              </w:rPr>
            </w:pPr>
            <w:r w:rsidRPr="00C36617">
              <w:rPr>
                <w:rFonts w:eastAsia="Times New Roman" w:cs="Times New Roman"/>
                <w:color w:val="000000"/>
                <w:sz w:val="20"/>
                <w:szCs w:val="20"/>
              </w:rPr>
              <w:t>&gt;=73 &amp; &lt;91</w:t>
            </w:r>
          </w:p>
        </w:tc>
      </w:tr>
      <w:tr w:rsidR="00CF0BC6" w:rsidRPr="00C36617" w14:paraId="192A697D" w14:textId="77777777" w:rsidTr="00093648">
        <w:trPr>
          <w:trHeight w:val="290"/>
        </w:trPr>
        <w:tc>
          <w:tcPr>
            <w:tcW w:w="0" w:type="auto"/>
            <w:tcMar>
              <w:top w:w="0" w:type="dxa"/>
              <w:left w:w="115" w:type="dxa"/>
              <w:bottom w:w="0" w:type="dxa"/>
              <w:right w:w="115" w:type="dxa"/>
            </w:tcMar>
            <w:vAlign w:val="bottom"/>
            <w:hideMark/>
          </w:tcPr>
          <w:p w14:paraId="5ED2357A" w14:textId="77777777" w:rsidR="00CF0BC6" w:rsidRPr="00C36617" w:rsidRDefault="00CF0BC6" w:rsidP="00093648">
            <w:pPr>
              <w:rPr>
                <w:rFonts w:eastAsia="Times New Roman" w:cs="Times New Roman"/>
                <w:sz w:val="20"/>
                <w:szCs w:val="20"/>
              </w:rPr>
            </w:pPr>
            <w:r w:rsidRPr="00C36617">
              <w:rPr>
                <w:rFonts w:eastAsia="Times New Roman" w:cs="Times New Roman"/>
                <w:color w:val="000000"/>
                <w:sz w:val="20"/>
                <w:szCs w:val="20"/>
              </w:rPr>
              <w:t>Broken Clouds</w:t>
            </w:r>
          </w:p>
        </w:tc>
        <w:tc>
          <w:tcPr>
            <w:tcW w:w="0" w:type="auto"/>
            <w:vMerge/>
            <w:tcBorders>
              <w:top w:val="single" w:sz="4" w:space="0" w:color="000000"/>
              <w:bottom w:val="single" w:sz="4" w:space="0" w:color="000000"/>
            </w:tcBorders>
            <w:vAlign w:val="center"/>
            <w:hideMark/>
          </w:tcPr>
          <w:p w14:paraId="415A7E49" w14:textId="77777777" w:rsidR="00CF0BC6" w:rsidRPr="00C36617" w:rsidRDefault="00CF0BC6" w:rsidP="00093648">
            <w:pPr>
              <w:rPr>
                <w:rFonts w:eastAsia="Times New Roman" w:cs="Times New Roman"/>
                <w:sz w:val="20"/>
                <w:szCs w:val="20"/>
              </w:rPr>
            </w:pPr>
          </w:p>
        </w:tc>
        <w:tc>
          <w:tcPr>
            <w:tcW w:w="0" w:type="auto"/>
            <w:tcMar>
              <w:top w:w="0" w:type="dxa"/>
              <w:left w:w="115" w:type="dxa"/>
              <w:bottom w:w="0" w:type="dxa"/>
              <w:right w:w="115" w:type="dxa"/>
            </w:tcMar>
            <w:vAlign w:val="bottom"/>
            <w:hideMark/>
          </w:tcPr>
          <w:p w14:paraId="47AB7EC0" w14:textId="77777777" w:rsidR="00CF0BC6" w:rsidRPr="00C36617" w:rsidRDefault="00CF0BC6" w:rsidP="00093648">
            <w:pPr>
              <w:rPr>
                <w:rFonts w:eastAsia="Times New Roman" w:cs="Times New Roman"/>
                <w:sz w:val="20"/>
                <w:szCs w:val="20"/>
              </w:rPr>
            </w:pPr>
            <w:r w:rsidRPr="00C36617">
              <w:rPr>
                <w:rFonts w:eastAsia="Times New Roman" w:cs="Times New Roman"/>
                <w:color w:val="000000"/>
                <w:sz w:val="20"/>
                <w:szCs w:val="20"/>
              </w:rPr>
              <w:t>&gt;=50 &amp; &lt;73</w:t>
            </w:r>
          </w:p>
        </w:tc>
      </w:tr>
      <w:tr w:rsidR="00CF0BC6" w:rsidRPr="00C36617" w14:paraId="39DCBF2A" w14:textId="77777777" w:rsidTr="00093648">
        <w:trPr>
          <w:trHeight w:val="290"/>
        </w:trPr>
        <w:tc>
          <w:tcPr>
            <w:tcW w:w="0" w:type="auto"/>
            <w:tcBorders>
              <w:bottom w:val="single" w:sz="4" w:space="0" w:color="000000"/>
            </w:tcBorders>
            <w:tcMar>
              <w:top w:w="0" w:type="dxa"/>
              <w:left w:w="115" w:type="dxa"/>
              <w:bottom w:w="0" w:type="dxa"/>
              <w:right w:w="115" w:type="dxa"/>
            </w:tcMar>
            <w:vAlign w:val="bottom"/>
            <w:hideMark/>
          </w:tcPr>
          <w:p w14:paraId="0B1D9CCE" w14:textId="77777777" w:rsidR="00CF0BC6" w:rsidRPr="00C36617" w:rsidRDefault="00CF0BC6" w:rsidP="00093648">
            <w:pPr>
              <w:rPr>
                <w:rFonts w:eastAsia="Times New Roman" w:cs="Times New Roman"/>
                <w:sz w:val="20"/>
                <w:szCs w:val="20"/>
              </w:rPr>
            </w:pPr>
            <w:r w:rsidRPr="00C36617">
              <w:rPr>
                <w:rFonts w:eastAsia="Times New Roman" w:cs="Times New Roman"/>
                <w:color w:val="000000"/>
                <w:sz w:val="20"/>
                <w:szCs w:val="20"/>
              </w:rPr>
              <w:t>Overcast</w:t>
            </w:r>
          </w:p>
        </w:tc>
        <w:tc>
          <w:tcPr>
            <w:tcW w:w="0" w:type="auto"/>
            <w:vMerge/>
            <w:tcBorders>
              <w:top w:val="single" w:sz="4" w:space="0" w:color="000000"/>
              <w:bottom w:val="single" w:sz="4" w:space="0" w:color="000000"/>
            </w:tcBorders>
            <w:vAlign w:val="center"/>
            <w:hideMark/>
          </w:tcPr>
          <w:p w14:paraId="0A154DC0" w14:textId="77777777" w:rsidR="00CF0BC6" w:rsidRPr="00C36617" w:rsidRDefault="00CF0BC6" w:rsidP="00093648">
            <w:pPr>
              <w:rPr>
                <w:rFonts w:eastAsia="Times New Roman" w:cs="Times New Roman"/>
                <w:sz w:val="20"/>
                <w:szCs w:val="20"/>
              </w:rPr>
            </w:pPr>
          </w:p>
        </w:tc>
        <w:tc>
          <w:tcPr>
            <w:tcW w:w="0" w:type="auto"/>
            <w:tcBorders>
              <w:bottom w:val="single" w:sz="4" w:space="0" w:color="000000"/>
            </w:tcBorders>
            <w:tcMar>
              <w:top w:w="0" w:type="dxa"/>
              <w:left w:w="115" w:type="dxa"/>
              <w:bottom w:w="0" w:type="dxa"/>
              <w:right w:w="115" w:type="dxa"/>
            </w:tcMar>
            <w:vAlign w:val="bottom"/>
            <w:hideMark/>
          </w:tcPr>
          <w:p w14:paraId="6E547A17" w14:textId="77777777" w:rsidR="00CF0BC6" w:rsidRPr="00C36617" w:rsidRDefault="00CF0BC6" w:rsidP="00093648">
            <w:pPr>
              <w:rPr>
                <w:rFonts w:eastAsia="Times New Roman" w:cs="Times New Roman"/>
                <w:sz w:val="20"/>
                <w:szCs w:val="20"/>
              </w:rPr>
            </w:pPr>
            <w:r w:rsidRPr="00C36617">
              <w:rPr>
                <w:rFonts w:eastAsia="Times New Roman" w:cs="Times New Roman"/>
                <w:color w:val="000000"/>
                <w:sz w:val="20"/>
                <w:szCs w:val="20"/>
              </w:rPr>
              <w:t>&lt;50</w:t>
            </w:r>
          </w:p>
        </w:tc>
      </w:tr>
    </w:tbl>
    <w:p w14:paraId="2EE8A1C0" w14:textId="77777777" w:rsidR="007E58FE" w:rsidRPr="00C36617" w:rsidRDefault="007E58FE">
      <w:pPr>
        <w:rPr>
          <w:rFonts w:cs="Times New Roman"/>
        </w:rPr>
      </w:pPr>
    </w:p>
    <w:p w14:paraId="1F8151FE" w14:textId="77777777" w:rsidR="00CF0BC6" w:rsidRPr="00C36617" w:rsidRDefault="00CF0BC6">
      <w:pPr>
        <w:rPr>
          <w:rFonts w:cs="Times New Roman"/>
        </w:rPr>
      </w:pPr>
    </w:p>
    <w:p w14:paraId="2EDB6E22" w14:textId="77777777" w:rsidR="00CF0BC6" w:rsidRPr="00C36617" w:rsidRDefault="00CF0BC6">
      <w:pPr>
        <w:rPr>
          <w:rFonts w:cs="Times New Roman"/>
        </w:rPr>
      </w:pPr>
      <w:bookmarkStart w:id="0" w:name="_GoBack"/>
      <w:bookmarkEnd w:id="0"/>
    </w:p>
    <w:p w14:paraId="115832A8" w14:textId="331CD130" w:rsidR="00921DB0" w:rsidRPr="00C36617" w:rsidRDefault="00921DB0">
      <w:pPr>
        <w:rPr>
          <w:rFonts w:cs="Times New Roman"/>
        </w:rPr>
      </w:pPr>
      <w:r w:rsidRPr="00C36617">
        <w:rPr>
          <w:rFonts w:cs="Times New Roman"/>
        </w:rPr>
        <w:t>WORKS CITED</w:t>
      </w:r>
    </w:p>
    <w:p w14:paraId="7391F92C" w14:textId="77777777" w:rsidR="00CF0BC6" w:rsidRPr="00C36617" w:rsidRDefault="00CF0BC6">
      <w:pPr>
        <w:rPr>
          <w:rFonts w:cs="Times New Roman"/>
        </w:rPr>
      </w:pPr>
    </w:p>
    <w:p w14:paraId="4BBD5217" w14:textId="54E9A7F1" w:rsidR="00CF0BC6" w:rsidRPr="00C36617" w:rsidRDefault="00921DB0" w:rsidP="00CF0BC6">
      <w:pPr>
        <w:rPr>
          <w:rFonts w:eastAsia="Times New Roman" w:cs="Times New Roman"/>
        </w:rPr>
      </w:pPr>
      <w:r w:rsidRPr="00C36617">
        <w:rPr>
          <w:rFonts w:eastAsia="Times New Roman" w:cs="Times New Roman"/>
          <w:color w:val="222222"/>
          <w:shd w:val="clear" w:color="auto" w:fill="FFFFFF"/>
        </w:rPr>
        <w:t xml:space="preserve">Sun, Y., S. Solomon, A. Dai, </w:t>
      </w:r>
      <w:r w:rsidR="00CF0BC6" w:rsidRPr="00C36617">
        <w:rPr>
          <w:rFonts w:eastAsia="Times New Roman" w:cs="Times New Roman"/>
          <w:color w:val="222222"/>
          <w:shd w:val="clear" w:color="auto" w:fill="FFFFFF"/>
        </w:rPr>
        <w:t>and</w:t>
      </w:r>
      <w:r w:rsidRPr="00C36617">
        <w:rPr>
          <w:rFonts w:eastAsia="Times New Roman" w:cs="Times New Roman"/>
          <w:color w:val="222222"/>
          <w:shd w:val="clear" w:color="auto" w:fill="FFFFFF"/>
        </w:rPr>
        <w:t xml:space="preserve"> R.W. Portmann. 2006. How often does </w:t>
      </w:r>
      <w:proofErr w:type="gramStart"/>
      <w:r w:rsidRPr="00C36617">
        <w:rPr>
          <w:rFonts w:eastAsia="Times New Roman" w:cs="Times New Roman"/>
          <w:color w:val="222222"/>
          <w:shd w:val="clear" w:color="auto" w:fill="FFFFFF"/>
        </w:rPr>
        <w:t>it</w:t>
      </w:r>
      <w:proofErr w:type="gramEnd"/>
      <w:r w:rsidRPr="00C36617">
        <w:rPr>
          <w:rFonts w:eastAsia="Times New Roman" w:cs="Times New Roman"/>
          <w:color w:val="222222"/>
          <w:shd w:val="clear" w:color="auto" w:fill="FFFFFF"/>
        </w:rPr>
        <w:t xml:space="preserve"> rain? </w:t>
      </w:r>
      <w:r w:rsidRPr="00C36617">
        <w:rPr>
          <w:rFonts w:eastAsia="Times New Roman" w:cs="Times New Roman"/>
          <w:i/>
          <w:iCs/>
          <w:color w:val="222222"/>
          <w:shd w:val="clear" w:color="auto" w:fill="FFFFFF"/>
        </w:rPr>
        <w:t xml:space="preserve">Journal of </w:t>
      </w:r>
      <w:r w:rsidR="00CF0BC6" w:rsidRPr="00C36617">
        <w:rPr>
          <w:rFonts w:eastAsia="Times New Roman" w:cs="Times New Roman"/>
          <w:i/>
          <w:iCs/>
          <w:color w:val="222222"/>
          <w:shd w:val="clear" w:color="auto" w:fill="FFFFFF"/>
        </w:rPr>
        <w:t>C</w:t>
      </w:r>
      <w:r w:rsidRPr="00C36617">
        <w:rPr>
          <w:rFonts w:eastAsia="Times New Roman" w:cs="Times New Roman"/>
          <w:i/>
          <w:iCs/>
          <w:color w:val="222222"/>
          <w:shd w:val="clear" w:color="auto" w:fill="FFFFFF"/>
        </w:rPr>
        <w:t>limate</w:t>
      </w:r>
      <w:r w:rsidRPr="00C36617">
        <w:rPr>
          <w:rFonts w:eastAsia="Times New Roman" w:cs="Times New Roman"/>
          <w:color w:val="222222"/>
          <w:shd w:val="clear" w:color="auto" w:fill="FFFFFF"/>
        </w:rPr>
        <w:t xml:space="preserve"> </w:t>
      </w:r>
      <w:r w:rsidRPr="00C36617">
        <w:rPr>
          <w:rFonts w:eastAsia="Times New Roman" w:cs="Times New Roman"/>
          <w:iCs/>
          <w:color w:val="222222"/>
          <w:shd w:val="clear" w:color="auto" w:fill="FFFFFF"/>
        </w:rPr>
        <w:t>19</w:t>
      </w:r>
      <w:r w:rsidRPr="00C36617">
        <w:rPr>
          <w:rFonts w:eastAsia="Times New Roman" w:cs="Times New Roman"/>
          <w:color w:val="222222"/>
          <w:shd w:val="clear" w:color="auto" w:fill="FFFFFF"/>
        </w:rPr>
        <w:t>(6)</w:t>
      </w:r>
      <w:r w:rsidR="00CF0BC6" w:rsidRPr="00C36617">
        <w:rPr>
          <w:rFonts w:eastAsia="Times New Roman" w:cs="Times New Roman"/>
          <w:color w:val="222222"/>
          <w:shd w:val="clear" w:color="auto" w:fill="FFFFFF"/>
        </w:rPr>
        <w:t xml:space="preserve">: </w:t>
      </w:r>
      <w:r w:rsidRPr="00C36617">
        <w:rPr>
          <w:rFonts w:eastAsia="Times New Roman" w:cs="Times New Roman"/>
          <w:color w:val="222222"/>
          <w:shd w:val="clear" w:color="auto" w:fill="FFFFFF"/>
        </w:rPr>
        <w:t>916</w:t>
      </w:r>
      <w:r w:rsidRPr="00C36617">
        <w:rPr>
          <w:rFonts w:cs="Times New Roman"/>
          <w:noProof/>
        </w:rPr>
        <w:t>–</w:t>
      </w:r>
      <w:r w:rsidRPr="00C36617">
        <w:rPr>
          <w:rFonts w:eastAsia="Times New Roman" w:cs="Times New Roman"/>
          <w:color w:val="222222"/>
          <w:shd w:val="clear" w:color="auto" w:fill="FFFFFF"/>
        </w:rPr>
        <w:t>934.</w:t>
      </w:r>
      <w:r w:rsidR="00CF0BC6" w:rsidRPr="00C36617">
        <w:t xml:space="preserve"> </w:t>
      </w:r>
      <w:r w:rsidR="00CF0BC6" w:rsidRPr="00C36617">
        <w:rPr>
          <w:rFonts w:eastAsia="Times New Roman" w:cs="Times New Roman"/>
          <w:color w:val="000000" w:themeColor="text1"/>
        </w:rPr>
        <w:t>doi.org/10.1175/JCLI3672.1.</w:t>
      </w:r>
    </w:p>
    <w:p w14:paraId="228975DA" w14:textId="3EB755D9" w:rsidR="00921DB0" w:rsidRPr="00CF0BC6" w:rsidRDefault="00921DB0" w:rsidP="00921DB0">
      <w:pPr>
        <w:rPr>
          <w:rFonts w:ascii="Times New Roman" w:eastAsia="Times New Roman" w:hAnsi="Times New Roman" w:cs="Times New Roman"/>
        </w:rPr>
      </w:pPr>
    </w:p>
    <w:p w14:paraId="744FF2E6" w14:textId="52E2EF08" w:rsidR="00921DB0" w:rsidRPr="00CF0BC6" w:rsidRDefault="00921DB0">
      <w:pPr>
        <w:rPr>
          <w:rFonts w:ascii="Times New Roman" w:hAnsi="Times New Roman" w:cs="Times New Roman"/>
        </w:rPr>
      </w:pPr>
    </w:p>
    <w:p w14:paraId="66F8DB06" w14:textId="73F75C34" w:rsidR="00430F14" w:rsidRPr="00CF0BC6" w:rsidRDefault="00430F14">
      <w:pPr>
        <w:rPr>
          <w:rFonts w:ascii="Times New Roman" w:hAnsi="Times New Roman" w:cs="Times New Roman"/>
        </w:rPr>
      </w:pPr>
    </w:p>
    <w:p w14:paraId="73992DB9" w14:textId="77777777" w:rsidR="00430F14" w:rsidRPr="00CF0BC6" w:rsidRDefault="00430F14">
      <w:pPr>
        <w:rPr>
          <w:rFonts w:ascii="Times New Roman" w:hAnsi="Times New Roman" w:cs="Times New Roman"/>
        </w:rPr>
      </w:pPr>
    </w:p>
    <w:sectPr w:rsidR="00430F14" w:rsidRPr="00CF0BC6" w:rsidSect="004744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6"/>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EBE"/>
    <w:rsid w:val="001442F8"/>
    <w:rsid w:val="0014463E"/>
    <w:rsid w:val="00430F14"/>
    <w:rsid w:val="0047442C"/>
    <w:rsid w:val="00543F6D"/>
    <w:rsid w:val="005B0559"/>
    <w:rsid w:val="007E58FE"/>
    <w:rsid w:val="00921DB0"/>
    <w:rsid w:val="009D005F"/>
    <w:rsid w:val="00B95811"/>
    <w:rsid w:val="00C36617"/>
    <w:rsid w:val="00CF0BC6"/>
    <w:rsid w:val="00D6422B"/>
    <w:rsid w:val="00EF0FB4"/>
    <w:rsid w:val="00F1737E"/>
    <w:rsid w:val="00FA6E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E0BC25B"/>
  <w14:defaultImageDpi w14:val="32767"/>
  <w15:chartTrackingRefBased/>
  <w15:docId w15:val="{1DC24667-2569-5645-8736-95CAE7D0B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A6EBE"/>
    <w:rPr>
      <w:rFonts w:ascii="Cambria" w:eastAsia="Cambria" w:hAnsi="Cambria" w:cs="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A6EBE"/>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FA6EBE"/>
    <w:rPr>
      <w:rFonts w:ascii="Times New Roman" w:eastAsia="Cambria" w:hAnsi="Times New Roman" w:cs="Cambria"/>
      <w:sz w:val="18"/>
      <w:szCs w:val="1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Cambria" w:eastAsia="Cambria" w:hAnsi="Cambria" w:cs="Cambria"/>
      <w:sz w:val="20"/>
      <w:szCs w:val="20"/>
    </w:rPr>
  </w:style>
  <w:style w:type="character" w:styleId="CommentReference">
    <w:name w:val="annotation reference"/>
    <w:basedOn w:val="DefaultParagraphFont"/>
    <w:uiPriority w:val="99"/>
    <w:semiHidden/>
    <w:unhideWhenUsed/>
    <w:rPr>
      <w:sz w:val="16"/>
      <w:szCs w:val="16"/>
    </w:rPr>
  </w:style>
  <w:style w:type="character" w:styleId="PlaceholderText">
    <w:name w:val="Placeholder Text"/>
    <w:basedOn w:val="DefaultParagraphFont"/>
    <w:uiPriority w:val="99"/>
    <w:semiHidden/>
    <w:rsid w:val="00D6422B"/>
    <w:rPr>
      <w:color w:val="808080"/>
    </w:rPr>
  </w:style>
  <w:style w:type="character" w:styleId="Hyperlink">
    <w:name w:val="Hyperlink"/>
    <w:basedOn w:val="DefaultParagraphFont"/>
    <w:uiPriority w:val="99"/>
    <w:semiHidden/>
    <w:unhideWhenUsed/>
    <w:rsid w:val="00CF0B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8802520">
      <w:bodyDiv w:val="1"/>
      <w:marLeft w:val="0"/>
      <w:marRight w:val="0"/>
      <w:marTop w:val="0"/>
      <w:marBottom w:val="0"/>
      <w:divBdr>
        <w:top w:val="none" w:sz="0" w:space="0" w:color="auto"/>
        <w:left w:val="none" w:sz="0" w:space="0" w:color="auto"/>
        <w:bottom w:val="none" w:sz="0" w:space="0" w:color="auto"/>
        <w:right w:val="none" w:sz="0" w:space="0" w:color="auto"/>
      </w:divBdr>
    </w:div>
    <w:div w:id="1197306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509</Words>
  <Characters>2904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Dye</dc:creator>
  <cp:keywords/>
  <dc:description/>
  <cp:lastModifiedBy>Alex Dye</cp:lastModifiedBy>
  <cp:revision>11</cp:revision>
  <dcterms:created xsi:type="dcterms:W3CDTF">2022-03-01T23:07:00Z</dcterms:created>
  <dcterms:modified xsi:type="dcterms:W3CDTF">2022-05-09T19:57:00Z</dcterms:modified>
</cp:coreProperties>
</file>