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B5ED85" w14:textId="32CBBB2F" w:rsidR="006842DE" w:rsidRPr="00AD3B8B" w:rsidRDefault="005C202D" w:rsidP="006628B6">
      <w:pPr>
        <w:rPr>
          <w:rFonts w:ascii="Times New Roman" w:eastAsia="Arial" w:hAnsi="Times New Roman" w:cs="Times New Roman"/>
          <w:b/>
          <w:bCs/>
          <w:color w:val="000000" w:themeColor="text1"/>
          <w:sz w:val="24"/>
          <w:szCs w:val="24"/>
        </w:rPr>
      </w:pPr>
      <w:bookmarkStart w:id="0" w:name="_GoBack"/>
      <w:bookmarkEnd w:id="0"/>
      <w:r w:rsidRPr="00AD3B8B">
        <w:rPr>
          <w:rFonts w:ascii="Times New Roman" w:eastAsia="Arial" w:hAnsi="Times New Roman" w:cs="Times New Roman"/>
          <w:b/>
          <w:bCs/>
          <w:color w:val="000000" w:themeColor="text1"/>
          <w:sz w:val="24"/>
          <w:szCs w:val="24"/>
        </w:rPr>
        <w:t>SUPPORTING INFORMATION</w:t>
      </w:r>
    </w:p>
    <w:p w14:paraId="44B9C55F" w14:textId="77777777" w:rsidR="006842DE" w:rsidRPr="00AD3B8B" w:rsidRDefault="006842DE" w:rsidP="006628B6">
      <w:pPr>
        <w:rPr>
          <w:rFonts w:ascii="Times New Roman" w:eastAsia="Arial" w:hAnsi="Times New Roman" w:cs="Times New Roman"/>
          <w:color w:val="000000" w:themeColor="text1"/>
          <w:sz w:val="24"/>
          <w:szCs w:val="24"/>
        </w:rPr>
      </w:pPr>
    </w:p>
    <w:p w14:paraId="28CB43F8" w14:textId="4FC4CAF0" w:rsidR="006628B6" w:rsidRPr="00AD3B8B" w:rsidRDefault="00CE175E" w:rsidP="007352B8">
      <w:pPr>
        <w:jc w:val="both"/>
        <w:rPr>
          <w:rFonts w:ascii="Times New Roman" w:eastAsia="Arial" w:hAnsi="Times New Roman" w:cs="Times New Roman"/>
          <w:b/>
          <w:color w:val="000000" w:themeColor="text1"/>
          <w:sz w:val="24"/>
          <w:szCs w:val="24"/>
        </w:rPr>
      </w:pPr>
      <w:r w:rsidRPr="00AD3B8B">
        <w:rPr>
          <w:rFonts w:ascii="Times New Roman" w:eastAsia="Arial" w:hAnsi="Times New Roman" w:cs="Times New Roman"/>
          <w:b/>
          <w:bCs/>
          <w:color w:val="000000" w:themeColor="text1"/>
          <w:sz w:val="24"/>
          <w:szCs w:val="24"/>
        </w:rPr>
        <w:t>Data S1.</w:t>
      </w:r>
      <w:r w:rsidRPr="00AD3B8B">
        <w:rPr>
          <w:rFonts w:ascii="Times New Roman" w:eastAsia="Arial" w:hAnsi="Times New Roman" w:cs="Times New Roman"/>
          <w:color w:val="000000" w:themeColor="text1"/>
          <w:sz w:val="24"/>
          <w:szCs w:val="24"/>
        </w:rPr>
        <w:t xml:space="preserve"> </w:t>
      </w:r>
      <w:r w:rsidR="006628B6" w:rsidRPr="00AD3B8B">
        <w:rPr>
          <w:rFonts w:ascii="Times New Roman" w:eastAsia="Arial" w:hAnsi="Times New Roman" w:cs="Times New Roman"/>
          <w:color w:val="000000" w:themeColor="text1"/>
          <w:sz w:val="24"/>
          <w:szCs w:val="24"/>
        </w:rPr>
        <w:t xml:space="preserve">Post-fire trait and </w:t>
      </w:r>
      <w:r w:rsidR="00F15388">
        <w:rPr>
          <w:rFonts w:ascii="Times New Roman" w:eastAsia="Arial" w:hAnsi="Times New Roman" w:cs="Times New Roman"/>
          <w:color w:val="000000" w:themeColor="text1"/>
          <w:sz w:val="24"/>
          <w:szCs w:val="24"/>
        </w:rPr>
        <w:t xml:space="preserve">recovery </w:t>
      </w:r>
      <w:r w:rsidR="006628B6" w:rsidRPr="00AD3B8B">
        <w:rPr>
          <w:rFonts w:ascii="Times New Roman" w:eastAsia="Arial" w:hAnsi="Times New Roman" w:cs="Times New Roman"/>
          <w:color w:val="000000" w:themeColor="text1"/>
          <w:sz w:val="24"/>
          <w:szCs w:val="24"/>
        </w:rPr>
        <w:t xml:space="preserve">strategy classifications </w:t>
      </w:r>
      <w:r w:rsidR="006628B6" w:rsidRPr="00AD3B8B">
        <w:rPr>
          <w:rFonts w:ascii="Times New Roman" w:eastAsia="Arial" w:hAnsi="Times New Roman" w:cs="Times New Roman"/>
          <w:i/>
          <w:iCs/>
          <w:color w:val="000000" w:themeColor="text1"/>
          <w:sz w:val="24"/>
          <w:szCs w:val="24"/>
        </w:rPr>
        <w:t>Nothofagus</w:t>
      </w:r>
      <w:r w:rsidR="006628B6" w:rsidRPr="00AD3B8B">
        <w:rPr>
          <w:rFonts w:ascii="Times New Roman" w:eastAsia="Arial" w:hAnsi="Times New Roman" w:cs="Times New Roman"/>
          <w:color w:val="000000" w:themeColor="text1"/>
          <w:sz w:val="24"/>
          <w:szCs w:val="24"/>
        </w:rPr>
        <w:t xml:space="preserve"> </w:t>
      </w:r>
      <w:r w:rsidR="00F15388">
        <w:rPr>
          <w:rFonts w:ascii="Times New Roman" w:eastAsia="Arial" w:hAnsi="Times New Roman" w:cs="Times New Roman"/>
          <w:color w:val="000000" w:themeColor="text1"/>
          <w:sz w:val="24"/>
          <w:szCs w:val="24"/>
        </w:rPr>
        <w:t>spp.</w:t>
      </w:r>
      <w:r w:rsidR="006628B6" w:rsidRPr="00AD3B8B">
        <w:rPr>
          <w:rFonts w:ascii="Times New Roman" w:eastAsia="Arial" w:hAnsi="Times New Roman" w:cs="Times New Roman"/>
          <w:color w:val="000000" w:themeColor="text1"/>
          <w:sz w:val="24"/>
          <w:szCs w:val="24"/>
        </w:rPr>
        <w:t xml:space="preserve"> and </w:t>
      </w:r>
      <w:r w:rsidR="006628B6" w:rsidRPr="00AD3B8B">
        <w:rPr>
          <w:rFonts w:ascii="Times New Roman" w:eastAsia="Arial" w:hAnsi="Times New Roman" w:cs="Times New Roman"/>
          <w:i/>
          <w:iCs/>
          <w:color w:val="000000" w:themeColor="text1"/>
          <w:sz w:val="24"/>
          <w:szCs w:val="24"/>
        </w:rPr>
        <w:t>Araucaria araucana</w:t>
      </w:r>
      <w:r w:rsidR="006628B6" w:rsidRPr="00AD3B8B">
        <w:rPr>
          <w:rFonts w:ascii="Times New Roman" w:eastAsia="Arial" w:hAnsi="Times New Roman" w:cs="Times New Roman"/>
          <w:color w:val="000000" w:themeColor="text1"/>
          <w:sz w:val="24"/>
          <w:szCs w:val="24"/>
        </w:rPr>
        <w:t xml:space="preserve"> in Andean temperate </w:t>
      </w:r>
      <w:r w:rsidR="006628B6" w:rsidRPr="00AD3B8B">
        <w:rPr>
          <w:rFonts w:ascii="Times New Roman" w:eastAsia="Arial" w:hAnsi="Times New Roman" w:cs="Times New Roman"/>
          <w:i/>
          <w:iCs/>
          <w:color w:val="000000" w:themeColor="text1"/>
          <w:sz w:val="24"/>
          <w:szCs w:val="24"/>
        </w:rPr>
        <w:t>Araucaria-Nothofagus</w:t>
      </w:r>
      <w:r w:rsidR="006628B6" w:rsidRPr="00AD3B8B">
        <w:rPr>
          <w:rFonts w:ascii="Times New Roman" w:eastAsia="Arial" w:hAnsi="Times New Roman" w:cs="Times New Roman"/>
          <w:color w:val="000000" w:themeColor="text1"/>
          <w:sz w:val="24"/>
          <w:szCs w:val="24"/>
        </w:rPr>
        <w:t xml:space="preserve"> forests</w:t>
      </w:r>
      <w:r w:rsidR="00F15388">
        <w:rPr>
          <w:rFonts w:ascii="Times New Roman" w:eastAsia="Arial" w:hAnsi="Times New Roman" w:cs="Times New Roman"/>
          <w:color w:val="000000" w:themeColor="text1"/>
          <w:sz w:val="24"/>
          <w:szCs w:val="24"/>
        </w:rPr>
        <w:t xml:space="preserve"> following </w:t>
      </w:r>
      <w:r w:rsidR="00307EFF">
        <w:rPr>
          <w:rFonts w:ascii="Times New Roman" w:eastAsia="Arial" w:hAnsi="Times New Roman" w:cs="Times New Roman"/>
          <w:color w:val="000000" w:themeColor="text1"/>
          <w:sz w:val="24"/>
          <w:szCs w:val="24"/>
        </w:rPr>
        <w:t xml:space="preserve">the framework of </w:t>
      </w:r>
      <w:r w:rsidR="00F15388" w:rsidRPr="00AD3B8B">
        <w:rPr>
          <w:rFonts w:ascii="Times New Roman" w:hAnsi="Times New Roman" w:cs="Times New Roman"/>
          <w:sz w:val="24"/>
          <w:szCs w:val="24"/>
        </w:rPr>
        <w:t>Prior and Bowman (2020)</w:t>
      </w:r>
      <w:r w:rsidR="006628B6" w:rsidRPr="00AD3B8B">
        <w:rPr>
          <w:rFonts w:ascii="Times New Roman" w:eastAsia="Arial" w:hAnsi="Times New Roman" w:cs="Times New Roman"/>
          <w:color w:val="000000" w:themeColor="text1"/>
          <w:sz w:val="24"/>
          <w:szCs w:val="24"/>
        </w:rPr>
        <w:t>.</w:t>
      </w:r>
    </w:p>
    <w:p w14:paraId="18FB4668" w14:textId="77777777" w:rsidR="006628B6" w:rsidRPr="00AD3B8B" w:rsidRDefault="006628B6" w:rsidP="006628B6">
      <w:pPr>
        <w:spacing w:after="0" w:line="276" w:lineRule="auto"/>
        <w:jc w:val="both"/>
        <w:rPr>
          <w:rFonts w:ascii="Times New Roman" w:eastAsia="Arial" w:hAnsi="Times New Roman" w:cs="Times New Roman"/>
          <w:bCs/>
          <w:color w:val="000000" w:themeColor="text1"/>
          <w:sz w:val="24"/>
          <w:szCs w:val="24"/>
        </w:rPr>
      </w:pPr>
    </w:p>
    <w:p w14:paraId="7AC8B7EE" w14:textId="2CD20610" w:rsidR="006628B6" w:rsidRPr="00AD3B8B" w:rsidRDefault="006628B6" w:rsidP="006628B6">
      <w:pPr>
        <w:spacing w:after="0" w:line="276" w:lineRule="auto"/>
        <w:ind w:firstLine="720"/>
        <w:jc w:val="both"/>
        <w:rPr>
          <w:rFonts w:ascii="Times New Roman" w:hAnsi="Times New Roman" w:cs="Times New Roman"/>
          <w:sz w:val="24"/>
          <w:szCs w:val="24"/>
        </w:rPr>
      </w:pPr>
      <w:r w:rsidRPr="00AD3B8B">
        <w:rPr>
          <w:rFonts w:ascii="Times New Roman" w:hAnsi="Times New Roman" w:cs="Times New Roman"/>
          <w:sz w:val="24"/>
          <w:szCs w:val="24"/>
        </w:rPr>
        <w:t xml:space="preserve">The classification of post-fire responses of the main tree species present in </w:t>
      </w:r>
      <w:r w:rsidRPr="00AD3B8B">
        <w:rPr>
          <w:rFonts w:ascii="Times New Roman" w:hAnsi="Times New Roman" w:cs="Times New Roman"/>
          <w:i/>
          <w:iCs/>
          <w:sz w:val="24"/>
          <w:szCs w:val="24"/>
        </w:rPr>
        <w:t>Araucaria-Nothofagus</w:t>
      </w:r>
      <w:r w:rsidRPr="00AD3B8B">
        <w:rPr>
          <w:rFonts w:ascii="Times New Roman" w:hAnsi="Times New Roman" w:cs="Times New Roman"/>
          <w:sz w:val="24"/>
          <w:szCs w:val="24"/>
        </w:rPr>
        <w:t xml:space="preserve"> forests has been </w:t>
      </w:r>
      <w:r w:rsidR="00307EFF">
        <w:rPr>
          <w:rFonts w:ascii="Times New Roman" w:hAnsi="Times New Roman" w:cs="Times New Roman"/>
          <w:sz w:val="24"/>
          <w:szCs w:val="24"/>
        </w:rPr>
        <w:t>implemented following</w:t>
      </w:r>
      <w:r w:rsidRPr="00AD3B8B">
        <w:rPr>
          <w:rFonts w:ascii="Times New Roman" w:hAnsi="Times New Roman" w:cs="Times New Roman"/>
          <w:sz w:val="24"/>
          <w:szCs w:val="24"/>
        </w:rPr>
        <w:t xml:space="preserve"> the framework of Prior and Bowman (2020) which considers post-fire responses of woody plant species in pyrophobic communities. Their work was an effort to incorporate </w:t>
      </w:r>
      <w:r w:rsidR="000E4ECD">
        <w:rPr>
          <w:rFonts w:ascii="Times New Roman" w:hAnsi="Times New Roman" w:cs="Times New Roman"/>
          <w:sz w:val="24"/>
          <w:szCs w:val="24"/>
        </w:rPr>
        <w:t>functional traits of th</w:t>
      </w:r>
      <w:r w:rsidRPr="00AD3B8B">
        <w:rPr>
          <w:rFonts w:ascii="Times New Roman" w:hAnsi="Times New Roman" w:cs="Times New Roman"/>
          <w:sz w:val="24"/>
          <w:szCs w:val="24"/>
        </w:rPr>
        <w:t xml:space="preserve">ose species that </w:t>
      </w:r>
      <w:r w:rsidR="000E4ECD">
        <w:rPr>
          <w:rFonts w:ascii="Times New Roman" w:hAnsi="Times New Roman" w:cs="Times New Roman"/>
          <w:sz w:val="24"/>
          <w:szCs w:val="24"/>
        </w:rPr>
        <w:t>are</w:t>
      </w:r>
      <w:r w:rsidR="000E4ECD" w:rsidRPr="00AD3B8B">
        <w:rPr>
          <w:rFonts w:ascii="Times New Roman" w:hAnsi="Times New Roman" w:cs="Times New Roman"/>
          <w:sz w:val="24"/>
          <w:szCs w:val="24"/>
        </w:rPr>
        <w:t xml:space="preserve"> </w:t>
      </w:r>
      <w:r w:rsidRPr="00AD3B8B">
        <w:rPr>
          <w:rFonts w:ascii="Times New Roman" w:hAnsi="Times New Roman" w:cs="Times New Roman"/>
          <w:sz w:val="24"/>
          <w:szCs w:val="24"/>
        </w:rPr>
        <w:t>“fire-intolerant”</w:t>
      </w:r>
      <w:r w:rsidR="000E4ECD">
        <w:rPr>
          <w:rFonts w:ascii="Times New Roman" w:hAnsi="Times New Roman" w:cs="Times New Roman"/>
          <w:sz w:val="24"/>
          <w:szCs w:val="24"/>
        </w:rPr>
        <w:t>—</w:t>
      </w:r>
      <w:r w:rsidR="000E4ECD" w:rsidRPr="007B2262">
        <w:rPr>
          <w:rFonts w:ascii="Times New Roman" w:hAnsi="Times New Roman" w:cs="Times New Roman"/>
          <w:sz w:val="24"/>
          <w:szCs w:val="24"/>
        </w:rPr>
        <w:t xml:space="preserve">in the sense that </w:t>
      </w:r>
      <w:r w:rsidRPr="00AD3B8B">
        <w:rPr>
          <w:rFonts w:ascii="Times New Roman" w:hAnsi="Times New Roman" w:cs="Times New Roman"/>
          <w:sz w:val="24"/>
          <w:szCs w:val="24"/>
        </w:rPr>
        <w:t>are infrequently exposed to high severity fires, into a broader perspective</w:t>
      </w:r>
      <w:r w:rsidR="000E4ECD">
        <w:rPr>
          <w:rFonts w:ascii="Times New Roman" w:hAnsi="Times New Roman" w:cs="Times New Roman"/>
          <w:sz w:val="24"/>
          <w:szCs w:val="24"/>
        </w:rPr>
        <w:t>, as</w:t>
      </w:r>
      <w:r w:rsidRPr="00AD3B8B">
        <w:rPr>
          <w:rFonts w:ascii="Times New Roman" w:hAnsi="Times New Roman" w:cs="Times New Roman"/>
          <w:sz w:val="24"/>
          <w:szCs w:val="24"/>
        </w:rPr>
        <w:t xml:space="preserve"> the post-fire species’ responses</w:t>
      </w:r>
      <w:r w:rsidR="000E4ECD">
        <w:rPr>
          <w:rFonts w:ascii="Times New Roman" w:hAnsi="Times New Roman" w:cs="Times New Roman"/>
          <w:sz w:val="24"/>
          <w:szCs w:val="24"/>
        </w:rPr>
        <w:t xml:space="preserve"> and traits </w:t>
      </w:r>
      <w:r w:rsidRPr="00AD3B8B">
        <w:rPr>
          <w:rFonts w:ascii="Times New Roman" w:hAnsi="Times New Roman" w:cs="Times New Roman"/>
          <w:sz w:val="24"/>
          <w:szCs w:val="24"/>
        </w:rPr>
        <w:t xml:space="preserve">from fire-prone ecosystems have been previously described and categorized (Pausas et al. 2004; Pausas and Keeley 2014; Clarke et al. 2015). </w:t>
      </w:r>
      <w:r w:rsidR="00307EFF">
        <w:rPr>
          <w:rFonts w:ascii="Times New Roman" w:hAnsi="Times New Roman" w:cs="Times New Roman"/>
          <w:sz w:val="24"/>
          <w:szCs w:val="24"/>
        </w:rPr>
        <w:t xml:space="preserve">Under </w:t>
      </w:r>
      <w:r w:rsidRPr="00AD3B8B">
        <w:rPr>
          <w:rFonts w:ascii="Times New Roman" w:hAnsi="Times New Roman" w:cs="Times New Roman"/>
          <w:sz w:val="24"/>
          <w:szCs w:val="24"/>
        </w:rPr>
        <w:t xml:space="preserve">current </w:t>
      </w:r>
      <w:r w:rsidR="00307EFF">
        <w:rPr>
          <w:rFonts w:ascii="Times New Roman" w:hAnsi="Times New Roman" w:cs="Times New Roman"/>
          <w:sz w:val="24"/>
          <w:szCs w:val="24"/>
        </w:rPr>
        <w:t xml:space="preserve">climatic trends towards </w:t>
      </w:r>
      <w:r w:rsidRPr="00AD3B8B">
        <w:rPr>
          <w:rFonts w:ascii="Times New Roman" w:hAnsi="Times New Roman" w:cs="Times New Roman"/>
          <w:sz w:val="24"/>
          <w:szCs w:val="24"/>
        </w:rPr>
        <w:t xml:space="preserve">warmer and drier conditions </w:t>
      </w:r>
      <w:r w:rsidR="00307EFF">
        <w:rPr>
          <w:rFonts w:ascii="Times New Roman" w:hAnsi="Times New Roman" w:cs="Times New Roman"/>
          <w:sz w:val="24"/>
          <w:szCs w:val="24"/>
        </w:rPr>
        <w:t>resulting in more frequent a</w:t>
      </w:r>
      <w:r w:rsidR="000E4ECD">
        <w:rPr>
          <w:rFonts w:ascii="Times New Roman" w:hAnsi="Times New Roman" w:cs="Times New Roman"/>
          <w:sz w:val="24"/>
          <w:szCs w:val="24"/>
        </w:rPr>
        <w:t>nd severe wildfires</w:t>
      </w:r>
      <w:r w:rsidRPr="00AD3B8B">
        <w:rPr>
          <w:rFonts w:ascii="Times New Roman" w:hAnsi="Times New Roman" w:cs="Times New Roman"/>
          <w:sz w:val="24"/>
          <w:szCs w:val="24"/>
        </w:rPr>
        <w:t xml:space="preserve">, </w:t>
      </w:r>
      <w:r w:rsidR="00307EFF">
        <w:rPr>
          <w:rFonts w:ascii="Times New Roman" w:hAnsi="Times New Roman" w:cs="Times New Roman"/>
          <w:sz w:val="24"/>
          <w:szCs w:val="24"/>
        </w:rPr>
        <w:t xml:space="preserve">many plant </w:t>
      </w:r>
      <w:r w:rsidR="000E4ECD">
        <w:rPr>
          <w:rFonts w:ascii="Times New Roman" w:hAnsi="Times New Roman" w:cs="Times New Roman"/>
          <w:sz w:val="24"/>
          <w:szCs w:val="24"/>
        </w:rPr>
        <w:t>species</w:t>
      </w:r>
      <w:r w:rsidR="000E4ECD" w:rsidRPr="00AD3B8B">
        <w:rPr>
          <w:rFonts w:ascii="Times New Roman" w:hAnsi="Times New Roman" w:cs="Times New Roman"/>
          <w:sz w:val="24"/>
          <w:szCs w:val="24"/>
        </w:rPr>
        <w:t xml:space="preserve"> </w:t>
      </w:r>
      <w:r w:rsidRPr="00AD3B8B">
        <w:rPr>
          <w:rFonts w:ascii="Times New Roman" w:hAnsi="Times New Roman" w:cs="Times New Roman"/>
          <w:sz w:val="24"/>
          <w:szCs w:val="24"/>
        </w:rPr>
        <w:t xml:space="preserve">that have evolved with less fire pressure </w:t>
      </w:r>
      <w:r w:rsidR="000E4ECD">
        <w:rPr>
          <w:rFonts w:ascii="Times New Roman" w:hAnsi="Times New Roman" w:cs="Times New Roman"/>
          <w:sz w:val="24"/>
          <w:szCs w:val="24"/>
        </w:rPr>
        <w:t xml:space="preserve">than those in fire-prone ecosystems, </w:t>
      </w:r>
      <w:r w:rsidRPr="00AD3B8B">
        <w:rPr>
          <w:rFonts w:ascii="Times New Roman" w:hAnsi="Times New Roman" w:cs="Times New Roman"/>
          <w:sz w:val="24"/>
          <w:szCs w:val="24"/>
        </w:rPr>
        <w:t xml:space="preserve">are likely to experience </w:t>
      </w:r>
      <w:r w:rsidR="000E4ECD">
        <w:rPr>
          <w:rFonts w:ascii="Times New Roman" w:hAnsi="Times New Roman" w:cs="Times New Roman"/>
          <w:sz w:val="24"/>
          <w:szCs w:val="24"/>
        </w:rPr>
        <w:t>unprecedented impacts</w:t>
      </w:r>
      <w:r w:rsidR="00307EFF">
        <w:rPr>
          <w:rFonts w:ascii="Times New Roman" w:hAnsi="Times New Roman" w:cs="Times New Roman"/>
          <w:sz w:val="24"/>
          <w:szCs w:val="24"/>
        </w:rPr>
        <w:t xml:space="preserve"> of fire</w:t>
      </w:r>
      <w:r w:rsidRPr="00AD3B8B">
        <w:rPr>
          <w:rFonts w:ascii="Times New Roman" w:hAnsi="Times New Roman" w:cs="Times New Roman"/>
          <w:sz w:val="24"/>
          <w:szCs w:val="24"/>
        </w:rPr>
        <w:t xml:space="preserve">. </w:t>
      </w:r>
      <w:r w:rsidRPr="00AD3B8B">
        <w:rPr>
          <w:rFonts w:ascii="Times New Roman" w:hAnsi="Times New Roman" w:cs="Times New Roman"/>
          <w:i/>
          <w:iCs/>
          <w:sz w:val="24"/>
          <w:szCs w:val="24"/>
        </w:rPr>
        <w:t>Araucaria-Nothofagus</w:t>
      </w:r>
      <w:r w:rsidRPr="00AD3B8B">
        <w:rPr>
          <w:rFonts w:ascii="Times New Roman" w:hAnsi="Times New Roman" w:cs="Times New Roman"/>
          <w:sz w:val="24"/>
          <w:szCs w:val="24"/>
        </w:rPr>
        <w:t xml:space="preserve"> forests are characterized by </w:t>
      </w:r>
      <w:r w:rsidR="000E4ECD">
        <w:rPr>
          <w:rFonts w:ascii="Times New Roman" w:hAnsi="Times New Roman" w:cs="Times New Roman"/>
          <w:sz w:val="24"/>
          <w:szCs w:val="24"/>
        </w:rPr>
        <w:t xml:space="preserve">mixed severity regimes, with </w:t>
      </w:r>
      <w:r w:rsidRPr="00AD3B8B">
        <w:rPr>
          <w:rFonts w:ascii="Times New Roman" w:hAnsi="Times New Roman" w:cs="Times New Roman"/>
          <w:sz w:val="24"/>
          <w:szCs w:val="24"/>
        </w:rPr>
        <w:t xml:space="preserve">infrequent stand-replacing fires as well as frequent low severity surface fires, which has promoted species dominance by both fire-adapted and fire-sensitive species (González et al. 2010; Paritsis et al. 2015; Mundo et al. 2017). However, altered fire regimes may increase the exposure of these forests to more frequent severe wildfires. In this section, we are following Prior and Bowman’s (2020) </w:t>
      </w:r>
      <w:r w:rsidR="008158AA">
        <w:rPr>
          <w:rFonts w:ascii="Times New Roman" w:hAnsi="Times New Roman" w:cs="Times New Roman"/>
          <w:sz w:val="24"/>
          <w:szCs w:val="24"/>
        </w:rPr>
        <w:t xml:space="preserve">general </w:t>
      </w:r>
      <w:r w:rsidRPr="00AD3B8B">
        <w:rPr>
          <w:rFonts w:ascii="Times New Roman" w:hAnsi="Times New Roman" w:cs="Times New Roman"/>
          <w:sz w:val="24"/>
          <w:szCs w:val="24"/>
        </w:rPr>
        <w:t xml:space="preserve">framework </w:t>
      </w:r>
      <w:r w:rsidR="008158AA">
        <w:rPr>
          <w:rFonts w:ascii="Times New Roman" w:hAnsi="Times New Roman" w:cs="Times New Roman"/>
          <w:sz w:val="24"/>
          <w:szCs w:val="24"/>
        </w:rPr>
        <w:t>illustrated</w:t>
      </w:r>
      <w:r w:rsidRPr="00AD3B8B">
        <w:rPr>
          <w:rFonts w:ascii="Times New Roman" w:hAnsi="Times New Roman" w:cs="Times New Roman"/>
          <w:sz w:val="24"/>
          <w:szCs w:val="24"/>
        </w:rPr>
        <w:t xml:space="preserve"> for Australasian</w:t>
      </w:r>
      <w:r w:rsidR="00B52B66">
        <w:rPr>
          <w:rFonts w:ascii="Times New Roman" w:hAnsi="Times New Roman" w:cs="Times New Roman"/>
          <w:sz w:val="24"/>
          <w:szCs w:val="24"/>
        </w:rPr>
        <w:t xml:space="preserve"> </w:t>
      </w:r>
      <w:r w:rsidRPr="00AD3B8B">
        <w:rPr>
          <w:rFonts w:ascii="Times New Roman" w:hAnsi="Times New Roman" w:cs="Times New Roman"/>
          <w:sz w:val="24"/>
          <w:szCs w:val="24"/>
        </w:rPr>
        <w:t xml:space="preserve">species to describe and classify southern South American Andean fire traits of the principal tree species of temperate forests in south-central Chile, </w:t>
      </w:r>
      <w:r w:rsidR="00B52B66">
        <w:rPr>
          <w:rFonts w:ascii="Times New Roman" w:hAnsi="Times New Roman" w:cs="Times New Roman"/>
          <w:sz w:val="24"/>
          <w:szCs w:val="24"/>
        </w:rPr>
        <w:t xml:space="preserve">including </w:t>
      </w:r>
      <w:r w:rsidRPr="00AD3B8B">
        <w:rPr>
          <w:rFonts w:ascii="Times New Roman" w:hAnsi="Times New Roman" w:cs="Times New Roman"/>
          <w:i/>
          <w:iCs/>
          <w:sz w:val="24"/>
          <w:szCs w:val="24"/>
        </w:rPr>
        <w:t>Araucaria araucana</w:t>
      </w:r>
      <w:r w:rsidRPr="00AD3B8B">
        <w:rPr>
          <w:rFonts w:ascii="Times New Roman" w:hAnsi="Times New Roman" w:cs="Times New Roman"/>
          <w:sz w:val="24"/>
          <w:szCs w:val="24"/>
        </w:rPr>
        <w:t xml:space="preserve"> and </w:t>
      </w:r>
      <w:r w:rsidR="00B52B66">
        <w:rPr>
          <w:rFonts w:ascii="Times New Roman" w:hAnsi="Times New Roman" w:cs="Times New Roman"/>
          <w:sz w:val="24"/>
          <w:szCs w:val="24"/>
        </w:rPr>
        <w:t xml:space="preserve">four </w:t>
      </w:r>
      <w:r w:rsidRPr="00AD3B8B">
        <w:rPr>
          <w:rFonts w:ascii="Times New Roman" w:hAnsi="Times New Roman" w:cs="Times New Roman"/>
          <w:sz w:val="24"/>
          <w:szCs w:val="24"/>
        </w:rPr>
        <w:t xml:space="preserve">species from </w:t>
      </w:r>
      <w:r w:rsidR="00B52B66">
        <w:rPr>
          <w:rFonts w:ascii="Times New Roman" w:hAnsi="Times New Roman" w:cs="Times New Roman"/>
          <w:sz w:val="24"/>
          <w:szCs w:val="24"/>
        </w:rPr>
        <w:t xml:space="preserve">the </w:t>
      </w:r>
      <w:r w:rsidRPr="00AD3B8B">
        <w:rPr>
          <w:rFonts w:ascii="Times New Roman" w:hAnsi="Times New Roman" w:cs="Times New Roman"/>
          <w:i/>
          <w:iCs/>
          <w:sz w:val="24"/>
          <w:szCs w:val="24"/>
        </w:rPr>
        <w:t>Nothofagus</w:t>
      </w:r>
      <w:r w:rsidRPr="00AD3B8B">
        <w:rPr>
          <w:rFonts w:ascii="Times New Roman" w:hAnsi="Times New Roman" w:cs="Times New Roman"/>
          <w:sz w:val="24"/>
          <w:szCs w:val="24"/>
        </w:rPr>
        <w:t xml:space="preserve"> genus.</w:t>
      </w:r>
    </w:p>
    <w:p w14:paraId="01450F7D" w14:textId="4627845C" w:rsidR="006628B6" w:rsidRPr="00AD3B8B" w:rsidRDefault="006628B6" w:rsidP="006628B6">
      <w:pPr>
        <w:spacing w:after="0" w:line="276" w:lineRule="auto"/>
        <w:ind w:firstLine="720"/>
        <w:jc w:val="both"/>
        <w:rPr>
          <w:rFonts w:ascii="Times New Roman" w:hAnsi="Times New Roman" w:cs="Times New Roman"/>
          <w:sz w:val="24"/>
          <w:szCs w:val="24"/>
        </w:rPr>
      </w:pPr>
      <w:r w:rsidRPr="00AD3B8B">
        <w:rPr>
          <w:rFonts w:ascii="Times New Roman" w:hAnsi="Times New Roman" w:cs="Times New Roman"/>
          <w:sz w:val="24"/>
          <w:szCs w:val="24"/>
        </w:rPr>
        <w:t xml:space="preserve">The long-lived conifer </w:t>
      </w:r>
      <w:r w:rsidRPr="00AD3B8B">
        <w:rPr>
          <w:rFonts w:ascii="Times New Roman" w:hAnsi="Times New Roman" w:cs="Times New Roman"/>
          <w:i/>
          <w:iCs/>
          <w:sz w:val="24"/>
          <w:szCs w:val="24"/>
        </w:rPr>
        <w:t>A. araucana</w:t>
      </w:r>
      <w:r w:rsidRPr="00AD3B8B">
        <w:rPr>
          <w:rFonts w:ascii="Times New Roman" w:hAnsi="Times New Roman" w:cs="Times New Roman"/>
          <w:sz w:val="24"/>
          <w:szCs w:val="24"/>
        </w:rPr>
        <w:t xml:space="preserve"> undoubtedly has fire adaptations that allows it to survive low-to-moderate burn severity fires, although individuals are mostly killed in high severity fires</w:t>
      </w:r>
      <w:r w:rsidR="0030250D">
        <w:rPr>
          <w:rFonts w:ascii="Times New Roman" w:hAnsi="Times New Roman" w:cs="Times New Roman"/>
          <w:sz w:val="24"/>
          <w:szCs w:val="24"/>
        </w:rPr>
        <w:t xml:space="preserve"> (crown fires)</w:t>
      </w:r>
      <w:r w:rsidRPr="00AD3B8B">
        <w:rPr>
          <w:rFonts w:ascii="Times New Roman" w:hAnsi="Times New Roman" w:cs="Times New Roman"/>
          <w:sz w:val="24"/>
          <w:szCs w:val="24"/>
        </w:rPr>
        <w:t xml:space="preserve">. Adult individuals can grow to around 40 m height, develop bark up to 20 cm thick that protects the cambium, have self-pruning lower branches (i.e., to reduce vertical fuel connectivity), and possesses seeds that are protected in non-serotinous cones (Veblen 1982; Burns 1993; González et al. 2013b). After fire, some live and </w:t>
      </w:r>
      <w:r w:rsidR="00977A8D">
        <w:rPr>
          <w:rFonts w:ascii="Times New Roman" w:hAnsi="Times New Roman" w:cs="Times New Roman"/>
          <w:sz w:val="24"/>
          <w:szCs w:val="24"/>
        </w:rPr>
        <w:t>apparently killed</w:t>
      </w:r>
      <w:r w:rsidRPr="00AD3B8B">
        <w:rPr>
          <w:rFonts w:ascii="Times New Roman" w:hAnsi="Times New Roman" w:cs="Times New Roman"/>
          <w:sz w:val="24"/>
          <w:szCs w:val="24"/>
        </w:rPr>
        <w:t xml:space="preserve"> Araucaria individuals resprout vegetatively from epicormic buds located at the base of the trunk</w:t>
      </w:r>
      <w:r w:rsidR="00977A8D">
        <w:rPr>
          <w:rFonts w:ascii="Times New Roman" w:hAnsi="Times New Roman" w:cs="Times New Roman"/>
          <w:sz w:val="24"/>
          <w:szCs w:val="24"/>
        </w:rPr>
        <w:t xml:space="preserve">, from </w:t>
      </w:r>
      <w:r w:rsidRPr="00AD3B8B">
        <w:rPr>
          <w:rFonts w:ascii="Times New Roman" w:hAnsi="Times New Roman" w:cs="Times New Roman"/>
          <w:sz w:val="24"/>
          <w:szCs w:val="24"/>
        </w:rPr>
        <w:t>sucker</w:t>
      </w:r>
      <w:r w:rsidR="00977A8D">
        <w:rPr>
          <w:rFonts w:ascii="Times New Roman" w:hAnsi="Times New Roman" w:cs="Times New Roman"/>
          <w:sz w:val="24"/>
          <w:szCs w:val="24"/>
        </w:rPr>
        <w:t xml:space="preserve">ing on </w:t>
      </w:r>
      <w:r w:rsidRPr="00AD3B8B">
        <w:rPr>
          <w:rFonts w:ascii="Times New Roman" w:hAnsi="Times New Roman" w:cs="Times New Roman"/>
          <w:sz w:val="24"/>
          <w:szCs w:val="24"/>
        </w:rPr>
        <w:t>large lateral roots</w:t>
      </w:r>
      <w:r w:rsidR="00977A8D">
        <w:rPr>
          <w:rFonts w:ascii="Times New Roman" w:hAnsi="Times New Roman" w:cs="Times New Roman"/>
          <w:sz w:val="24"/>
          <w:szCs w:val="24"/>
        </w:rPr>
        <w:t>, and from protected terminal buds on branches (Veblen et al. 2005)</w:t>
      </w:r>
      <w:r w:rsidRPr="00AD3B8B">
        <w:rPr>
          <w:rFonts w:ascii="Times New Roman" w:hAnsi="Times New Roman" w:cs="Times New Roman"/>
          <w:sz w:val="24"/>
          <w:szCs w:val="24"/>
        </w:rPr>
        <w:t xml:space="preserve">. In cases where mature female Araucaria individuals survive fire disturbance (low-to-moderate damage), they continue their seed production cycles, which may or may not coincide with their masting production years. Thus, </w:t>
      </w:r>
      <w:r w:rsidRPr="00AD3B8B">
        <w:rPr>
          <w:rFonts w:ascii="Times New Roman" w:hAnsi="Times New Roman" w:cs="Times New Roman"/>
          <w:i/>
          <w:iCs/>
          <w:sz w:val="24"/>
          <w:szCs w:val="24"/>
        </w:rPr>
        <w:t>A. araucana</w:t>
      </w:r>
      <w:r w:rsidRPr="00AD3B8B">
        <w:rPr>
          <w:rFonts w:ascii="Times New Roman" w:hAnsi="Times New Roman" w:cs="Times New Roman"/>
          <w:sz w:val="24"/>
          <w:szCs w:val="24"/>
        </w:rPr>
        <w:t xml:space="preserve"> qualifies as a species suitable for the post-fire facultative resprouter/seeder classification (PFFRS) — a species that can resprout and produce seeds after fire. </w:t>
      </w:r>
    </w:p>
    <w:p w14:paraId="516FE2C9" w14:textId="3D5EE768" w:rsidR="006628B6" w:rsidRDefault="006628B6" w:rsidP="006628B6">
      <w:pPr>
        <w:spacing w:after="0" w:line="276" w:lineRule="auto"/>
        <w:ind w:firstLine="720"/>
        <w:jc w:val="both"/>
        <w:rPr>
          <w:rFonts w:ascii="Times New Roman" w:hAnsi="Times New Roman" w:cs="Times New Roman"/>
          <w:sz w:val="24"/>
          <w:szCs w:val="24"/>
        </w:rPr>
      </w:pPr>
      <w:r w:rsidRPr="00AD3B8B">
        <w:rPr>
          <w:rFonts w:ascii="Times New Roman" w:hAnsi="Times New Roman" w:cs="Times New Roman"/>
          <w:sz w:val="24"/>
          <w:szCs w:val="24"/>
        </w:rPr>
        <w:t xml:space="preserve">Fire disturbance also importantly influences seedling recruitment and resprouting responses of the angiosperm southern beech species (i.e., </w:t>
      </w:r>
      <w:r w:rsidRPr="00AD3B8B">
        <w:rPr>
          <w:rFonts w:ascii="Times New Roman" w:hAnsi="Times New Roman" w:cs="Times New Roman"/>
          <w:i/>
          <w:iCs/>
          <w:sz w:val="24"/>
          <w:szCs w:val="24"/>
        </w:rPr>
        <w:t>N. alpina, N. dombeyi, N. obliqua, N. pumilio</w:t>
      </w:r>
      <w:r w:rsidRPr="00AD3B8B">
        <w:rPr>
          <w:rFonts w:ascii="Times New Roman" w:hAnsi="Times New Roman" w:cs="Times New Roman"/>
          <w:sz w:val="24"/>
          <w:szCs w:val="24"/>
        </w:rPr>
        <w:t>), which are fire-sensitive species that easily burn under moderate-to-high burn severity fires</w:t>
      </w:r>
      <w:r w:rsidR="00FE094A">
        <w:rPr>
          <w:rFonts w:ascii="Times New Roman" w:hAnsi="Times New Roman" w:cs="Times New Roman"/>
          <w:sz w:val="24"/>
          <w:szCs w:val="24"/>
        </w:rPr>
        <w:t xml:space="preserve"> </w:t>
      </w:r>
      <w:r w:rsidR="00430BC5">
        <w:rPr>
          <w:rFonts w:ascii="Times New Roman" w:hAnsi="Times New Roman" w:cs="Times New Roman"/>
          <w:sz w:val="24"/>
          <w:szCs w:val="24"/>
        </w:rPr>
        <w:t xml:space="preserve">killing most individuals </w:t>
      </w:r>
      <w:r w:rsidR="00FE094A">
        <w:rPr>
          <w:rFonts w:ascii="Times New Roman" w:hAnsi="Times New Roman" w:cs="Times New Roman"/>
          <w:sz w:val="24"/>
          <w:szCs w:val="24"/>
        </w:rPr>
        <w:t>due to their thin bark</w:t>
      </w:r>
      <w:r w:rsidRPr="00AD3B8B">
        <w:rPr>
          <w:rFonts w:ascii="Times New Roman" w:hAnsi="Times New Roman" w:cs="Times New Roman"/>
          <w:sz w:val="24"/>
          <w:szCs w:val="24"/>
        </w:rPr>
        <w:t xml:space="preserve">. However, </w:t>
      </w:r>
      <w:r w:rsidRPr="00AD3B8B">
        <w:rPr>
          <w:rFonts w:ascii="Times New Roman" w:hAnsi="Times New Roman" w:cs="Times New Roman"/>
          <w:i/>
          <w:iCs/>
          <w:sz w:val="24"/>
          <w:szCs w:val="24"/>
        </w:rPr>
        <w:t>N. alpina</w:t>
      </w:r>
      <w:r w:rsidRPr="00AD3B8B">
        <w:rPr>
          <w:rFonts w:ascii="Times New Roman" w:hAnsi="Times New Roman" w:cs="Times New Roman"/>
          <w:sz w:val="24"/>
          <w:szCs w:val="24"/>
        </w:rPr>
        <w:t xml:space="preserve"> and </w:t>
      </w:r>
      <w:r w:rsidRPr="00AD3B8B">
        <w:rPr>
          <w:rFonts w:ascii="Times New Roman" w:hAnsi="Times New Roman" w:cs="Times New Roman"/>
          <w:i/>
          <w:iCs/>
          <w:sz w:val="24"/>
          <w:szCs w:val="24"/>
        </w:rPr>
        <w:t>N. obliqua</w:t>
      </w:r>
      <w:r w:rsidRPr="00AD3B8B">
        <w:rPr>
          <w:rFonts w:ascii="Times New Roman" w:hAnsi="Times New Roman" w:cs="Times New Roman"/>
          <w:sz w:val="24"/>
          <w:szCs w:val="24"/>
        </w:rPr>
        <w:t xml:space="preserve"> are species that can persist in the ecosystem after being burned due to their rapid resprouting capacity (Veblen et al. 1996); however, they are not </w:t>
      </w:r>
      <w:r w:rsidRPr="00AD3B8B">
        <w:rPr>
          <w:rFonts w:ascii="Times New Roman" w:hAnsi="Times New Roman" w:cs="Times New Roman"/>
          <w:sz w:val="24"/>
          <w:szCs w:val="24"/>
        </w:rPr>
        <w:lastRenderedPageBreak/>
        <w:t xml:space="preserve">cued to produce seeds after fire. Our observations indicate that these </w:t>
      </w:r>
      <w:r w:rsidR="00430BC5">
        <w:rPr>
          <w:rFonts w:ascii="Times New Roman" w:hAnsi="Times New Roman" w:cs="Times New Roman"/>
          <w:sz w:val="24"/>
          <w:szCs w:val="24"/>
        </w:rPr>
        <w:t xml:space="preserve">two </w:t>
      </w:r>
      <w:r w:rsidRPr="00AD3B8B">
        <w:rPr>
          <w:rFonts w:ascii="Times New Roman" w:hAnsi="Times New Roman" w:cs="Times New Roman"/>
          <w:sz w:val="24"/>
          <w:szCs w:val="24"/>
        </w:rPr>
        <w:t xml:space="preserve">species </w:t>
      </w:r>
      <w:r w:rsidR="00364137">
        <w:rPr>
          <w:rFonts w:ascii="Times New Roman" w:hAnsi="Times New Roman" w:cs="Times New Roman"/>
          <w:sz w:val="24"/>
          <w:szCs w:val="24"/>
        </w:rPr>
        <w:t>can</w:t>
      </w:r>
      <w:r w:rsidR="00430BC5">
        <w:rPr>
          <w:rFonts w:ascii="Times New Roman" w:hAnsi="Times New Roman" w:cs="Times New Roman"/>
          <w:sz w:val="24"/>
          <w:szCs w:val="24"/>
        </w:rPr>
        <w:t xml:space="preserve"> resprout from the base and trunk </w:t>
      </w:r>
      <w:r w:rsidR="0052714D">
        <w:rPr>
          <w:rFonts w:ascii="Times New Roman" w:hAnsi="Times New Roman" w:cs="Times New Roman"/>
          <w:sz w:val="24"/>
          <w:szCs w:val="24"/>
        </w:rPr>
        <w:t xml:space="preserve">of live and dead trees </w:t>
      </w:r>
      <w:r w:rsidR="00430BC5">
        <w:rPr>
          <w:rFonts w:ascii="Times New Roman" w:hAnsi="Times New Roman" w:cs="Times New Roman"/>
          <w:sz w:val="24"/>
          <w:szCs w:val="24"/>
        </w:rPr>
        <w:t xml:space="preserve">following </w:t>
      </w:r>
      <w:r w:rsidR="00364137">
        <w:rPr>
          <w:rFonts w:ascii="Times New Roman" w:hAnsi="Times New Roman" w:cs="Times New Roman"/>
          <w:sz w:val="24"/>
          <w:szCs w:val="24"/>
        </w:rPr>
        <w:t xml:space="preserve">a </w:t>
      </w:r>
      <w:r w:rsidR="00430BC5">
        <w:rPr>
          <w:rFonts w:ascii="Times New Roman" w:hAnsi="Times New Roman" w:cs="Times New Roman"/>
          <w:sz w:val="24"/>
          <w:szCs w:val="24"/>
        </w:rPr>
        <w:t xml:space="preserve">single high severity </w:t>
      </w:r>
      <w:r w:rsidR="009A4C88">
        <w:rPr>
          <w:rFonts w:ascii="Times New Roman" w:hAnsi="Times New Roman" w:cs="Times New Roman"/>
          <w:sz w:val="24"/>
          <w:szCs w:val="24"/>
        </w:rPr>
        <w:t xml:space="preserve">fire </w:t>
      </w:r>
      <w:r w:rsidR="00430BC5">
        <w:rPr>
          <w:rFonts w:ascii="Times New Roman" w:hAnsi="Times New Roman" w:cs="Times New Roman"/>
          <w:sz w:val="24"/>
          <w:szCs w:val="24"/>
        </w:rPr>
        <w:t xml:space="preserve">and even high-high severity </w:t>
      </w:r>
      <w:r w:rsidRPr="00AD3B8B">
        <w:rPr>
          <w:rFonts w:ascii="Times New Roman" w:hAnsi="Times New Roman" w:cs="Times New Roman"/>
          <w:sz w:val="24"/>
          <w:szCs w:val="24"/>
        </w:rPr>
        <w:t>reburn</w:t>
      </w:r>
      <w:r w:rsidR="00430BC5">
        <w:rPr>
          <w:rFonts w:ascii="Times New Roman" w:hAnsi="Times New Roman" w:cs="Times New Roman"/>
          <w:sz w:val="24"/>
          <w:szCs w:val="24"/>
        </w:rPr>
        <w:t>s</w:t>
      </w:r>
      <w:r w:rsidR="0052714D">
        <w:rPr>
          <w:rFonts w:ascii="Times New Roman" w:hAnsi="Times New Roman" w:cs="Times New Roman"/>
          <w:sz w:val="24"/>
          <w:szCs w:val="24"/>
        </w:rPr>
        <w:t xml:space="preserve"> (i.e., partial to complete scorching and charring)</w:t>
      </w:r>
      <w:r w:rsidRPr="00AD3B8B">
        <w:rPr>
          <w:rFonts w:ascii="Times New Roman" w:hAnsi="Times New Roman" w:cs="Times New Roman"/>
          <w:sz w:val="24"/>
          <w:szCs w:val="24"/>
        </w:rPr>
        <w:t xml:space="preserve">. If there are surviving individuals from these species in areas less severely affected by wildfire or in unburned patches within or next to the fire perimeter, these trees </w:t>
      </w:r>
      <w:r w:rsidR="00364137">
        <w:rPr>
          <w:rFonts w:ascii="Times New Roman" w:hAnsi="Times New Roman" w:cs="Times New Roman"/>
          <w:sz w:val="24"/>
          <w:szCs w:val="24"/>
        </w:rPr>
        <w:t xml:space="preserve">also </w:t>
      </w:r>
      <w:r w:rsidRPr="00AD3B8B">
        <w:rPr>
          <w:rFonts w:ascii="Times New Roman" w:hAnsi="Times New Roman" w:cs="Times New Roman"/>
          <w:sz w:val="24"/>
          <w:szCs w:val="24"/>
        </w:rPr>
        <w:t>can colonize burned areas over time according to their mast seeding cycles (Donoso et al. 2006a; Sola et al. 2022)</w:t>
      </w:r>
      <w:r w:rsidR="00364137">
        <w:rPr>
          <w:rFonts w:ascii="Times New Roman" w:hAnsi="Times New Roman" w:cs="Times New Roman"/>
          <w:sz w:val="24"/>
          <w:szCs w:val="24"/>
        </w:rPr>
        <w:t>. H</w:t>
      </w:r>
      <w:r w:rsidRPr="00AD3B8B">
        <w:rPr>
          <w:rFonts w:ascii="Times New Roman" w:hAnsi="Times New Roman" w:cs="Times New Roman"/>
          <w:sz w:val="24"/>
          <w:szCs w:val="24"/>
        </w:rPr>
        <w:t xml:space="preserve">owever, fire itself does not induce seed production. Considering the traits of </w:t>
      </w:r>
      <w:r w:rsidRPr="00AD3B8B">
        <w:rPr>
          <w:rFonts w:ascii="Times New Roman" w:hAnsi="Times New Roman" w:cs="Times New Roman"/>
          <w:i/>
          <w:iCs/>
          <w:sz w:val="24"/>
          <w:szCs w:val="24"/>
        </w:rPr>
        <w:t>N. alpina</w:t>
      </w:r>
      <w:r w:rsidRPr="00AD3B8B">
        <w:rPr>
          <w:rFonts w:ascii="Times New Roman" w:hAnsi="Times New Roman" w:cs="Times New Roman"/>
          <w:sz w:val="24"/>
          <w:szCs w:val="24"/>
        </w:rPr>
        <w:t xml:space="preserve"> and </w:t>
      </w:r>
      <w:r w:rsidRPr="00AD3B8B">
        <w:rPr>
          <w:rFonts w:ascii="Times New Roman" w:hAnsi="Times New Roman" w:cs="Times New Roman"/>
          <w:i/>
          <w:iCs/>
          <w:sz w:val="24"/>
          <w:szCs w:val="24"/>
        </w:rPr>
        <w:t>N. obliqua</w:t>
      </w:r>
      <w:r w:rsidRPr="00AD3B8B">
        <w:rPr>
          <w:rFonts w:ascii="Times New Roman" w:hAnsi="Times New Roman" w:cs="Times New Roman"/>
          <w:sz w:val="24"/>
          <w:szCs w:val="24"/>
        </w:rPr>
        <w:t xml:space="preserve">, </w:t>
      </w:r>
      <w:r w:rsidR="0052714D">
        <w:rPr>
          <w:rFonts w:ascii="Times New Roman" w:hAnsi="Times New Roman" w:cs="Times New Roman"/>
          <w:sz w:val="24"/>
          <w:szCs w:val="24"/>
        </w:rPr>
        <w:t xml:space="preserve">and </w:t>
      </w:r>
      <w:r w:rsidR="0052714D" w:rsidRPr="00AD3B8B">
        <w:rPr>
          <w:rFonts w:ascii="Times New Roman" w:hAnsi="Times New Roman" w:cs="Times New Roman"/>
          <w:sz w:val="24"/>
          <w:szCs w:val="24"/>
        </w:rPr>
        <w:t>according to Prior and Bowman (2020)</w:t>
      </w:r>
      <w:r w:rsidR="0052714D">
        <w:rPr>
          <w:rFonts w:ascii="Times New Roman" w:hAnsi="Times New Roman" w:cs="Times New Roman"/>
          <w:sz w:val="24"/>
          <w:szCs w:val="24"/>
        </w:rPr>
        <w:t>’s</w:t>
      </w:r>
      <w:r w:rsidR="0052714D" w:rsidRPr="00AD3B8B">
        <w:rPr>
          <w:rFonts w:ascii="Times New Roman" w:hAnsi="Times New Roman" w:cs="Times New Roman"/>
          <w:sz w:val="24"/>
          <w:szCs w:val="24"/>
        </w:rPr>
        <w:t xml:space="preserve"> </w:t>
      </w:r>
      <w:r w:rsidR="00794A4A">
        <w:rPr>
          <w:rFonts w:ascii="Times New Roman" w:hAnsi="Times New Roman" w:cs="Times New Roman"/>
          <w:sz w:val="24"/>
          <w:szCs w:val="24"/>
        </w:rPr>
        <w:t>framework</w:t>
      </w:r>
      <w:r w:rsidR="0052714D" w:rsidRPr="00AD3B8B">
        <w:rPr>
          <w:rFonts w:ascii="Times New Roman" w:hAnsi="Times New Roman" w:cs="Times New Roman"/>
          <w:sz w:val="24"/>
          <w:szCs w:val="24"/>
        </w:rPr>
        <w:t xml:space="preserve"> </w:t>
      </w:r>
      <w:r w:rsidRPr="00AD3B8B">
        <w:rPr>
          <w:rFonts w:ascii="Times New Roman" w:hAnsi="Times New Roman" w:cs="Times New Roman"/>
          <w:sz w:val="24"/>
          <w:szCs w:val="24"/>
        </w:rPr>
        <w:t>we classif</w:t>
      </w:r>
      <w:r w:rsidR="0052714D">
        <w:rPr>
          <w:rFonts w:ascii="Times New Roman" w:hAnsi="Times New Roman" w:cs="Times New Roman"/>
          <w:sz w:val="24"/>
          <w:szCs w:val="24"/>
        </w:rPr>
        <w:t>ied</w:t>
      </w:r>
      <w:r w:rsidRPr="00AD3B8B">
        <w:rPr>
          <w:rFonts w:ascii="Times New Roman" w:hAnsi="Times New Roman" w:cs="Times New Roman"/>
          <w:sz w:val="24"/>
          <w:szCs w:val="24"/>
        </w:rPr>
        <w:t xml:space="preserve"> these species </w:t>
      </w:r>
      <w:r w:rsidR="0052714D">
        <w:rPr>
          <w:rFonts w:ascii="Times New Roman" w:hAnsi="Times New Roman" w:cs="Times New Roman"/>
          <w:sz w:val="24"/>
          <w:szCs w:val="24"/>
        </w:rPr>
        <w:t>as</w:t>
      </w:r>
      <w:r w:rsidRPr="00AD3B8B">
        <w:rPr>
          <w:rFonts w:ascii="Times New Roman" w:hAnsi="Times New Roman" w:cs="Times New Roman"/>
          <w:sz w:val="24"/>
          <w:szCs w:val="24"/>
        </w:rPr>
        <w:t xml:space="preserve"> post-fire obligate resprout</w:t>
      </w:r>
      <w:r w:rsidR="0052714D">
        <w:rPr>
          <w:rFonts w:ascii="Times New Roman" w:hAnsi="Times New Roman" w:cs="Times New Roman"/>
          <w:sz w:val="24"/>
          <w:szCs w:val="24"/>
        </w:rPr>
        <w:t>ers</w:t>
      </w:r>
      <w:r w:rsidRPr="00AD3B8B">
        <w:rPr>
          <w:rFonts w:ascii="Times New Roman" w:hAnsi="Times New Roman" w:cs="Times New Roman"/>
          <w:sz w:val="24"/>
          <w:szCs w:val="24"/>
        </w:rPr>
        <w:t xml:space="preserve"> (PFOR). </w:t>
      </w:r>
      <w:r w:rsidR="00364137">
        <w:rPr>
          <w:rFonts w:ascii="Times New Roman" w:hAnsi="Times New Roman" w:cs="Times New Roman"/>
          <w:sz w:val="24"/>
          <w:szCs w:val="24"/>
        </w:rPr>
        <w:t>Like</w:t>
      </w:r>
      <w:r w:rsidR="0052714D">
        <w:rPr>
          <w:rFonts w:ascii="Times New Roman" w:hAnsi="Times New Roman" w:cs="Times New Roman"/>
          <w:sz w:val="24"/>
          <w:szCs w:val="24"/>
        </w:rPr>
        <w:t xml:space="preserve"> both PFOR species</w:t>
      </w:r>
      <w:r w:rsidRPr="00AD3B8B">
        <w:rPr>
          <w:rFonts w:ascii="Times New Roman" w:hAnsi="Times New Roman" w:cs="Times New Roman"/>
          <w:sz w:val="24"/>
          <w:szCs w:val="24"/>
        </w:rPr>
        <w:t xml:space="preserve">, </w:t>
      </w:r>
      <w:r w:rsidRPr="00AD3B8B">
        <w:rPr>
          <w:rFonts w:ascii="Times New Roman" w:hAnsi="Times New Roman" w:cs="Times New Roman"/>
          <w:i/>
          <w:iCs/>
          <w:sz w:val="24"/>
          <w:szCs w:val="24"/>
        </w:rPr>
        <w:t>N. dombeyi</w:t>
      </w:r>
      <w:r w:rsidRPr="00AD3B8B">
        <w:rPr>
          <w:rFonts w:ascii="Times New Roman" w:hAnsi="Times New Roman" w:cs="Times New Roman"/>
          <w:sz w:val="24"/>
          <w:szCs w:val="24"/>
        </w:rPr>
        <w:t xml:space="preserve"> and </w:t>
      </w:r>
      <w:r w:rsidRPr="00AD3B8B">
        <w:rPr>
          <w:rFonts w:ascii="Times New Roman" w:hAnsi="Times New Roman" w:cs="Times New Roman"/>
          <w:i/>
          <w:iCs/>
          <w:sz w:val="24"/>
          <w:szCs w:val="24"/>
        </w:rPr>
        <w:t>N. pumilio</w:t>
      </w:r>
      <w:r w:rsidRPr="00AD3B8B">
        <w:rPr>
          <w:rFonts w:ascii="Times New Roman" w:hAnsi="Times New Roman" w:cs="Times New Roman"/>
          <w:sz w:val="24"/>
          <w:szCs w:val="24"/>
        </w:rPr>
        <w:t xml:space="preserve"> are </w:t>
      </w:r>
      <w:r w:rsidR="0052714D">
        <w:rPr>
          <w:rFonts w:ascii="Times New Roman" w:hAnsi="Times New Roman" w:cs="Times New Roman"/>
          <w:sz w:val="24"/>
          <w:szCs w:val="24"/>
        </w:rPr>
        <w:t xml:space="preserve">also </w:t>
      </w:r>
      <w:r w:rsidRPr="00AD3B8B">
        <w:rPr>
          <w:rFonts w:ascii="Times New Roman" w:hAnsi="Times New Roman" w:cs="Times New Roman"/>
          <w:sz w:val="24"/>
          <w:szCs w:val="24"/>
        </w:rPr>
        <w:t xml:space="preserve">easily killed by fire, </w:t>
      </w:r>
      <w:r w:rsidR="0052714D">
        <w:rPr>
          <w:rFonts w:ascii="Times New Roman" w:hAnsi="Times New Roman" w:cs="Times New Roman"/>
          <w:sz w:val="24"/>
          <w:szCs w:val="24"/>
        </w:rPr>
        <w:t xml:space="preserve">but these species </w:t>
      </w:r>
      <w:r w:rsidRPr="00AD3B8B">
        <w:rPr>
          <w:rFonts w:ascii="Times New Roman" w:hAnsi="Times New Roman" w:cs="Times New Roman"/>
          <w:sz w:val="24"/>
          <w:szCs w:val="24"/>
        </w:rPr>
        <w:t xml:space="preserve">cannot resprout after wildfire, and therefore cannot persist in severely burned areas (Veblen et al. 2003). </w:t>
      </w:r>
      <w:r w:rsidR="0052714D">
        <w:rPr>
          <w:rFonts w:ascii="Times New Roman" w:hAnsi="Times New Roman" w:cs="Times New Roman"/>
          <w:sz w:val="24"/>
          <w:szCs w:val="24"/>
        </w:rPr>
        <w:t xml:space="preserve">Seeds of </w:t>
      </w:r>
      <w:r w:rsidR="0052714D" w:rsidRPr="00AD3B8B">
        <w:rPr>
          <w:rFonts w:ascii="Times New Roman" w:hAnsi="Times New Roman" w:cs="Times New Roman"/>
          <w:i/>
          <w:iCs/>
          <w:sz w:val="24"/>
          <w:szCs w:val="24"/>
        </w:rPr>
        <w:t>N. dombeyi</w:t>
      </w:r>
      <w:r w:rsidR="0052714D" w:rsidRPr="00AD3B8B">
        <w:rPr>
          <w:rFonts w:ascii="Times New Roman" w:hAnsi="Times New Roman" w:cs="Times New Roman"/>
          <w:sz w:val="24"/>
          <w:szCs w:val="24"/>
        </w:rPr>
        <w:t xml:space="preserve"> and </w:t>
      </w:r>
      <w:r w:rsidR="0052714D" w:rsidRPr="00AD3B8B">
        <w:rPr>
          <w:rFonts w:ascii="Times New Roman" w:hAnsi="Times New Roman" w:cs="Times New Roman"/>
          <w:i/>
          <w:iCs/>
          <w:sz w:val="24"/>
          <w:szCs w:val="24"/>
        </w:rPr>
        <w:t>N. pumilio</w:t>
      </w:r>
      <w:r w:rsidR="0052714D" w:rsidRPr="00AD3B8B">
        <w:rPr>
          <w:rFonts w:ascii="Times New Roman" w:hAnsi="Times New Roman" w:cs="Times New Roman"/>
          <w:sz w:val="24"/>
          <w:szCs w:val="24"/>
        </w:rPr>
        <w:t xml:space="preserve"> </w:t>
      </w:r>
      <w:r w:rsidR="0052714D">
        <w:rPr>
          <w:rFonts w:ascii="Times New Roman" w:hAnsi="Times New Roman" w:cs="Times New Roman"/>
          <w:sz w:val="24"/>
          <w:szCs w:val="24"/>
        </w:rPr>
        <w:t>h</w:t>
      </w:r>
      <w:r w:rsidRPr="00AD3B8B">
        <w:rPr>
          <w:rFonts w:ascii="Times New Roman" w:hAnsi="Times New Roman" w:cs="Times New Roman"/>
          <w:sz w:val="24"/>
          <w:szCs w:val="24"/>
        </w:rPr>
        <w:t xml:space="preserve">owever, can colonize if there are surviving </w:t>
      </w:r>
      <w:r w:rsidR="0052714D">
        <w:rPr>
          <w:rFonts w:ascii="Times New Roman" w:hAnsi="Times New Roman" w:cs="Times New Roman"/>
          <w:sz w:val="24"/>
          <w:szCs w:val="24"/>
        </w:rPr>
        <w:t xml:space="preserve">seed-bearing </w:t>
      </w:r>
      <w:r w:rsidRPr="00AD3B8B">
        <w:rPr>
          <w:rFonts w:ascii="Times New Roman" w:hAnsi="Times New Roman" w:cs="Times New Roman"/>
          <w:sz w:val="24"/>
          <w:szCs w:val="24"/>
        </w:rPr>
        <w:t xml:space="preserve">trees within </w:t>
      </w:r>
      <w:r w:rsidR="0052714D">
        <w:rPr>
          <w:rFonts w:ascii="Times New Roman" w:hAnsi="Times New Roman" w:cs="Times New Roman"/>
          <w:sz w:val="24"/>
          <w:szCs w:val="24"/>
        </w:rPr>
        <w:t>fire refugia and/or at the burn perimeter</w:t>
      </w:r>
      <w:r w:rsidRPr="00AD3B8B">
        <w:rPr>
          <w:rFonts w:ascii="Times New Roman" w:hAnsi="Times New Roman" w:cs="Times New Roman"/>
          <w:sz w:val="24"/>
          <w:szCs w:val="24"/>
        </w:rPr>
        <w:t xml:space="preserve"> </w:t>
      </w:r>
      <w:r w:rsidR="0052714D">
        <w:rPr>
          <w:rFonts w:ascii="Times New Roman" w:hAnsi="Times New Roman" w:cs="Times New Roman"/>
          <w:sz w:val="24"/>
          <w:szCs w:val="24"/>
        </w:rPr>
        <w:t xml:space="preserve">if </w:t>
      </w:r>
      <w:r w:rsidRPr="00AD3B8B">
        <w:rPr>
          <w:rFonts w:ascii="Times New Roman" w:hAnsi="Times New Roman" w:cs="Times New Roman"/>
          <w:sz w:val="24"/>
          <w:szCs w:val="24"/>
        </w:rPr>
        <w:t>the distance</w:t>
      </w:r>
      <w:r w:rsidR="00364137">
        <w:rPr>
          <w:rFonts w:ascii="Times New Roman" w:hAnsi="Times New Roman" w:cs="Times New Roman"/>
          <w:sz w:val="24"/>
          <w:szCs w:val="24"/>
        </w:rPr>
        <w:t>s</w:t>
      </w:r>
      <w:r w:rsidRPr="00AD3B8B">
        <w:rPr>
          <w:rFonts w:ascii="Times New Roman" w:hAnsi="Times New Roman" w:cs="Times New Roman"/>
          <w:sz w:val="24"/>
          <w:szCs w:val="24"/>
        </w:rPr>
        <w:t xml:space="preserve"> from seed-bearing trees are not </w:t>
      </w:r>
      <w:r w:rsidR="00364137">
        <w:rPr>
          <w:rFonts w:ascii="Times New Roman" w:hAnsi="Times New Roman" w:cs="Times New Roman"/>
          <w:sz w:val="24"/>
          <w:szCs w:val="24"/>
        </w:rPr>
        <w:t>great</w:t>
      </w:r>
      <w:r w:rsidRPr="00AD3B8B">
        <w:rPr>
          <w:rFonts w:ascii="Times New Roman" w:hAnsi="Times New Roman" w:cs="Times New Roman"/>
          <w:sz w:val="24"/>
          <w:szCs w:val="24"/>
        </w:rPr>
        <w:t xml:space="preserve">er than their dispersal range (Kitzberger and Veblen 1999; Veblen et al. 2003; Urretavizcaya et al. 2022). Although we observed </w:t>
      </w:r>
      <w:r w:rsidR="0052714D">
        <w:rPr>
          <w:rFonts w:ascii="Times New Roman" w:hAnsi="Times New Roman" w:cs="Times New Roman"/>
          <w:sz w:val="24"/>
          <w:szCs w:val="24"/>
        </w:rPr>
        <w:t>rare</w:t>
      </w:r>
      <w:r w:rsidR="0052714D" w:rsidRPr="00AD3B8B">
        <w:rPr>
          <w:rFonts w:ascii="Times New Roman" w:hAnsi="Times New Roman" w:cs="Times New Roman"/>
          <w:sz w:val="24"/>
          <w:szCs w:val="24"/>
        </w:rPr>
        <w:t xml:space="preserve"> </w:t>
      </w:r>
      <w:r w:rsidRPr="00AD3B8B">
        <w:rPr>
          <w:rFonts w:ascii="Times New Roman" w:hAnsi="Times New Roman" w:cs="Times New Roman"/>
          <w:sz w:val="24"/>
          <w:szCs w:val="24"/>
        </w:rPr>
        <w:t>resprouts of these species (</w:t>
      </w:r>
      <w:r w:rsidRPr="00AD3B8B">
        <w:rPr>
          <w:rFonts w:ascii="Times New Roman" w:hAnsi="Times New Roman" w:cs="Times New Roman"/>
          <w:i/>
          <w:iCs/>
          <w:sz w:val="24"/>
          <w:szCs w:val="24"/>
        </w:rPr>
        <w:t>N. dombeyi, N. pumilio</w:t>
      </w:r>
      <w:r w:rsidRPr="00AD3B8B">
        <w:rPr>
          <w:rFonts w:ascii="Times New Roman" w:hAnsi="Times New Roman" w:cs="Times New Roman"/>
          <w:sz w:val="24"/>
          <w:szCs w:val="24"/>
        </w:rPr>
        <w:t xml:space="preserve">) within our study areas, these resprouts </w:t>
      </w:r>
      <w:r w:rsidR="0052714D">
        <w:rPr>
          <w:rFonts w:ascii="Times New Roman" w:hAnsi="Times New Roman" w:cs="Times New Roman"/>
          <w:sz w:val="24"/>
          <w:szCs w:val="24"/>
        </w:rPr>
        <w:t xml:space="preserve">are uncommon and </w:t>
      </w:r>
      <w:r w:rsidR="00364137">
        <w:rPr>
          <w:rFonts w:ascii="Times New Roman" w:hAnsi="Times New Roman" w:cs="Times New Roman"/>
          <w:sz w:val="24"/>
          <w:szCs w:val="24"/>
        </w:rPr>
        <w:t>did not appear to be a response to fire damage</w:t>
      </w:r>
      <w:r w:rsidRPr="00AD3B8B">
        <w:rPr>
          <w:rFonts w:ascii="Times New Roman" w:hAnsi="Times New Roman" w:cs="Times New Roman"/>
          <w:sz w:val="24"/>
          <w:szCs w:val="24"/>
        </w:rPr>
        <w:t xml:space="preserve">. </w:t>
      </w:r>
      <w:r w:rsidRPr="00AD3B8B">
        <w:rPr>
          <w:rFonts w:ascii="Times New Roman" w:hAnsi="Times New Roman" w:cs="Times New Roman"/>
          <w:i/>
          <w:iCs/>
          <w:sz w:val="24"/>
          <w:szCs w:val="24"/>
        </w:rPr>
        <w:t>N. pumilio</w:t>
      </w:r>
      <w:r w:rsidRPr="00AD3B8B">
        <w:rPr>
          <w:rFonts w:ascii="Times New Roman" w:hAnsi="Times New Roman" w:cs="Times New Roman"/>
          <w:sz w:val="24"/>
          <w:szCs w:val="24"/>
        </w:rPr>
        <w:t xml:space="preserve"> may produce basal shoots when a tree experiences damage or vertical growth from fallen trees in areas disturbed by winds</w:t>
      </w:r>
      <w:r w:rsidR="00364137">
        <w:rPr>
          <w:rFonts w:ascii="Times New Roman" w:hAnsi="Times New Roman" w:cs="Times New Roman"/>
          <w:sz w:val="24"/>
          <w:szCs w:val="24"/>
        </w:rPr>
        <w:t xml:space="preserve"> (</w:t>
      </w:r>
      <w:r w:rsidR="00364137" w:rsidRPr="00AD3B8B">
        <w:rPr>
          <w:rFonts w:ascii="Times New Roman" w:hAnsi="Times New Roman" w:cs="Times New Roman"/>
          <w:sz w:val="24"/>
          <w:szCs w:val="24"/>
        </w:rPr>
        <w:t>Veblen et al. 1996</w:t>
      </w:r>
      <w:r w:rsidR="003F2E58">
        <w:rPr>
          <w:rFonts w:ascii="Times New Roman" w:hAnsi="Times New Roman" w:cs="Times New Roman"/>
          <w:sz w:val="24"/>
          <w:szCs w:val="24"/>
        </w:rPr>
        <w:t>;</w:t>
      </w:r>
      <w:r w:rsidR="00364137" w:rsidRPr="00AD3B8B">
        <w:rPr>
          <w:rFonts w:ascii="Times New Roman" w:hAnsi="Times New Roman" w:cs="Times New Roman"/>
          <w:sz w:val="24"/>
          <w:szCs w:val="24"/>
        </w:rPr>
        <w:t xml:space="preserve"> Barrera et al. 2000)</w:t>
      </w:r>
      <w:r w:rsidRPr="00AD3B8B">
        <w:rPr>
          <w:rFonts w:ascii="Times New Roman" w:hAnsi="Times New Roman" w:cs="Times New Roman"/>
          <w:sz w:val="24"/>
          <w:szCs w:val="24"/>
        </w:rPr>
        <w:t xml:space="preserve"> which may explain our observations. Given that </w:t>
      </w:r>
      <w:r w:rsidRPr="00AD3B8B">
        <w:rPr>
          <w:rFonts w:ascii="Times New Roman" w:hAnsi="Times New Roman" w:cs="Times New Roman"/>
          <w:i/>
          <w:iCs/>
          <w:sz w:val="24"/>
          <w:szCs w:val="24"/>
        </w:rPr>
        <w:t>N. dombeyi</w:t>
      </w:r>
      <w:r w:rsidRPr="00AD3B8B">
        <w:rPr>
          <w:rFonts w:ascii="Times New Roman" w:hAnsi="Times New Roman" w:cs="Times New Roman"/>
          <w:sz w:val="24"/>
          <w:szCs w:val="24"/>
        </w:rPr>
        <w:t xml:space="preserve"> and </w:t>
      </w:r>
      <w:r w:rsidRPr="00AD3B8B">
        <w:rPr>
          <w:rFonts w:ascii="Times New Roman" w:hAnsi="Times New Roman" w:cs="Times New Roman"/>
          <w:i/>
          <w:iCs/>
          <w:sz w:val="24"/>
          <w:szCs w:val="24"/>
        </w:rPr>
        <w:t>N. pumilio</w:t>
      </w:r>
      <w:r w:rsidRPr="00AD3B8B">
        <w:rPr>
          <w:rFonts w:ascii="Times New Roman" w:hAnsi="Times New Roman" w:cs="Times New Roman"/>
          <w:sz w:val="24"/>
          <w:szCs w:val="24"/>
        </w:rPr>
        <w:t xml:space="preserve"> do not resprout after fire </w:t>
      </w:r>
      <w:r w:rsidR="003F2E58">
        <w:rPr>
          <w:rFonts w:ascii="Times New Roman" w:hAnsi="Times New Roman" w:cs="Times New Roman"/>
          <w:sz w:val="24"/>
          <w:szCs w:val="24"/>
        </w:rPr>
        <w:t>and that</w:t>
      </w:r>
      <w:r w:rsidRPr="00AD3B8B">
        <w:rPr>
          <w:rFonts w:ascii="Times New Roman" w:hAnsi="Times New Roman" w:cs="Times New Roman"/>
          <w:sz w:val="24"/>
          <w:szCs w:val="24"/>
        </w:rPr>
        <w:t xml:space="preserve"> seedlings </w:t>
      </w:r>
      <w:r w:rsidR="003F2E58">
        <w:rPr>
          <w:rFonts w:ascii="Times New Roman" w:hAnsi="Times New Roman" w:cs="Times New Roman"/>
          <w:sz w:val="24"/>
          <w:szCs w:val="24"/>
        </w:rPr>
        <w:t>can</w:t>
      </w:r>
      <w:r w:rsidRPr="00AD3B8B">
        <w:rPr>
          <w:rFonts w:ascii="Times New Roman" w:hAnsi="Times New Roman" w:cs="Times New Roman"/>
          <w:sz w:val="24"/>
          <w:szCs w:val="24"/>
        </w:rPr>
        <w:t xml:space="preserve"> colonize severely burned areas by dispersal from unburned patches, we consider that </w:t>
      </w:r>
      <w:r w:rsidR="003F2E58">
        <w:rPr>
          <w:rFonts w:ascii="Times New Roman" w:hAnsi="Times New Roman" w:cs="Times New Roman"/>
          <w:sz w:val="24"/>
          <w:szCs w:val="24"/>
        </w:rPr>
        <w:t xml:space="preserve">in the framework </w:t>
      </w:r>
      <w:r w:rsidR="00CD1BE7">
        <w:rPr>
          <w:rFonts w:ascii="Times New Roman" w:hAnsi="Times New Roman" w:cs="Times New Roman"/>
          <w:sz w:val="24"/>
          <w:szCs w:val="24"/>
        </w:rPr>
        <w:t xml:space="preserve">of </w:t>
      </w:r>
      <w:r w:rsidR="00CD1BE7" w:rsidRPr="00AD3B8B">
        <w:rPr>
          <w:rFonts w:ascii="Times New Roman" w:hAnsi="Times New Roman" w:cs="Times New Roman"/>
          <w:sz w:val="24"/>
          <w:szCs w:val="24"/>
        </w:rPr>
        <w:t>Prior</w:t>
      </w:r>
      <w:r w:rsidR="003F2E58" w:rsidRPr="00AD3B8B">
        <w:rPr>
          <w:rFonts w:ascii="Times New Roman" w:hAnsi="Times New Roman" w:cs="Times New Roman"/>
          <w:sz w:val="24"/>
          <w:szCs w:val="24"/>
        </w:rPr>
        <w:t xml:space="preserve"> and Bowman (2020)</w:t>
      </w:r>
      <w:r w:rsidR="003F2E58">
        <w:rPr>
          <w:rFonts w:ascii="Times New Roman" w:hAnsi="Times New Roman" w:cs="Times New Roman"/>
          <w:sz w:val="24"/>
          <w:szCs w:val="24"/>
        </w:rPr>
        <w:t xml:space="preserve"> </w:t>
      </w:r>
      <w:r w:rsidRPr="00AD3B8B">
        <w:rPr>
          <w:rFonts w:ascii="Times New Roman" w:hAnsi="Times New Roman" w:cs="Times New Roman"/>
          <w:sz w:val="24"/>
          <w:szCs w:val="24"/>
        </w:rPr>
        <w:t>post-fire obligate colonizer (PFOC) is the most suitable classification for these species.</w:t>
      </w:r>
      <w:r w:rsidR="00FF7B45" w:rsidRPr="00FF7B45">
        <w:rPr>
          <w:rFonts w:ascii="Times New Roman" w:hAnsi="Times New Roman" w:cs="Times New Roman"/>
          <w:sz w:val="24"/>
          <w:szCs w:val="24"/>
        </w:rPr>
        <w:t xml:space="preserve"> </w:t>
      </w:r>
      <w:r w:rsidR="00FF7B45">
        <w:rPr>
          <w:rFonts w:ascii="Times New Roman" w:hAnsi="Times New Roman" w:cs="Times New Roman"/>
          <w:sz w:val="24"/>
          <w:szCs w:val="24"/>
        </w:rPr>
        <w:t>Finally, and although all of these five tree species have masting seeding cycles, f</w:t>
      </w:r>
      <w:r w:rsidR="00FF7B45" w:rsidRPr="00AD3B8B">
        <w:rPr>
          <w:rFonts w:ascii="Times New Roman" w:hAnsi="Times New Roman" w:cs="Times New Roman"/>
          <w:sz w:val="24"/>
          <w:szCs w:val="24"/>
        </w:rPr>
        <w:t xml:space="preserve">ire does not stimulate </w:t>
      </w:r>
      <w:r w:rsidR="00FF7B45">
        <w:rPr>
          <w:rFonts w:ascii="Times New Roman" w:hAnsi="Times New Roman" w:cs="Times New Roman"/>
          <w:sz w:val="24"/>
          <w:szCs w:val="24"/>
        </w:rPr>
        <w:t xml:space="preserve">high </w:t>
      </w:r>
      <w:r w:rsidR="00FF7B45" w:rsidRPr="00AD3B8B">
        <w:rPr>
          <w:rFonts w:ascii="Times New Roman" w:hAnsi="Times New Roman" w:cs="Times New Roman"/>
          <w:sz w:val="24"/>
          <w:szCs w:val="24"/>
        </w:rPr>
        <w:t xml:space="preserve">production of seed of </w:t>
      </w:r>
      <w:r w:rsidR="00FF7B45">
        <w:rPr>
          <w:rFonts w:ascii="Times New Roman" w:hAnsi="Times New Roman" w:cs="Times New Roman"/>
          <w:sz w:val="24"/>
          <w:szCs w:val="24"/>
        </w:rPr>
        <w:t xml:space="preserve">any of </w:t>
      </w:r>
      <w:r w:rsidR="00FF7B45" w:rsidRPr="00AD3B8B">
        <w:rPr>
          <w:rFonts w:ascii="Times New Roman" w:hAnsi="Times New Roman" w:cs="Times New Roman"/>
          <w:sz w:val="24"/>
          <w:szCs w:val="24"/>
        </w:rPr>
        <w:t>these species (</w:t>
      </w:r>
      <w:r w:rsidR="00AF6214">
        <w:rPr>
          <w:rFonts w:ascii="Times New Roman" w:hAnsi="Times New Roman" w:cs="Times New Roman"/>
          <w:sz w:val="24"/>
          <w:szCs w:val="24"/>
        </w:rPr>
        <w:t xml:space="preserve">Veblen et al. 1996, 2003; </w:t>
      </w:r>
      <w:r w:rsidR="00FF7B45" w:rsidRPr="00AD3B8B">
        <w:rPr>
          <w:rFonts w:ascii="Times New Roman" w:hAnsi="Times New Roman" w:cs="Times New Roman"/>
          <w:sz w:val="24"/>
          <w:szCs w:val="24"/>
        </w:rPr>
        <w:t>Donoso et al. 2006b; González et al. 2013a; Fajardo et al. 2016; Urretavizcaya et al. 2022).</w:t>
      </w:r>
    </w:p>
    <w:p w14:paraId="009791C7" w14:textId="77777777" w:rsidR="002D1D69" w:rsidRPr="00AD3B8B" w:rsidRDefault="002D1D69" w:rsidP="006628B6">
      <w:pPr>
        <w:spacing w:after="0" w:line="276" w:lineRule="auto"/>
        <w:ind w:firstLine="720"/>
        <w:jc w:val="both"/>
        <w:rPr>
          <w:rFonts w:ascii="Times New Roman" w:hAnsi="Times New Roman" w:cs="Times New Roman"/>
          <w:sz w:val="24"/>
          <w:szCs w:val="24"/>
        </w:rPr>
      </w:pPr>
    </w:p>
    <w:p w14:paraId="4C5C1196" w14:textId="77777777" w:rsidR="006628B6" w:rsidRPr="00AD3B8B" w:rsidRDefault="006628B6" w:rsidP="006628B6">
      <w:pPr>
        <w:spacing w:after="0" w:line="240" w:lineRule="auto"/>
        <w:ind w:firstLine="720"/>
        <w:jc w:val="both"/>
        <w:rPr>
          <w:rFonts w:ascii="Times New Roman" w:hAnsi="Times New Roman" w:cs="Times New Roman"/>
        </w:rPr>
      </w:pPr>
    </w:p>
    <w:p w14:paraId="031B8143" w14:textId="77777777" w:rsidR="006628B6" w:rsidRPr="0003365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rPr>
        <w:t>Barrera, M. D., Frangi, J. L., Richter, L. L., Perdomo, M. H., and Pinedo, L. B. (2000). Structural and functional changes in Nothofagus pumilio forests along an altitudinal gradient in Tierra del Fuego, Argentina. J. Veg. Sci. 11, 179–188. doi: 10.2307/3236797.</w:t>
      </w:r>
    </w:p>
    <w:p w14:paraId="513A8BAE" w14:textId="77777777" w:rsidR="006628B6" w:rsidRPr="0003365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rPr>
        <w:t>Burns, B. R. (1993). Fire-Induced Dynamics of Araucaria araucana-Nothofagus antarctica Forest in the Southern Andes. J. Biogeogr. 20, 669–685. doi: 10.2307/2845522.</w:t>
      </w:r>
    </w:p>
    <w:p w14:paraId="4E0D6FB9" w14:textId="77777777" w:rsidR="006628B6" w:rsidRPr="0003365F" w:rsidRDefault="006628B6" w:rsidP="00C61BD0">
      <w:pPr>
        <w:spacing w:after="0" w:line="276" w:lineRule="auto"/>
        <w:ind w:left="720" w:hanging="720"/>
        <w:jc w:val="both"/>
        <w:rPr>
          <w:rFonts w:ascii="Times New Roman" w:hAnsi="Times New Roman" w:cs="Times New Roman"/>
          <w:lang w:val="es-CL"/>
        </w:rPr>
      </w:pPr>
      <w:r w:rsidRPr="0003365F">
        <w:rPr>
          <w:rFonts w:ascii="Times New Roman" w:hAnsi="Times New Roman" w:cs="Times New Roman"/>
        </w:rPr>
        <w:t xml:space="preserve">Clarke, P. J., Lawes, M. J., Murphy, B. P., Russell-Smith, J., Nano, C. E. M., Bradstock, R., et al. (2015). A synthesis of postfire recovery traits of woody plants in Australian ecosystems. </w:t>
      </w:r>
      <w:r w:rsidRPr="0003365F">
        <w:rPr>
          <w:rFonts w:ascii="Times New Roman" w:hAnsi="Times New Roman" w:cs="Times New Roman"/>
          <w:lang w:val="es-CL"/>
        </w:rPr>
        <w:t>Sci. Total Environ. 534, 31–42. doi: 10.1016/j.scitotenv.2015.04.002.</w:t>
      </w:r>
    </w:p>
    <w:p w14:paraId="7483F10F" w14:textId="77777777" w:rsidR="006628B6" w:rsidRPr="0003365F" w:rsidRDefault="006628B6" w:rsidP="00C61BD0">
      <w:pPr>
        <w:spacing w:after="0" w:line="276" w:lineRule="auto"/>
        <w:ind w:left="720" w:hanging="720"/>
        <w:jc w:val="both"/>
        <w:rPr>
          <w:rFonts w:ascii="Times New Roman" w:hAnsi="Times New Roman" w:cs="Times New Roman"/>
          <w:lang w:val="es-CL"/>
        </w:rPr>
      </w:pPr>
      <w:r w:rsidRPr="0003365F">
        <w:rPr>
          <w:rFonts w:ascii="Times New Roman" w:hAnsi="Times New Roman" w:cs="Times New Roman"/>
          <w:lang w:val="es-CL"/>
        </w:rPr>
        <w:t>Donoso, P., Donoso, C., Gallo, L., Azpilicueta, M., Baldini, A., and Escobar, B. (2006a). “Nothofagus obliqua,” in Las especies arbóreas de los bosques templados de Chile y Argentina. Autoecología. (Valdivia, Chile), 471–485.</w:t>
      </w:r>
    </w:p>
    <w:p w14:paraId="04C3B906" w14:textId="77777777" w:rsidR="006628B6" w:rsidRPr="0066006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lang w:val="es-CL"/>
        </w:rPr>
        <w:t xml:space="preserve">Donoso, P., Donoso, C., Navarro, C., and Escobar, B. (2006b). “Nothofagus dombeyi,” in Las especies arbóreas de los bosques templados de Chile y Argentina. </w:t>
      </w:r>
      <w:r w:rsidRPr="0066006F">
        <w:rPr>
          <w:rFonts w:ascii="Times New Roman" w:hAnsi="Times New Roman" w:cs="Times New Roman"/>
        </w:rPr>
        <w:t>Autoecología. (Valdivia, Chile), 423–432.</w:t>
      </w:r>
    </w:p>
    <w:p w14:paraId="639DD64C" w14:textId="77777777" w:rsidR="006628B6" w:rsidRPr="0003365F" w:rsidRDefault="006628B6" w:rsidP="00C61BD0">
      <w:pPr>
        <w:spacing w:after="0" w:line="276" w:lineRule="auto"/>
        <w:ind w:left="720" w:hanging="720"/>
        <w:jc w:val="both"/>
        <w:rPr>
          <w:rFonts w:ascii="Times New Roman" w:hAnsi="Times New Roman" w:cs="Times New Roman"/>
          <w:lang w:val="es-CL"/>
        </w:rPr>
      </w:pPr>
      <w:r w:rsidRPr="0066006F">
        <w:rPr>
          <w:rFonts w:ascii="Times New Roman" w:hAnsi="Times New Roman" w:cs="Times New Roman"/>
        </w:rPr>
        <w:t xml:space="preserve">Fajardo, A., Torres-Díaz, C., and Till-Bottraud, I. (2016). </w:t>
      </w:r>
      <w:r w:rsidRPr="0003365F">
        <w:rPr>
          <w:rFonts w:ascii="Times New Roman" w:hAnsi="Times New Roman" w:cs="Times New Roman"/>
        </w:rPr>
        <w:t xml:space="preserve">Disturbance and density-dependent processes (competition and facilitation) influence the fine-scale genetic structure of a tree species’ population. </w:t>
      </w:r>
      <w:r w:rsidRPr="0003365F">
        <w:rPr>
          <w:rFonts w:ascii="Times New Roman" w:hAnsi="Times New Roman" w:cs="Times New Roman"/>
          <w:lang w:val="es-CL"/>
        </w:rPr>
        <w:t>Ann. Bot. 117, 67–77. doi: 10.1093/aob/mcv148.</w:t>
      </w:r>
    </w:p>
    <w:p w14:paraId="75B407A0" w14:textId="77777777" w:rsidR="006628B6" w:rsidRPr="0003365F" w:rsidRDefault="006628B6" w:rsidP="00C61BD0">
      <w:pPr>
        <w:spacing w:after="0" w:line="276" w:lineRule="auto"/>
        <w:ind w:left="720" w:hanging="720"/>
        <w:jc w:val="both"/>
        <w:rPr>
          <w:rFonts w:ascii="Times New Roman" w:hAnsi="Times New Roman" w:cs="Times New Roman"/>
          <w:lang w:val="es-CL"/>
        </w:rPr>
      </w:pPr>
      <w:r w:rsidRPr="0003365F">
        <w:rPr>
          <w:rFonts w:ascii="Times New Roman" w:hAnsi="Times New Roman" w:cs="Times New Roman"/>
          <w:lang w:val="es-CL"/>
        </w:rPr>
        <w:lastRenderedPageBreak/>
        <w:t>González, M., Donoso, C., Ovalle, P., and Martinez-Pastur, G. (2013a). “Nothofagus pumilio,” in Las especies arbóreas de los bosques templados de Chile y Argentina. Autoecología, ed. C. Donoso (Valdivia, Chile: Marisa Cuneo Ediciones), 486–500.</w:t>
      </w:r>
    </w:p>
    <w:p w14:paraId="16957991" w14:textId="77777777" w:rsidR="006628B6" w:rsidRPr="0003365F" w:rsidRDefault="006628B6" w:rsidP="00C61BD0">
      <w:pPr>
        <w:spacing w:after="0" w:line="276" w:lineRule="auto"/>
        <w:ind w:left="720" w:hanging="720"/>
        <w:jc w:val="both"/>
        <w:rPr>
          <w:rFonts w:ascii="Times New Roman" w:hAnsi="Times New Roman" w:cs="Times New Roman"/>
          <w:lang w:val="es-CL"/>
        </w:rPr>
      </w:pPr>
      <w:r w:rsidRPr="0003365F">
        <w:rPr>
          <w:rFonts w:ascii="Times New Roman" w:hAnsi="Times New Roman" w:cs="Times New Roman"/>
          <w:lang w:val="es-CL"/>
        </w:rPr>
        <w:t>González, M. E., Cortés, M., Gallo, L., Bekessy, S., and Echeverría, C. (2013b). “Coníferas Chilenas (Gimnospermas): Araucaria araucana,” in Las especies arbóreas de los bosques templados de Chile y Argentina. Autoecología, ed. C. Donoso (Valdivia, Chile: Marisa Cuneo Ediciones), 36–53.</w:t>
      </w:r>
    </w:p>
    <w:p w14:paraId="7F656DA3" w14:textId="77777777" w:rsidR="006628B6" w:rsidRPr="0003365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lang w:val="es-CL"/>
        </w:rPr>
        <w:t xml:space="preserve">González, M. E., Veblen, T. T., and Sibold, J. S. (2010). </w:t>
      </w:r>
      <w:r w:rsidRPr="0003365F">
        <w:rPr>
          <w:rFonts w:ascii="Times New Roman" w:hAnsi="Times New Roman" w:cs="Times New Roman"/>
        </w:rPr>
        <w:t>Influence of fire severity on stand development of Araucaria araucana–Nothofagus pumilio stands in the Andean cordillera of south-central Chile. Austral Ecol. 35, 597–615. doi: 10.1111/j.1442-9993.2009.02064.x.</w:t>
      </w:r>
    </w:p>
    <w:p w14:paraId="712C0EBB" w14:textId="77777777" w:rsidR="006628B6" w:rsidRPr="00602DC7" w:rsidRDefault="006628B6" w:rsidP="00C61BD0">
      <w:pPr>
        <w:spacing w:after="0" w:line="276" w:lineRule="auto"/>
        <w:ind w:left="720" w:hanging="720"/>
        <w:jc w:val="both"/>
        <w:rPr>
          <w:rFonts w:ascii="Times New Roman" w:hAnsi="Times New Roman" w:cs="Times New Roman"/>
          <w:lang w:val="fr-FR"/>
        </w:rPr>
      </w:pPr>
      <w:r w:rsidRPr="0003365F">
        <w:rPr>
          <w:rFonts w:ascii="Times New Roman" w:hAnsi="Times New Roman" w:cs="Times New Roman"/>
        </w:rPr>
        <w:t xml:space="preserve">Kitzberger, T., and Veblen, T. T. (1999). Fire-induced changes in northern Patagonian landscapes. </w:t>
      </w:r>
      <w:r w:rsidRPr="00602DC7">
        <w:rPr>
          <w:rFonts w:ascii="Times New Roman" w:hAnsi="Times New Roman" w:cs="Times New Roman"/>
          <w:lang w:val="fr-FR"/>
        </w:rPr>
        <w:t>Landsc. Ecol. 14, 1–15. doi: http://dx.doi.org/10.1023/A:1008069712826.</w:t>
      </w:r>
    </w:p>
    <w:p w14:paraId="63853F90" w14:textId="77777777" w:rsidR="006628B6" w:rsidRPr="0003365F" w:rsidRDefault="006628B6" w:rsidP="00C61BD0">
      <w:pPr>
        <w:spacing w:after="0" w:line="276" w:lineRule="auto"/>
        <w:ind w:left="720" w:hanging="720"/>
        <w:jc w:val="both"/>
        <w:rPr>
          <w:rFonts w:ascii="Times New Roman" w:hAnsi="Times New Roman" w:cs="Times New Roman"/>
        </w:rPr>
      </w:pPr>
      <w:r w:rsidRPr="00602DC7">
        <w:rPr>
          <w:rFonts w:ascii="Times New Roman" w:hAnsi="Times New Roman" w:cs="Times New Roman"/>
          <w:lang w:val="fr-FR"/>
        </w:rPr>
        <w:t xml:space="preserve">Mundo, I. A., Villalba, R., Veblen, T. T., Kitzberger, T., Holz, A., Paritsis, J., et al. </w:t>
      </w:r>
      <w:r w:rsidRPr="0003365F">
        <w:rPr>
          <w:rFonts w:ascii="Times New Roman" w:hAnsi="Times New Roman" w:cs="Times New Roman"/>
        </w:rPr>
        <w:t>(2017). Fire history in southern Patagonia: human and climate influences on fire activity in Nothofagus pumilio forests. Ecosphere 8, e01932. doi: 10.1002/ecs2.1932.</w:t>
      </w:r>
    </w:p>
    <w:p w14:paraId="09E46DDA" w14:textId="77777777" w:rsidR="006628B6" w:rsidRPr="0003365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rPr>
        <w:t>Paritsis, J., Veblen, T. T., Holz, A., and Gilliam, F. (2015). Positive fire feedbacks contribute to shifts from Nothofagus pumilio forests to fire-prone shrublands in Patagonia. J. Veg. Sci. 26, 89–101. doi: 10.1111/jvs.12225.</w:t>
      </w:r>
    </w:p>
    <w:p w14:paraId="1B570550" w14:textId="341FC322" w:rsidR="006628B6" w:rsidRPr="0003365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rPr>
        <w:t>Pausas, J. G., Bradstock, R. A., Keith, D. A., Keeley, J. E., and Network, T. G. (Global C. of T. E. F.</w:t>
      </w:r>
      <w:r w:rsidR="00FD1A9D">
        <w:rPr>
          <w:rFonts w:ascii="Times New Roman" w:hAnsi="Times New Roman" w:cs="Times New Roman"/>
        </w:rPr>
        <w:t>)</w:t>
      </w:r>
      <w:r w:rsidRPr="0003365F">
        <w:rPr>
          <w:rFonts w:ascii="Times New Roman" w:hAnsi="Times New Roman" w:cs="Times New Roman"/>
        </w:rPr>
        <w:t xml:space="preserve"> (2004). Plant Functional Traits in Relation to Fire in Crown-Fire Ecosystems. Ecology 85, 1085–1100.</w:t>
      </w:r>
    </w:p>
    <w:p w14:paraId="74737B9E" w14:textId="77777777" w:rsidR="006628B6" w:rsidRPr="0003365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rPr>
        <w:t>Pausas, J. G., and Keeley, J. E. (2014). Evolutionary ecology of resprouting and seeding in fire-prone ecosystems. New Phytol. 204, 55–65. doi: 10.1111/nph.12921.</w:t>
      </w:r>
    </w:p>
    <w:p w14:paraId="0D5A4706" w14:textId="77777777" w:rsidR="006628B6" w:rsidRPr="0003365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rPr>
        <w:t>Prior, L. D., and Bowman, D. M. J. S. (2020). Classification of Post-Fire Responses of Woody Plants to include Pyrophobic Communities. Fire 3, 15. doi: 10.3390/fire3020015.</w:t>
      </w:r>
    </w:p>
    <w:p w14:paraId="11D6B327" w14:textId="77777777" w:rsidR="006628B6" w:rsidRPr="0003365F" w:rsidRDefault="006628B6" w:rsidP="00C61BD0">
      <w:pPr>
        <w:spacing w:after="0" w:line="276" w:lineRule="auto"/>
        <w:ind w:left="720" w:hanging="720"/>
        <w:jc w:val="both"/>
        <w:rPr>
          <w:rFonts w:ascii="Times New Roman" w:hAnsi="Times New Roman" w:cs="Times New Roman"/>
          <w:lang w:val="es-CL"/>
        </w:rPr>
      </w:pPr>
      <w:r w:rsidRPr="0003365F">
        <w:rPr>
          <w:rFonts w:ascii="Times New Roman" w:hAnsi="Times New Roman" w:cs="Times New Roman"/>
        </w:rPr>
        <w:t xml:space="preserve">Sola, G., Marchelli, P., Gallo, L., Chauchard, L., and El Mujtar, V. (2022). Stand development stages and recruitment patterns influence fine-scale spatial genetic structure in two Patagonian Nothofagus species. </w:t>
      </w:r>
      <w:r w:rsidRPr="0003365F">
        <w:rPr>
          <w:rFonts w:ascii="Times New Roman" w:hAnsi="Times New Roman" w:cs="Times New Roman"/>
          <w:lang w:val="es-CL"/>
        </w:rPr>
        <w:t>Ann. For. Sci. 79, 21. doi: 10.1186/s13595-022-01137-9.</w:t>
      </w:r>
    </w:p>
    <w:p w14:paraId="74A38A19" w14:textId="77777777" w:rsidR="006628B6" w:rsidRPr="0003365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lang w:val="es-CL"/>
        </w:rPr>
        <w:t xml:space="preserve">Urretavizcaya, M. F., Albarracín, V., Orellana, I., Rago, M. M., López Bernal, P., Monelos, L., et al. </w:t>
      </w:r>
      <w:r w:rsidRPr="0003365F">
        <w:rPr>
          <w:rFonts w:ascii="Times New Roman" w:hAnsi="Times New Roman" w:cs="Times New Roman"/>
        </w:rPr>
        <w:t>(2022). Composition and Spatial Variation of Germinable Seed Bank in Burned Nothofagus pumilio Forests in Patagonia Argentina. Forests 13, 1902. doi: 10.3390/f13111902.</w:t>
      </w:r>
    </w:p>
    <w:p w14:paraId="6368569C" w14:textId="334C3712" w:rsidR="00977A8D" w:rsidRPr="0003365F" w:rsidRDefault="00977A8D" w:rsidP="00977A8D">
      <w:pPr>
        <w:spacing w:after="0"/>
        <w:ind w:left="720" w:hanging="720"/>
        <w:rPr>
          <w:rFonts w:ascii="Times New Roman" w:hAnsi="Times New Roman" w:cs="Times New Roman"/>
        </w:rPr>
      </w:pPr>
      <w:r w:rsidRPr="0003365F">
        <w:rPr>
          <w:rFonts w:ascii="Times New Roman" w:hAnsi="Times New Roman" w:cs="Times New Roman"/>
        </w:rPr>
        <w:t>Veblen, T.</w:t>
      </w:r>
      <w:r w:rsidR="005A6F90">
        <w:rPr>
          <w:rFonts w:ascii="Times New Roman" w:hAnsi="Times New Roman" w:cs="Times New Roman"/>
        </w:rPr>
        <w:t xml:space="preserve"> </w:t>
      </w:r>
      <w:r w:rsidRPr="0003365F">
        <w:rPr>
          <w:rFonts w:ascii="Times New Roman" w:hAnsi="Times New Roman" w:cs="Times New Roman"/>
        </w:rPr>
        <w:t>T., Armesto,</w:t>
      </w:r>
      <w:r w:rsidR="005A6F90">
        <w:rPr>
          <w:rFonts w:ascii="Times New Roman" w:hAnsi="Times New Roman" w:cs="Times New Roman"/>
        </w:rPr>
        <w:t xml:space="preserve"> </w:t>
      </w:r>
      <w:r w:rsidR="005A6F90" w:rsidRPr="0003365F">
        <w:rPr>
          <w:rFonts w:ascii="Times New Roman" w:hAnsi="Times New Roman" w:cs="Times New Roman"/>
        </w:rPr>
        <w:t>J.</w:t>
      </w:r>
      <w:r w:rsidR="005A6F90">
        <w:rPr>
          <w:rFonts w:ascii="Times New Roman" w:hAnsi="Times New Roman" w:cs="Times New Roman"/>
        </w:rPr>
        <w:t xml:space="preserve"> </w:t>
      </w:r>
      <w:r w:rsidR="005A6F90" w:rsidRPr="0003365F">
        <w:rPr>
          <w:rFonts w:ascii="Times New Roman" w:hAnsi="Times New Roman" w:cs="Times New Roman"/>
        </w:rPr>
        <w:t>J.</w:t>
      </w:r>
      <w:r w:rsidR="005A6F90">
        <w:rPr>
          <w:rFonts w:ascii="Times New Roman" w:hAnsi="Times New Roman" w:cs="Times New Roman"/>
        </w:rPr>
        <w:t>,</w:t>
      </w:r>
      <w:r w:rsidRPr="0003365F">
        <w:rPr>
          <w:rFonts w:ascii="Times New Roman" w:hAnsi="Times New Roman" w:cs="Times New Roman"/>
        </w:rPr>
        <w:t xml:space="preserve"> Burns,</w:t>
      </w:r>
      <w:r w:rsidR="005A6F90" w:rsidRPr="005A6F90">
        <w:rPr>
          <w:rFonts w:ascii="Times New Roman" w:hAnsi="Times New Roman" w:cs="Times New Roman"/>
        </w:rPr>
        <w:t xml:space="preserve"> </w:t>
      </w:r>
      <w:r w:rsidR="005A6F90" w:rsidRPr="0003365F">
        <w:rPr>
          <w:rFonts w:ascii="Times New Roman" w:hAnsi="Times New Roman" w:cs="Times New Roman"/>
        </w:rPr>
        <w:t>B.</w:t>
      </w:r>
      <w:r w:rsidR="005A6F90">
        <w:rPr>
          <w:rFonts w:ascii="Times New Roman" w:hAnsi="Times New Roman" w:cs="Times New Roman"/>
        </w:rPr>
        <w:t xml:space="preserve"> </w:t>
      </w:r>
      <w:r w:rsidR="005A6F90" w:rsidRPr="0003365F">
        <w:rPr>
          <w:rFonts w:ascii="Times New Roman" w:hAnsi="Times New Roman" w:cs="Times New Roman"/>
        </w:rPr>
        <w:t>R.</w:t>
      </w:r>
      <w:r w:rsidR="005A6F90">
        <w:rPr>
          <w:rFonts w:ascii="Times New Roman" w:hAnsi="Times New Roman" w:cs="Times New Roman"/>
        </w:rPr>
        <w:t>,</w:t>
      </w:r>
      <w:r w:rsidRPr="0003365F">
        <w:rPr>
          <w:rFonts w:ascii="Times New Roman" w:hAnsi="Times New Roman" w:cs="Times New Roman"/>
        </w:rPr>
        <w:t xml:space="preserve"> Kitzberger,</w:t>
      </w:r>
      <w:r w:rsidR="005A6F90" w:rsidRPr="005A6F90">
        <w:rPr>
          <w:rFonts w:ascii="Times New Roman" w:hAnsi="Times New Roman" w:cs="Times New Roman"/>
        </w:rPr>
        <w:t xml:space="preserve"> </w:t>
      </w:r>
      <w:r w:rsidR="005A6F90" w:rsidRPr="0003365F">
        <w:rPr>
          <w:rFonts w:ascii="Times New Roman" w:hAnsi="Times New Roman" w:cs="Times New Roman"/>
        </w:rPr>
        <w:t>T.</w:t>
      </w:r>
      <w:r w:rsidR="005A6F90">
        <w:rPr>
          <w:rFonts w:ascii="Times New Roman" w:hAnsi="Times New Roman" w:cs="Times New Roman"/>
        </w:rPr>
        <w:t>,</w:t>
      </w:r>
      <w:r w:rsidRPr="0003365F">
        <w:rPr>
          <w:rFonts w:ascii="Times New Roman" w:hAnsi="Times New Roman" w:cs="Times New Roman"/>
        </w:rPr>
        <w:t xml:space="preserve"> Lara,</w:t>
      </w:r>
      <w:r w:rsidR="005A6F90">
        <w:rPr>
          <w:rFonts w:ascii="Times New Roman" w:hAnsi="Times New Roman" w:cs="Times New Roman"/>
        </w:rPr>
        <w:t xml:space="preserve"> </w:t>
      </w:r>
      <w:r w:rsidR="005A6F90" w:rsidRPr="0003365F">
        <w:rPr>
          <w:rFonts w:ascii="Times New Roman" w:hAnsi="Times New Roman" w:cs="Times New Roman"/>
        </w:rPr>
        <w:t>A.</w:t>
      </w:r>
      <w:r w:rsidR="005A6F90">
        <w:rPr>
          <w:rFonts w:ascii="Times New Roman" w:hAnsi="Times New Roman" w:cs="Times New Roman"/>
        </w:rPr>
        <w:t>,</w:t>
      </w:r>
      <w:r w:rsidRPr="0003365F">
        <w:rPr>
          <w:rFonts w:ascii="Times New Roman" w:hAnsi="Times New Roman" w:cs="Times New Roman"/>
        </w:rPr>
        <w:t xml:space="preserve"> León,</w:t>
      </w:r>
      <w:r w:rsidR="005A6F90">
        <w:rPr>
          <w:rFonts w:ascii="Times New Roman" w:hAnsi="Times New Roman" w:cs="Times New Roman"/>
        </w:rPr>
        <w:t xml:space="preserve"> </w:t>
      </w:r>
      <w:r w:rsidR="005A6F90" w:rsidRPr="0003365F">
        <w:rPr>
          <w:rFonts w:ascii="Times New Roman" w:hAnsi="Times New Roman" w:cs="Times New Roman"/>
        </w:rPr>
        <w:t>B.</w:t>
      </w:r>
      <w:r w:rsidR="005A6F90">
        <w:rPr>
          <w:rFonts w:ascii="Times New Roman" w:hAnsi="Times New Roman" w:cs="Times New Roman"/>
        </w:rPr>
        <w:t>,</w:t>
      </w:r>
      <w:r w:rsidRPr="0003365F">
        <w:rPr>
          <w:rFonts w:ascii="Times New Roman" w:hAnsi="Times New Roman" w:cs="Times New Roman"/>
        </w:rPr>
        <w:t xml:space="preserve"> and Young</w:t>
      </w:r>
      <w:r w:rsidR="005A6F90">
        <w:rPr>
          <w:rFonts w:ascii="Times New Roman" w:hAnsi="Times New Roman" w:cs="Times New Roman"/>
        </w:rPr>
        <w:t xml:space="preserve"> </w:t>
      </w:r>
      <w:r w:rsidR="005A6F90" w:rsidRPr="0003365F">
        <w:rPr>
          <w:rFonts w:ascii="Times New Roman" w:hAnsi="Times New Roman" w:cs="Times New Roman"/>
        </w:rPr>
        <w:t>K.</w:t>
      </w:r>
      <w:r w:rsidR="005A6F90">
        <w:rPr>
          <w:rFonts w:ascii="Times New Roman" w:hAnsi="Times New Roman" w:cs="Times New Roman"/>
        </w:rPr>
        <w:t xml:space="preserve"> </w:t>
      </w:r>
      <w:r w:rsidR="005A6F90" w:rsidRPr="0003365F">
        <w:rPr>
          <w:rFonts w:ascii="Times New Roman" w:hAnsi="Times New Roman" w:cs="Times New Roman"/>
        </w:rPr>
        <w:t>R</w:t>
      </w:r>
      <w:r w:rsidRPr="0003365F">
        <w:rPr>
          <w:rFonts w:ascii="Times New Roman" w:hAnsi="Times New Roman" w:cs="Times New Roman"/>
        </w:rPr>
        <w:t xml:space="preserve">. </w:t>
      </w:r>
      <w:r w:rsidR="005A6F90">
        <w:rPr>
          <w:rFonts w:ascii="Times New Roman" w:hAnsi="Times New Roman" w:cs="Times New Roman"/>
        </w:rPr>
        <w:t>(</w:t>
      </w:r>
      <w:r w:rsidRPr="0003365F">
        <w:rPr>
          <w:rFonts w:ascii="Times New Roman" w:hAnsi="Times New Roman" w:cs="Times New Roman"/>
        </w:rPr>
        <w:t>2005</w:t>
      </w:r>
      <w:r w:rsidR="005A6F90">
        <w:rPr>
          <w:rFonts w:ascii="Times New Roman" w:hAnsi="Times New Roman" w:cs="Times New Roman"/>
        </w:rPr>
        <w:t>)</w:t>
      </w:r>
      <w:r w:rsidRPr="0003365F">
        <w:rPr>
          <w:rFonts w:ascii="Times New Roman" w:hAnsi="Times New Roman" w:cs="Times New Roman"/>
        </w:rPr>
        <w:t>. The coniferous forests of South America.  Pages 701-725 in: F. Andersson and S. Gessel (eds.), Ecosystems of the World: Coniferous Forests. Elsevier, Amsterdam.</w:t>
      </w:r>
    </w:p>
    <w:p w14:paraId="40F5E45B" w14:textId="4D0C104B" w:rsidR="006628B6" w:rsidRPr="0003365F" w:rsidRDefault="00364137" w:rsidP="00C61BD0">
      <w:pPr>
        <w:spacing w:after="0" w:line="276" w:lineRule="auto"/>
        <w:ind w:left="720" w:hanging="720"/>
        <w:jc w:val="both"/>
        <w:rPr>
          <w:rFonts w:ascii="Times New Roman" w:hAnsi="Times New Roman" w:cs="Times New Roman"/>
        </w:rPr>
      </w:pPr>
      <w:r w:rsidRPr="005A6F90">
        <w:rPr>
          <w:rFonts w:ascii="Times New Roman" w:hAnsi="Times New Roman" w:cs="Times New Roman"/>
        </w:rPr>
        <w:t>Veblen, T.</w:t>
      </w:r>
      <w:r w:rsidR="005A6F90">
        <w:rPr>
          <w:rFonts w:ascii="Times New Roman" w:hAnsi="Times New Roman" w:cs="Times New Roman"/>
        </w:rPr>
        <w:t xml:space="preserve"> </w:t>
      </w:r>
      <w:r w:rsidRPr="005A6F90">
        <w:rPr>
          <w:rFonts w:ascii="Times New Roman" w:hAnsi="Times New Roman" w:cs="Times New Roman"/>
        </w:rPr>
        <w:t>T., Donoso,</w:t>
      </w:r>
      <w:r w:rsidR="005A6F90" w:rsidRPr="005A6F90">
        <w:rPr>
          <w:rFonts w:ascii="Times New Roman" w:hAnsi="Times New Roman" w:cs="Times New Roman"/>
        </w:rPr>
        <w:t xml:space="preserve"> C.,</w:t>
      </w:r>
      <w:r w:rsidRPr="005A6F90">
        <w:rPr>
          <w:rFonts w:ascii="Times New Roman" w:hAnsi="Times New Roman" w:cs="Times New Roman"/>
        </w:rPr>
        <w:t xml:space="preserve"> Kitzberger,</w:t>
      </w:r>
      <w:r w:rsidR="005A6F90" w:rsidRPr="005A6F90">
        <w:rPr>
          <w:rFonts w:ascii="Times New Roman" w:hAnsi="Times New Roman" w:cs="Times New Roman"/>
        </w:rPr>
        <w:t xml:space="preserve"> T.,</w:t>
      </w:r>
      <w:r w:rsidRPr="005A6F90">
        <w:rPr>
          <w:rFonts w:ascii="Times New Roman" w:hAnsi="Times New Roman" w:cs="Times New Roman"/>
        </w:rPr>
        <w:t xml:space="preserve"> </w:t>
      </w:r>
      <w:r w:rsidRPr="0003365F">
        <w:rPr>
          <w:rFonts w:ascii="Times New Roman" w:hAnsi="Times New Roman" w:cs="Times New Roman"/>
        </w:rPr>
        <w:t>and Rebertus</w:t>
      </w:r>
      <w:r w:rsidR="005A6F90">
        <w:rPr>
          <w:rFonts w:ascii="Times New Roman" w:hAnsi="Times New Roman" w:cs="Times New Roman"/>
        </w:rPr>
        <w:t xml:space="preserve">, </w:t>
      </w:r>
      <w:r w:rsidR="005A6F90" w:rsidRPr="0003365F">
        <w:rPr>
          <w:rFonts w:ascii="Times New Roman" w:hAnsi="Times New Roman" w:cs="Times New Roman"/>
        </w:rPr>
        <w:t>A.J.</w:t>
      </w:r>
      <w:r w:rsidR="00A37D18" w:rsidRPr="0003365F">
        <w:rPr>
          <w:rFonts w:ascii="Times New Roman" w:hAnsi="Times New Roman" w:cs="Times New Roman"/>
        </w:rPr>
        <w:t xml:space="preserve"> (</w:t>
      </w:r>
      <w:r w:rsidRPr="0003365F">
        <w:rPr>
          <w:rFonts w:ascii="Times New Roman" w:hAnsi="Times New Roman" w:cs="Times New Roman"/>
        </w:rPr>
        <w:t>1996</w:t>
      </w:r>
      <w:r w:rsidR="0003365F" w:rsidRPr="0003365F">
        <w:rPr>
          <w:rFonts w:ascii="Times New Roman" w:hAnsi="Times New Roman" w:cs="Times New Roman"/>
        </w:rPr>
        <w:t>).</w:t>
      </w:r>
      <w:r w:rsidRPr="0003365F">
        <w:rPr>
          <w:rFonts w:ascii="Times New Roman" w:hAnsi="Times New Roman" w:cs="Times New Roman"/>
        </w:rPr>
        <w:t xml:space="preserve"> Ecology of southern Chilean and Argentinean </w:t>
      </w:r>
      <w:r w:rsidRPr="0003365F">
        <w:rPr>
          <w:rFonts w:ascii="Times New Roman" w:hAnsi="Times New Roman" w:cs="Times New Roman"/>
          <w:i/>
          <w:iCs/>
        </w:rPr>
        <w:t>Nothofagus</w:t>
      </w:r>
      <w:r w:rsidRPr="0003365F">
        <w:rPr>
          <w:rFonts w:ascii="Times New Roman" w:hAnsi="Times New Roman" w:cs="Times New Roman"/>
        </w:rPr>
        <w:t xml:space="preserve"> forests. Pages 293-353 in: T.T. Veblen, R.S. Hill, and J. Read (eds.), Ecology and Biogeography of Nothofagus Forests.  Yale University Press</w:t>
      </w:r>
      <w:r w:rsidRPr="0003365F">
        <w:rPr>
          <w:rFonts w:ascii="Arial" w:hAnsi="Arial" w:cs="Arial"/>
        </w:rPr>
        <w:t>.</w:t>
      </w:r>
    </w:p>
    <w:p w14:paraId="344659E4" w14:textId="77777777" w:rsidR="006628B6" w:rsidRPr="0003365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rPr>
        <w:t>Veblen, T. T. (1982). Regeneration Patterns in Araucaria araucana Forests in Chile. J. Biogeogr. 9, 11–28. doi: 10.2307/2844727.</w:t>
      </w:r>
    </w:p>
    <w:p w14:paraId="09F349B6" w14:textId="77777777" w:rsidR="006628B6" w:rsidRPr="0003365F" w:rsidRDefault="006628B6" w:rsidP="00C61BD0">
      <w:pPr>
        <w:spacing w:after="0" w:line="276" w:lineRule="auto"/>
        <w:ind w:left="720" w:hanging="720"/>
        <w:jc w:val="both"/>
        <w:rPr>
          <w:rFonts w:ascii="Times New Roman" w:hAnsi="Times New Roman" w:cs="Times New Roman"/>
        </w:rPr>
      </w:pPr>
      <w:r w:rsidRPr="0003365F">
        <w:rPr>
          <w:rFonts w:ascii="Times New Roman" w:hAnsi="Times New Roman" w:cs="Times New Roman"/>
        </w:rPr>
        <w:t>Veblen, T. T., Kitzberger, T., Raffaele, E., and Lorenz, D. C. (2003). “Fire History and Vegetation Changes in Northern Patagonia, Argentina,” in Fire and Climatic Change in Temperate Ecosystems of the Western Americas Ecological Studies., eds. T. T. Veblen, W. L. Baker, G. Montenegro, and T. W. Swetnam (New York, NY: Springer), 265–295. doi: 10.1007/0-387-21710-X_9.</w:t>
      </w:r>
    </w:p>
    <w:p w14:paraId="09C36F36" w14:textId="77777777" w:rsidR="00A62BA6" w:rsidRPr="00AD3B8B" w:rsidRDefault="00A62BA6" w:rsidP="00C61BD0">
      <w:pPr>
        <w:spacing w:line="276" w:lineRule="auto"/>
        <w:rPr>
          <w:rFonts w:ascii="Times New Roman" w:hAnsi="Times New Roman" w:cs="Times New Roman"/>
        </w:rPr>
      </w:pPr>
    </w:p>
    <w:p w14:paraId="54998A8D" w14:textId="77777777" w:rsidR="002D1D69" w:rsidRDefault="002D1D69">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55E83CE" w14:textId="66AA2CF5" w:rsidR="00374CE5" w:rsidRDefault="00BB251E" w:rsidP="00104B77">
      <w:pPr>
        <w:jc w:val="both"/>
        <w:rPr>
          <w:rFonts w:ascii="Times New Roman" w:hAnsi="Times New Roman" w:cs="Times New Roman"/>
          <w:b/>
          <w:bCs/>
          <w:sz w:val="24"/>
          <w:szCs w:val="24"/>
        </w:rPr>
      </w:pPr>
      <w:r w:rsidRPr="00CB3B3A">
        <w:rPr>
          <w:rFonts w:ascii="Times New Roman" w:hAnsi="Times New Roman" w:cs="Times New Roman"/>
          <w:b/>
          <w:bCs/>
          <w:sz w:val="24"/>
          <w:szCs w:val="24"/>
        </w:rPr>
        <w:lastRenderedPageBreak/>
        <w:t>Figure S1</w:t>
      </w:r>
      <w:r w:rsidR="00AA2EA9">
        <w:rPr>
          <w:rFonts w:ascii="Times New Roman" w:hAnsi="Times New Roman" w:cs="Times New Roman"/>
          <w:b/>
          <w:bCs/>
          <w:sz w:val="24"/>
          <w:szCs w:val="24"/>
        </w:rPr>
        <w:t xml:space="preserve">. </w:t>
      </w:r>
      <w:bookmarkStart w:id="1" w:name="_Hlk136989187"/>
      <w:bookmarkStart w:id="2" w:name="_Hlk137113833"/>
      <w:r w:rsidR="00AA2EA9" w:rsidRPr="007E6B4A">
        <w:rPr>
          <w:rFonts w:ascii="Times New Roman" w:eastAsia="Arial" w:hAnsi="Times New Roman" w:cs="Times New Roman"/>
          <w:bCs/>
          <w:sz w:val="20"/>
          <w:szCs w:val="20"/>
        </w:rPr>
        <w:t>Post-fire tree basal area boxplots by burn severity class (20 plots/class)</w:t>
      </w:r>
      <w:r w:rsidR="00AA2EA9">
        <w:rPr>
          <w:rFonts w:ascii="Times New Roman" w:eastAsia="Arial" w:hAnsi="Times New Roman" w:cs="Times New Roman"/>
          <w:bCs/>
          <w:sz w:val="20"/>
          <w:szCs w:val="20"/>
        </w:rPr>
        <w:t>,</w:t>
      </w:r>
      <w:r w:rsidR="00AA2EA9" w:rsidRPr="007E6B4A">
        <w:rPr>
          <w:rFonts w:ascii="Times New Roman" w:eastAsia="Arial" w:hAnsi="Times New Roman" w:cs="Times New Roman"/>
          <w:bCs/>
          <w:sz w:val="20"/>
          <w:szCs w:val="20"/>
        </w:rPr>
        <w:t xml:space="preserve"> separated by study area: (A) China Muerta and (B) Malleco-Tolhuaca. Basal area of live and dead (snags and downed logs) trees are shown separately by post-fire traits of the dominant tree species: </w:t>
      </w:r>
      <w:r w:rsidR="00AA2EA9" w:rsidRPr="007E6B4A">
        <w:rPr>
          <w:rFonts w:ascii="Times New Roman" w:hAnsi="Times New Roman" w:cs="Times New Roman"/>
          <w:sz w:val="20"/>
          <w:szCs w:val="20"/>
        </w:rPr>
        <w:t xml:space="preserve">PFFRS (post-fire facultative resprouter/seeder: </w:t>
      </w:r>
      <w:r w:rsidR="00AA2EA9" w:rsidRPr="008E15C7">
        <w:rPr>
          <w:rFonts w:ascii="Times New Roman" w:hAnsi="Times New Roman" w:cs="Times New Roman"/>
          <w:i/>
          <w:iCs/>
          <w:sz w:val="20"/>
          <w:szCs w:val="20"/>
        </w:rPr>
        <w:t>A. araucana</w:t>
      </w:r>
      <w:r w:rsidR="00AA2EA9" w:rsidRPr="007E6B4A">
        <w:rPr>
          <w:rFonts w:ascii="Times New Roman" w:hAnsi="Times New Roman" w:cs="Times New Roman"/>
          <w:sz w:val="20"/>
          <w:szCs w:val="20"/>
        </w:rPr>
        <w:t xml:space="preserve">), PFOC (post-fire obligate colonizers: </w:t>
      </w:r>
      <w:r w:rsidR="00AA2EA9" w:rsidRPr="008E15C7">
        <w:rPr>
          <w:rFonts w:ascii="Times New Roman" w:hAnsi="Times New Roman" w:cs="Times New Roman"/>
          <w:i/>
          <w:iCs/>
          <w:sz w:val="20"/>
          <w:szCs w:val="20"/>
        </w:rPr>
        <w:t>N. dombeyi, N pumilio</w:t>
      </w:r>
      <w:r w:rsidR="00AA2EA9" w:rsidRPr="007E6B4A">
        <w:rPr>
          <w:rFonts w:ascii="Times New Roman" w:hAnsi="Times New Roman" w:cs="Times New Roman"/>
          <w:sz w:val="20"/>
          <w:szCs w:val="20"/>
        </w:rPr>
        <w:t xml:space="preserve">), and PFOR (post-fire obligate resprouters: </w:t>
      </w:r>
      <w:r w:rsidR="00AA2EA9" w:rsidRPr="008E15C7">
        <w:rPr>
          <w:rFonts w:ascii="Times New Roman" w:hAnsi="Times New Roman" w:cs="Times New Roman"/>
          <w:i/>
          <w:iCs/>
          <w:sz w:val="20"/>
          <w:szCs w:val="20"/>
        </w:rPr>
        <w:t>N. alpina, N. obliqua</w:t>
      </w:r>
      <w:r w:rsidR="00AA2EA9" w:rsidRPr="007E6B4A">
        <w:rPr>
          <w:rFonts w:ascii="Times New Roman" w:hAnsi="Times New Roman" w:cs="Times New Roman"/>
          <w:sz w:val="20"/>
          <w:szCs w:val="20"/>
        </w:rPr>
        <w:t>)</w:t>
      </w:r>
      <w:bookmarkEnd w:id="1"/>
      <w:bookmarkEnd w:id="2"/>
      <w:r w:rsidR="00AA2EA9" w:rsidRPr="007E6B4A">
        <w:rPr>
          <w:rFonts w:ascii="Times New Roman" w:hAnsi="Times New Roman" w:cs="Times New Roman"/>
          <w:sz w:val="20"/>
          <w:szCs w:val="20"/>
        </w:rPr>
        <w:t>.</w:t>
      </w:r>
      <w:r w:rsidR="00AA2EA9">
        <w:rPr>
          <w:rFonts w:ascii="Times New Roman" w:hAnsi="Times New Roman" w:cs="Times New Roman"/>
          <w:sz w:val="20"/>
          <w:szCs w:val="20"/>
        </w:rPr>
        <w:t xml:space="preserve"> </w:t>
      </w:r>
      <w:r w:rsidR="00AA2EA9" w:rsidRPr="005C4F89">
        <w:rPr>
          <w:rFonts w:ascii="Times New Roman" w:hAnsi="Times New Roman" w:cs="Times New Roman"/>
          <w:sz w:val="20"/>
          <w:szCs w:val="20"/>
        </w:rPr>
        <w:t xml:space="preserve">Vertical lines (whiskers) indicate variability outside of the interquartile range, thick horizontal lines represent the median, </w:t>
      </w:r>
      <w:r w:rsidR="00AA2EA9">
        <w:rPr>
          <w:rFonts w:ascii="Times New Roman" w:hAnsi="Times New Roman" w:cs="Times New Roman"/>
          <w:sz w:val="20"/>
          <w:szCs w:val="20"/>
        </w:rPr>
        <w:t xml:space="preserve">and </w:t>
      </w:r>
      <w:r w:rsidR="00AA2EA9" w:rsidRPr="005C4F89">
        <w:rPr>
          <w:rFonts w:ascii="Times New Roman" w:hAnsi="Times New Roman" w:cs="Times New Roman"/>
          <w:sz w:val="20"/>
          <w:szCs w:val="20"/>
        </w:rPr>
        <w:t>black dots are outliers.</w:t>
      </w:r>
      <w:r w:rsidR="00AA2EA9">
        <w:rPr>
          <w:rFonts w:ascii="Times New Roman" w:hAnsi="Times New Roman" w:cs="Times New Roman"/>
          <w:sz w:val="20"/>
          <w:szCs w:val="20"/>
        </w:rPr>
        <w:t xml:space="preserve"> Individual observations (points) are included to better show the distribution of basal area within each postfire regeneration-trait group.</w:t>
      </w:r>
    </w:p>
    <w:p w14:paraId="2E4DBF2C" w14:textId="66C3503C" w:rsidR="00374CE5" w:rsidRDefault="006641CF" w:rsidP="00104B77">
      <w:pPr>
        <w:jc w:val="both"/>
        <w:rPr>
          <w:rFonts w:ascii="Times New Roman" w:hAnsi="Times New Roman" w:cs="Times New Roman"/>
          <w:b/>
          <w:bCs/>
          <w:sz w:val="24"/>
          <w:szCs w:val="24"/>
        </w:rPr>
      </w:pPr>
      <w:r>
        <w:rPr>
          <w:rFonts w:ascii="Times New Roman" w:eastAsia="Arial" w:hAnsi="Times New Roman" w:cs="Times New Roman"/>
          <w:b/>
          <w:noProof/>
          <w:color w:val="000000"/>
          <w:sz w:val="20"/>
          <w:szCs w:val="20"/>
          <w:lang w:val="en-PH" w:eastAsia="en-PH"/>
          <w14:ligatures w14:val="standardContextual"/>
        </w:rPr>
        <w:drawing>
          <wp:inline distT="0" distB="0" distL="0" distR="0" wp14:anchorId="6DE9EB74" wp14:editId="41FAC34B">
            <wp:extent cx="4472868" cy="5591563"/>
            <wp:effectExtent l="0" t="0" r="4445" b="0"/>
            <wp:docPr id="1975572431"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72431" name="Picture 2" descr="A screenshot of a graph&#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95335" cy="5619649"/>
                    </a:xfrm>
                    <a:prstGeom prst="rect">
                      <a:avLst/>
                    </a:prstGeom>
                  </pic:spPr>
                </pic:pic>
              </a:graphicData>
            </a:graphic>
          </wp:inline>
        </w:drawing>
      </w:r>
    </w:p>
    <w:p w14:paraId="46AE517B" w14:textId="77777777" w:rsidR="006641CF" w:rsidRDefault="006641CF">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DC9E7E0" w14:textId="598881EF" w:rsidR="002B2675" w:rsidRDefault="002B2675" w:rsidP="00104B77">
      <w:pPr>
        <w:jc w:val="both"/>
        <w:rPr>
          <w:rFonts w:ascii="Times New Roman" w:hAnsi="Times New Roman" w:cs="Times New Roman"/>
          <w:sz w:val="24"/>
          <w:szCs w:val="24"/>
          <w:lang w:val="en-GB"/>
        </w:rPr>
      </w:pPr>
      <w:r w:rsidRPr="00CB3B3A">
        <w:rPr>
          <w:rFonts w:ascii="Times New Roman" w:hAnsi="Times New Roman" w:cs="Times New Roman"/>
          <w:b/>
          <w:bCs/>
          <w:sz w:val="24"/>
          <w:szCs w:val="24"/>
        </w:rPr>
        <w:lastRenderedPageBreak/>
        <w:t>Figure</w:t>
      </w:r>
      <w:r w:rsidR="00AD3B8B" w:rsidRPr="00CB3B3A">
        <w:rPr>
          <w:rFonts w:ascii="Times New Roman" w:hAnsi="Times New Roman" w:cs="Times New Roman"/>
          <w:b/>
          <w:bCs/>
          <w:sz w:val="24"/>
          <w:szCs w:val="24"/>
        </w:rPr>
        <w:t xml:space="preserve"> S</w:t>
      </w:r>
      <w:r w:rsidR="00AA2EA9">
        <w:rPr>
          <w:rFonts w:ascii="Times New Roman" w:hAnsi="Times New Roman" w:cs="Times New Roman"/>
          <w:b/>
          <w:bCs/>
          <w:sz w:val="24"/>
          <w:szCs w:val="24"/>
        </w:rPr>
        <w:t>2</w:t>
      </w:r>
      <w:r w:rsidR="00AD3B8B" w:rsidRPr="00CB3B3A">
        <w:rPr>
          <w:rFonts w:ascii="Times New Roman" w:hAnsi="Times New Roman" w:cs="Times New Roman"/>
          <w:b/>
          <w:bCs/>
          <w:sz w:val="24"/>
          <w:szCs w:val="24"/>
        </w:rPr>
        <w:t>.</w:t>
      </w:r>
      <w:r w:rsidR="00AD3B8B" w:rsidRPr="00104B77">
        <w:rPr>
          <w:rFonts w:ascii="Times New Roman" w:hAnsi="Times New Roman" w:cs="Times New Roman"/>
          <w:sz w:val="24"/>
          <w:szCs w:val="24"/>
        </w:rPr>
        <w:t xml:space="preserve"> </w:t>
      </w:r>
      <w:r w:rsidR="00104B77" w:rsidRPr="00104B77">
        <w:rPr>
          <w:rFonts w:ascii="Times New Roman" w:hAnsi="Times New Roman" w:cs="Times New Roman"/>
          <w:sz w:val="24"/>
          <w:szCs w:val="24"/>
          <w:lang w:val="en-GB"/>
        </w:rPr>
        <w:t>Summary of resprout abundances (resprouts/ha) of the main tree species in terms of median and interquartile range (IQR) in each study site and mean and standard error (SE) in each fire severity history.</w:t>
      </w:r>
    </w:p>
    <w:p w14:paraId="59EA8DF8" w14:textId="3D00490E" w:rsidR="00CB3B3A" w:rsidRDefault="00CB3B3A" w:rsidP="00104B77">
      <w:pPr>
        <w:jc w:val="both"/>
        <w:rPr>
          <w:rFonts w:ascii="Times New Roman" w:hAnsi="Times New Roman" w:cs="Times New Roman"/>
          <w:sz w:val="24"/>
          <w:szCs w:val="24"/>
        </w:rPr>
      </w:pPr>
    </w:p>
    <w:p w14:paraId="189A5AD9" w14:textId="01314258" w:rsidR="002642C3" w:rsidRDefault="002642C3" w:rsidP="00896610">
      <w:pPr>
        <w:jc w:val="center"/>
        <w:rPr>
          <w:rFonts w:ascii="Times New Roman" w:hAnsi="Times New Roman" w:cs="Times New Roman"/>
          <w:sz w:val="24"/>
          <w:szCs w:val="24"/>
        </w:rPr>
      </w:pPr>
      <w:r>
        <w:rPr>
          <w:noProof/>
          <w:lang w:val="en-PH" w:eastAsia="en-PH"/>
          <w14:ligatures w14:val="standardContextual"/>
        </w:rPr>
        <w:drawing>
          <wp:inline distT="0" distB="0" distL="0" distR="0" wp14:anchorId="59CAD80C" wp14:editId="661FB5B9">
            <wp:extent cx="5663821" cy="5578976"/>
            <wp:effectExtent l="0" t="0" r="0" b="3175"/>
            <wp:docPr id="21580340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03401" name="Picture 1" descr="A screenshot of a graph&#10;&#10;Description automatically generated"/>
                    <pic:cNvPicPr/>
                  </pic:nvPicPr>
                  <pic:blipFill>
                    <a:blip r:embed="rId7"/>
                    <a:stretch>
                      <a:fillRect/>
                    </a:stretch>
                  </pic:blipFill>
                  <pic:spPr>
                    <a:xfrm>
                      <a:off x="0" y="0"/>
                      <a:ext cx="5666502" cy="5581617"/>
                    </a:xfrm>
                    <a:prstGeom prst="rect">
                      <a:avLst/>
                    </a:prstGeom>
                  </pic:spPr>
                </pic:pic>
              </a:graphicData>
            </a:graphic>
          </wp:inline>
        </w:drawing>
      </w:r>
    </w:p>
    <w:p w14:paraId="04F165A4" w14:textId="3875673E" w:rsidR="00001E7D" w:rsidRDefault="00001E7D">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0F781A2E" w14:textId="0302EB9F" w:rsidR="00244C8A" w:rsidRDefault="00244C8A" w:rsidP="00104B77">
      <w:pPr>
        <w:jc w:val="both"/>
        <w:rPr>
          <w:rFonts w:ascii="Times New Roman" w:hAnsi="Times New Roman" w:cs="Times New Roman"/>
          <w:sz w:val="24"/>
          <w:szCs w:val="24"/>
        </w:rPr>
      </w:pPr>
      <w:r w:rsidRPr="00EB1D49">
        <w:rPr>
          <w:rFonts w:ascii="Times New Roman" w:hAnsi="Times New Roman" w:cs="Times New Roman"/>
          <w:b/>
          <w:bCs/>
          <w:sz w:val="24"/>
          <w:szCs w:val="24"/>
        </w:rPr>
        <w:lastRenderedPageBreak/>
        <w:t>Table S1.</w:t>
      </w:r>
      <w:r>
        <w:rPr>
          <w:rFonts w:ascii="Times New Roman" w:hAnsi="Times New Roman" w:cs="Times New Roman"/>
          <w:sz w:val="24"/>
          <w:szCs w:val="24"/>
        </w:rPr>
        <w:t xml:space="preserve"> </w:t>
      </w:r>
      <w:r w:rsidR="00EB1D49" w:rsidRPr="007E2E44">
        <w:rPr>
          <w:rFonts w:ascii="Times New Roman" w:hAnsi="Times New Roman" w:cs="Times New Roman"/>
          <w:sz w:val="24"/>
          <w:szCs w:val="24"/>
        </w:rPr>
        <w:t>Tree species recorded at China Muerta National Reserve (CM), and Malleco National Reserve and Tolhuaca National Park (MT) study sites. The presence of seedlings and resprouts within both study sites are also indicated. There is also reported the taxonomical family and the origin of the species (i.e., native or exotic species) with an asterisk.</w:t>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1324"/>
        <w:gridCol w:w="659"/>
        <w:gridCol w:w="958"/>
        <w:gridCol w:w="1009"/>
        <w:gridCol w:w="4050"/>
      </w:tblGrid>
      <w:tr w:rsidR="003D3CD7" w:rsidRPr="00205DB2" w14:paraId="60ED0A69" w14:textId="77777777" w:rsidTr="00FA2CA4">
        <w:trPr>
          <w:trHeight w:val="290"/>
        </w:trPr>
        <w:tc>
          <w:tcPr>
            <w:tcW w:w="1115" w:type="pct"/>
            <w:vMerge w:val="restart"/>
            <w:tcBorders>
              <w:top w:val="single" w:sz="4" w:space="0" w:color="auto"/>
              <w:bottom w:val="nil"/>
            </w:tcBorders>
            <w:shd w:val="clear" w:color="auto" w:fill="auto"/>
            <w:vAlign w:val="center"/>
          </w:tcPr>
          <w:p w14:paraId="59BAFF79" w14:textId="77777777" w:rsidR="00961B04" w:rsidRPr="007E2E44" w:rsidRDefault="00961B04" w:rsidP="00AB7CE4">
            <w:pPr>
              <w:jc w:val="center"/>
              <w:rPr>
                <w:rFonts w:ascii="Times New Roman" w:hAnsi="Times New Roman" w:cs="Times New Roman"/>
                <w:b/>
                <w:bCs/>
                <w:sz w:val="18"/>
                <w:szCs w:val="18"/>
              </w:rPr>
            </w:pPr>
            <w:r w:rsidRPr="007E2E44">
              <w:rPr>
                <w:rFonts w:ascii="Times New Roman" w:hAnsi="Times New Roman" w:cs="Times New Roman"/>
                <w:b/>
                <w:bCs/>
                <w:sz w:val="18"/>
                <w:szCs w:val="18"/>
              </w:rPr>
              <w:t>Scientific name</w:t>
            </w:r>
          </w:p>
        </w:tc>
        <w:tc>
          <w:tcPr>
            <w:tcW w:w="643" w:type="pct"/>
            <w:vMerge w:val="restart"/>
            <w:tcBorders>
              <w:top w:val="single" w:sz="4" w:space="0" w:color="auto"/>
              <w:bottom w:val="nil"/>
            </w:tcBorders>
            <w:shd w:val="clear" w:color="auto" w:fill="auto"/>
            <w:vAlign w:val="center"/>
          </w:tcPr>
          <w:p w14:paraId="75E7A696" w14:textId="77777777" w:rsidR="00961B04" w:rsidRPr="007E2E44" w:rsidRDefault="00961B04" w:rsidP="00AB7CE4">
            <w:pPr>
              <w:jc w:val="center"/>
              <w:rPr>
                <w:rFonts w:ascii="Times New Roman" w:hAnsi="Times New Roman" w:cs="Times New Roman"/>
                <w:b/>
                <w:bCs/>
                <w:sz w:val="18"/>
                <w:szCs w:val="18"/>
              </w:rPr>
            </w:pPr>
            <w:r w:rsidRPr="007E2E44">
              <w:rPr>
                <w:rFonts w:ascii="Times New Roman" w:hAnsi="Times New Roman" w:cs="Times New Roman"/>
                <w:b/>
                <w:bCs/>
                <w:sz w:val="18"/>
                <w:szCs w:val="18"/>
              </w:rPr>
              <w:t>Family</w:t>
            </w:r>
          </w:p>
        </w:tc>
        <w:tc>
          <w:tcPr>
            <w:tcW w:w="1275" w:type="pct"/>
            <w:gridSpan w:val="3"/>
            <w:tcBorders>
              <w:top w:val="single" w:sz="4" w:space="0" w:color="auto"/>
              <w:bottom w:val="single" w:sz="4" w:space="0" w:color="auto"/>
            </w:tcBorders>
            <w:shd w:val="clear" w:color="auto" w:fill="auto"/>
            <w:vAlign w:val="center"/>
          </w:tcPr>
          <w:p w14:paraId="52EEBC55" w14:textId="77777777" w:rsidR="00961B04" w:rsidRPr="007E2E44" w:rsidRDefault="00961B04" w:rsidP="00AB7CE4">
            <w:pPr>
              <w:jc w:val="center"/>
              <w:rPr>
                <w:rFonts w:ascii="Times New Roman" w:hAnsi="Times New Roman" w:cs="Times New Roman"/>
                <w:b/>
                <w:bCs/>
                <w:sz w:val="18"/>
                <w:szCs w:val="18"/>
              </w:rPr>
            </w:pPr>
            <w:r w:rsidRPr="007E2E44">
              <w:rPr>
                <w:rFonts w:ascii="Times New Roman" w:hAnsi="Times New Roman" w:cs="Times New Roman"/>
                <w:b/>
                <w:bCs/>
                <w:sz w:val="18"/>
                <w:szCs w:val="18"/>
              </w:rPr>
              <w:t>Growth stage</w:t>
            </w:r>
          </w:p>
        </w:tc>
        <w:tc>
          <w:tcPr>
            <w:tcW w:w="1967" w:type="pct"/>
            <w:vMerge w:val="restart"/>
            <w:tcBorders>
              <w:top w:val="single" w:sz="4" w:space="0" w:color="auto"/>
            </w:tcBorders>
            <w:vAlign w:val="center"/>
          </w:tcPr>
          <w:p w14:paraId="2BBBDBD3" w14:textId="77777777" w:rsidR="00961B04" w:rsidRPr="007E2E44" w:rsidRDefault="00961B04" w:rsidP="00AB7CE4">
            <w:pPr>
              <w:jc w:val="center"/>
              <w:rPr>
                <w:rFonts w:ascii="Times New Roman" w:hAnsi="Times New Roman" w:cs="Times New Roman"/>
                <w:b/>
                <w:bCs/>
                <w:sz w:val="18"/>
                <w:szCs w:val="18"/>
              </w:rPr>
            </w:pPr>
            <w:r w:rsidRPr="007E2E44">
              <w:rPr>
                <w:rFonts w:ascii="Times New Roman" w:hAnsi="Times New Roman" w:cs="Times New Roman"/>
                <w:b/>
                <w:bCs/>
                <w:sz w:val="18"/>
                <w:szCs w:val="18"/>
              </w:rPr>
              <w:t>Comments</w:t>
            </w:r>
          </w:p>
        </w:tc>
      </w:tr>
      <w:tr w:rsidR="007B6848" w:rsidRPr="00205DB2" w14:paraId="35F75DA8" w14:textId="77777777" w:rsidTr="00FA2CA4">
        <w:trPr>
          <w:trHeight w:val="290"/>
        </w:trPr>
        <w:tc>
          <w:tcPr>
            <w:tcW w:w="1115" w:type="pct"/>
            <w:vMerge/>
            <w:tcBorders>
              <w:top w:val="nil"/>
              <w:bottom w:val="single" w:sz="4" w:space="0" w:color="auto"/>
            </w:tcBorders>
            <w:shd w:val="clear" w:color="auto" w:fill="auto"/>
          </w:tcPr>
          <w:p w14:paraId="00B55968" w14:textId="77777777" w:rsidR="00961B04" w:rsidRPr="007E2E44" w:rsidRDefault="00961B04" w:rsidP="00AB7CE4">
            <w:pPr>
              <w:jc w:val="both"/>
              <w:rPr>
                <w:rFonts w:ascii="Times New Roman" w:hAnsi="Times New Roman" w:cs="Times New Roman"/>
                <w:sz w:val="18"/>
                <w:szCs w:val="18"/>
              </w:rPr>
            </w:pPr>
          </w:p>
        </w:tc>
        <w:tc>
          <w:tcPr>
            <w:tcW w:w="643" w:type="pct"/>
            <w:vMerge/>
            <w:tcBorders>
              <w:top w:val="nil"/>
              <w:bottom w:val="single" w:sz="4" w:space="0" w:color="auto"/>
            </w:tcBorders>
            <w:shd w:val="clear" w:color="auto" w:fill="auto"/>
          </w:tcPr>
          <w:p w14:paraId="4833968A" w14:textId="77777777" w:rsidR="00961B04" w:rsidRPr="007E2E44" w:rsidRDefault="00961B04" w:rsidP="00AB7CE4">
            <w:pPr>
              <w:jc w:val="both"/>
              <w:rPr>
                <w:rFonts w:ascii="Times New Roman" w:hAnsi="Times New Roman" w:cs="Times New Roman"/>
                <w:sz w:val="18"/>
                <w:szCs w:val="18"/>
              </w:rPr>
            </w:pPr>
          </w:p>
        </w:tc>
        <w:tc>
          <w:tcPr>
            <w:tcW w:w="320" w:type="pct"/>
            <w:tcBorders>
              <w:top w:val="nil"/>
              <w:bottom w:val="single" w:sz="4" w:space="0" w:color="auto"/>
            </w:tcBorders>
            <w:shd w:val="clear" w:color="auto" w:fill="auto"/>
          </w:tcPr>
          <w:p w14:paraId="7E2308F7" w14:textId="77777777" w:rsidR="00961B04" w:rsidRPr="007E2E44" w:rsidRDefault="00961B04" w:rsidP="00AB7CE4">
            <w:pPr>
              <w:jc w:val="center"/>
              <w:rPr>
                <w:rFonts w:ascii="Times New Roman" w:hAnsi="Times New Roman" w:cs="Times New Roman"/>
                <w:b/>
                <w:bCs/>
                <w:sz w:val="18"/>
                <w:szCs w:val="18"/>
              </w:rPr>
            </w:pPr>
            <w:r w:rsidRPr="007E2E44">
              <w:rPr>
                <w:rFonts w:ascii="Times New Roman" w:hAnsi="Times New Roman" w:cs="Times New Roman"/>
                <w:b/>
                <w:bCs/>
                <w:sz w:val="18"/>
                <w:szCs w:val="18"/>
              </w:rPr>
              <w:t>Trees</w:t>
            </w:r>
          </w:p>
        </w:tc>
        <w:tc>
          <w:tcPr>
            <w:tcW w:w="465" w:type="pct"/>
            <w:tcBorders>
              <w:top w:val="nil"/>
              <w:bottom w:val="single" w:sz="4" w:space="0" w:color="auto"/>
            </w:tcBorders>
            <w:shd w:val="clear" w:color="auto" w:fill="auto"/>
          </w:tcPr>
          <w:p w14:paraId="211BF96C" w14:textId="77777777" w:rsidR="00961B04" w:rsidRPr="007E2E44" w:rsidRDefault="00961B04" w:rsidP="00AB7CE4">
            <w:pPr>
              <w:jc w:val="center"/>
              <w:rPr>
                <w:rFonts w:ascii="Times New Roman" w:hAnsi="Times New Roman" w:cs="Times New Roman"/>
                <w:b/>
                <w:bCs/>
                <w:sz w:val="18"/>
                <w:szCs w:val="18"/>
              </w:rPr>
            </w:pPr>
            <w:r w:rsidRPr="007E2E44">
              <w:rPr>
                <w:rFonts w:ascii="Times New Roman" w:hAnsi="Times New Roman" w:cs="Times New Roman"/>
                <w:b/>
                <w:bCs/>
                <w:sz w:val="18"/>
                <w:szCs w:val="18"/>
              </w:rPr>
              <w:t>Seedlings</w:t>
            </w:r>
          </w:p>
        </w:tc>
        <w:tc>
          <w:tcPr>
            <w:tcW w:w="490" w:type="pct"/>
            <w:tcBorders>
              <w:top w:val="nil"/>
              <w:bottom w:val="single" w:sz="4" w:space="0" w:color="auto"/>
            </w:tcBorders>
          </w:tcPr>
          <w:p w14:paraId="493C6A4B" w14:textId="77777777" w:rsidR="00961B04" w:rsidRPr="007E2E44" w:rsidRDefault="00961B04" w:rsidP="00AB7CE4">
            <w:pPr>
              <w:jc w:val="center"/>
              <w:rPr>
                <w:rFonts w:ascii="Times New Roman" w:hAnsi="Times New Roman" w:cs="Times New Roman"/>
                <w:b/>
                <w:bCs/>
                <w:sz w:val="18"/>
                <w:szCs w:val="18"/>
              </w:rPr>
            </w:pPr>
            <w:r w:rsidRPr="007E2E44">
              <w:rPr>
                <w:rFonts w:ascii="Times New Roman" w:hAnsi="Times New Roman" w:cs="Times New Roman"/>
                <w:b/>
                <w:bCs/>
                <w:sz w:val="18"/>
                <w:szCs w:val="18"/>
              </w:rPr>
              <w:t>Resprout</w:t>
            </w:r>
          </w:p>
        </w:tc>
        <w:tc>
          <w:tcPr>
            <w:tcW w:w="1967" w:type="pct"/>
            <w:vMerge/>
            <w:tcBorders>
              <w:bottom w:val="single" w:sz="4" w:space="0" w:color="auto"/>
            </w:tcBorders>
          </w:tcPr>
          <w:p w14:paraId="2DC692B8" w14:textId="77777777" w:rsidR="00961B04" w:rsidRPr="007E2E44" w:rsidRDefault="00961B04" w:rsidP="00AB7CE4">
            <w:pPr>
              <w:jc w:val="center"/>
              <w:rPr>
                <w:rFonts w:ascii="Times New Roman" w:hAnsi="Times New Roman" w:cs="Times New Roman"/>
                <w:sz w:val="18"/>
                <w:szCs w:val="18"/>
              </w:rPr>
            </w:pPr>
          </w:p>
        </w:tc>
      </w:tr>
      <w:tr w:rsidR="007B6848" w:rsidRPr="00205DB2" w14:paraId="0D1CDFE9" w14:textId="77777777" w:rsidTr="00FA2CA4">
        <w:trPr>
          <w:trHeight w:val="290"/>
        </w:trPr>
        <w:tc>
          <w:tcPr>
            <w:tcW w:w="1115" w:type="pct"/>
            <w:tcBorders>
              <w:top w:val="single" w:sz="4" w:space="0" w:color="auto"/>
              <w:bottom w:val="nil"/>
            </w:tcBorders>
            <w:shd w:val="clear" w:color="auto" w:fill="auto"/>
          </w:tcPr>
          <w:p w14:paraId="6DD0D470"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Gymnosperm</w:t>
            </w:r>
          </w:p>
        </w:tc>
        <w:tc>
          <w:tcPr>
            <w:tcW w:w="643" w:type="pct"/>
            <w:tcBorders>
              <w:top w:val="single" w:sz="4" w:space="0" w:color="auto"/>
              <w:bottom w:val="nil"/>
            </w:tcBorders>
            <w:shd w:val="clear" w:color="auto" w:fill="auto"/>
          </w:tcPr>
          <w:p w14:paraId="7F72C7CB" w14:textId="77777777" w:rsidR="00961B04" w:rsidRPr="007E2E44" w:rsidRDefault="00961B04" w:rsidP="00AB7CE4">
            <w:pPr>
              <w:jc w:val="both"/>
              <w:rPr>
                <w:rFonts w:ascii="Times New Roman" w:hAnsi="Times New Roman" w:cs="Times New Roman"/>
                <w:sz w:val="18"/>
                <w:szCs w:val="18"/>
              </w:rPr>
            </w:pPr>
          </w:p>
        </w:tc>
        <w:tc>
          <w:tcPr>
            <w:tcW w:w="320" w:type="pct"/>
            <w:tcBorders>
              <w:top w:val="single" w:sz="4" w:space="0" w:color="auto"/>
              <w:bottom w:val="nil"/>
            </w:tcBorders>
            <w:shd w:val="clear" w:color="auto" w:fill="auto"/>
          </w:tcPr>
          <w:p w14:paraId="7167A15E" w14:textId="77777777" w:rsidR="00961B04" w:rsidRPr="007E2E44" w:rsidRDefault="00961B04" w:rsidP="00AB7CE4">
            <w:pPr>
              <w:jc w:val="both"/>
              <w:rPr>
                <w:rFonts w:ascii="Times New Roman" w:hAnsi="Times New Roman" w:cs="Times New Roman"/>
                <w:sz w:val="18"/>
                <w:szCs w:val="18"/>
              </w:rPr>
            </w:pPr>
          </w:p>
        </w:tc>
        <w:tc>
          <w:tcPr>
            <w:tcW w:w="465" w:type="pct"/>
            <w:tcBorders>
              <w:top w:val="single" w:sz="4" w:space="0" w:color="auto"/>
              <w:bottom w:val="nil"/>
            </w:tcBorders>
            <w:shd w:val="clear" w:color="auto" w:fill="auto"/>
          </w:tcPr>
          <w:p w14:paraId="2FA67F45" w14:textId="77777777" w:rsidR="00961B04" w:rsidRPr="007E2E44" w:rsidRDefault="00961B04" w:rsidP="00AB7CE4">
            <w:pPr>
              <w:jc w:val="both"/>
              <w:rPr>
                <w:rFonts w:ascii="Times New Roman" w:hAnsi="Times New Roman" w:cs="Times New Roman"/>
                <w:sz w:val="18"/>
                <w:szCs w:val="18"/>
              </w:rPr>
            </w:pPr>
          </w:p>
        </w:tc>
        <w:tc>
          <w:tcPr>
            <w:tcW w:w="490" w:type="pct"/>
            <w:tcBorders>
              <w:top w:val="single" w:sz="4" w:space="0" w:color="auto"/>
              <w:bottom w:val="nil"/>
            </w:tcBorders>
          </w:tcPr>
          <w:p w14:paraId="216D581B" w14:textId="77777777" w:rsidR="00961B04" w:rsidRPr="007E2E44" w:rsidRDefault="00961B04" w:rsidP="00AB7CE4">
            <w:pPr>
              <w:jc w:val="both"/>
              <w:rPr>
                <w:rFonts w:ascii="Times New Roman" w:hAnsi="Times New Roman" w:cs="Times New Roman"/>
                <w:sz w:val="18"/>
                <w:szCs w:val="18"/>
              </w:rPr>
            </w:pPr>
          </w:p>
        </w:tc>
        <w:tc>
          <w:tcPr>
            <w:tcW w:w="1967" w:type="pct"/>
            <w:tcBorders>
              <w:top w:val="single" w:sz="4" w:space="0" w:color="auto"/>
              <w:bottom w:val="nil"/>
            </w:tcBorders>
          </w:tcPr>
          <w:p w14:paraId="7AD9B5B5" w14:textId="77777777" w:rsidR="00961B04" w:rsidRPr="007E2E44" w:rsidRDefault="00961B04" w:rsidP="00AB7CE4">
            <w:pPr>
              <w:jc w:val="both"/>
              <w:rPr>
                <w:rFonts w:ascii="Times New Roman" w:hAnsi="Times New Roman" w:cs="Times New Roman"/>
                <w:sz w:val="18"/>
                <w:szCs w:val="18"/>
              </w:rPr>
            </w:pPr>
          </w:p>
        </w:tc>
      </w:tr>
      <w:tr w:rsidR="007B6848" w:rsidRPr="00205DB2" w14:paraId="6E7387BB" w14:textId="77777777" w:rsidTr="00FA2CA4">
        <w:trPr>
          <w:trHeight w:val="57"/>
        </w:trPr>
        <w:tc>
          <w:tcPr>
            <w:tcW w:w="1115" w:type="pct"/>
            <w:tcBorders>
              <w:top w:val="nil"/>
            </w:tcBorders>
            <w:shd w:val="clear" w:color="auto" w:fill="auto"/>
          </w:tcPr>
          <w:p w14:paraId="27C6AA90" w14:textId="77777777" w:rsidR="00961B04" w:rsidRPr="007E2E44" w:rsidRDefault="00961B04" w:rsidP="00D95BEA">
            <w:pPr>
              <w:rPr>
                <w:rFonts w:ascii="Times New Roman" w:hAnsi="Times New Roman" w:cs="Times New Roman"/>
                <w:i/>
                <w:iCs/>
                <w:sz w:val="18"/>
                <w:szCs w:val="18"/>
              </w:rPr>
            </w:pPr>
            <w:r w:rsidRPr="007E2E44">
              <w:rPr>
                <w:rFonts w:ascii="Times New Roman" w:hAnsi="Times New Roman" w:cs="Times New Roman"/>
                <w:i/>
                <w:iCs/>
                <w:sz w:val="18"/>
                <w:szCs w:val="18"/>
              </w:rPr>
              <w:t>Araucaria araucana</w:t>
            </w:r>
          </w:p>
        </w:tc>
        <w:tc>
          <w:tcPr>
            <w:tcW w:w="643" w:type="pct"/>
            <w:tcBorders>
              <w:top w:val="nil"/>
            </w:tcBorders>
            <w:shd w:val="clear" w:color="auto" w:fill="auto"/>
          </w:tcPr>
          <w:p w14:paraId="0B8A23A4" w14:textId="77777777" w:rsidR="00961B04" w:rsidRPr="007E2E44" w:rsidRDefault="00961B04" w:rsidP="00D95BEA">
            <w:pPr>
              <w:rPr>
                <w:rFonts w:ascii="Times New Roman" w:hAnsi="Times New Roman" w:cs="Times New Roman"/>
                <w:sz w:val="18"/>
                <w:szCs w:val="18"/>
              </w:rPr>
            </w:pPr>
            <w:r w:rsidRPr="007E2E44">
              <w:rPr>
                <w:rFonts w:ascii="Times New Roman" w:hAnsi="Times New Roman" w:cs="Times New Roman"/>
                <w:sz w:val="18"/>
                <w:szCs w:val="18"/>
              </w:rPr>
              <w:t>Araucariaceae</w:t>
            </w:r>
          </w:p>
        </w:tc>
        <w:tc>
          <w:tcPr>
            <w:tcW w:w="320" w:type="pct"/>
            <w:tcBorders>
              <w:top w:val="nil"/>
            </w:tcBorders>
            <w:shd w:val="clear" w:color="auto" w:fill="auto"/>
          </w:tcPr>
          <w:p w14:paraId="4D860F70"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tcBorders>
              <w:top w:val="nil"/>
            </w:tcBorders>
            <w:shd w:val="clear" w:color="auto" w:fill="auto"/>
          </w:tcPr>
          <w:p w14:paraId="2B0B12C1"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Borders>
              <w:top w:val="nil"/>
            </w:tcBorders>
          </w:tcPr>
          <w:p w14:paraId="62DB5280"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Borders>
              <w:top w:val="nil"/>
            </w:tcBorders>
          </w:tcPr>
          <w:p w14:paraId="12F8D0EB" w14:textId="77777777" w:rsidR="00961B04" w:rsidRPr="007E2E44" w:rsidRDefault="00961B04" w:rsidP="007B6848">
            <w:pPr>
              <w:rPr>
                <w:rFonts w:ascii="Times New Roman" w:hAnsi="Times New Roman" w:cs="Times New Roman"/>
                <w:sz w:val="18"/>
                <w:szCs w:val="18"/>
              </w:rPr>
            </w:pPr>
            <w:r w:rsidRPr="007E2E44">
              <w:rPr>
                <w:rFonts w:ascii="Times New Roman" w:hAnsi="Times New Roman" w:cs="Times New Roman"/>
                <w:sz w:val="18"/>
                <w:szCs w:val="18"/>
              </w:rPr>
              <w:t>Individuals found in all fire severity classes in both study areas.</w:t>
            </w:r>
          </w:p>
        </w:tc>
      </w:tr>
      <w:tr w:rsidR="007B6848" w:rsidRPr="00205DB2" w14:paraId="3926ECCB" w14:textId="77777777" w:rsidTr="00FA2CA4">
        <w:trPr>
          <w:trHeight w:val="57"/>
        </w:trPr>
        <w:tc>
          <w:tcPr>
            <w:tcW w:w="1115" w:type="pct"/>
            <w:shd w:val="clear" w:color="auto" w:fill="auto"/>
          </w:tcPr>
          <w:p w14:paraId="612B1242" w14:textId="77777777" w:rsidR="00961B04" w:rsidRPr="007E2E44" w:rsidRDefault="00961B04" w:rsidP="00D95BEA">
            <w:pPr>
              <w:rPr>
                <w:rFonts w:ascii="Times New Roman" w:hAnsi="Times New Roman" w:cs="Times New Roman"/>
                <w:sz w:val="18"/>
                <w:szCs w:val="18"/>
              </w:rPr>
            </w:pPr>
            <w:r w:rsidRPr="007E2E44">
              <w:rPr>
                <w:rFonts w:ascii="Times New Roman" w:hAnsi="Times New Roman" w:cs="Times New Roman"/>
                <w:i/>
                <w:iCs/>
                <w:sz w:val="18"/>
                <w:szCs w:val="18"/>
              </w:rPr>
              <w:t>Pinus radiata</w:t>
            </w:r>
            <w:r w:rsidRPr="007E2E44">
              <w:rPr>
                <w:rFonts w:ascii="Times New Roman" w:hAnsi="Times New Roman" w:cs="Times New Roman"/>
                <w:sz w:val="18"/>
                <w:szCs w:val="18"/>
              </w:rPr>
              <w:t>*</w:t>
            </w:r>
          </w:p>
        </w:tc>
        <w:tc>
          <w:tcPr>
            <w:tcW w:w="643" w:type="pct"/>
            <w:shd w:val="clear" w:color="auto" w:fill="auto"/>
          </w:tcPr>
          <w:p w14:paraId="4C685B99" w14:textId="77777777" w:rsidR="00961B04" w:rsidRPr="007E2E44" w:rsidRDefault="00961B04" w:rsidP="00D95BEA">
            <w:pPr>
              <w:rPr>
                <w:rFonts w:ascii="Times New Roman" w:hAnsi="Times New Roman" w:cs="Times New Roman"/>
                <w:sz w:val="18"/>
                <w:szCs w:val="18"/>
              </w:rPr>
            </w:pPr>
            <w:r w:rsidRPr="007E2E44">
              <w:rPr>
                <w:rFonts w:ascii="Times New Roman" w:hAnsi="Times New Roman" w:cs="Times New Roman"/>
                <w:sz w:val="18"/>
                <w:szCs w:val="18"/>
              </w:rPr>
              <w:t>Pinaceae</w:t>
            </w:r>
          </w:p>
        </w:tc>
        <w:tc>
          <w:tcPr>
            <w:tcW w:w="320" w:type="pct"/>
            <w:shd w:val="clear" w:color="auto" w:fill="auto"/>
          </w:tcPr>
          <w:p w14:paraId="5A8ECC74"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3346701C"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490" w:type="pct"/>
          </w:tcPr>
          <w:p w14:paraId="3047A037"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1967" w:type="pct"/>
          </w:tcPr>
          <w:p w14:paraId="46DA20BE" w14:textId="77777777" w:rsidR="00961B04" w:rsidRPr="007E2E44" w:rsidRDefault="00961B04" w:rsidP="007B6848">
            <w:pPr>
              <w:rPr>
                <w:rFonts w:ascii="Times New Roman" w:hAnsi="Times New Roman" w:cs="Times New Roman"/>
                <w:sz w:val="18"/>
                <w:szCs w:val="18"/>
              </w:rPr>
            </w:pPr>
            <w:r w:rsidRPr="007E2E44">
              <w:rPr>
                <w:rFonts w:ascii="Times New Roman" w:hAnsi="Times New Roman" w:cs="Times New Roman"/>
                <w:sz w:val="18"/>
                <w:szCs w:val="18"/>
              </w:rPr>
              <w:t>Single tree individual found in unburned plot at CM.</w:t>
            </w:r>
          </w:p>
        </w:tc>
      </w:tr>
      <w:tr w:rsidR="007B6848" w:rsidRPr="00205DB2" w14:paraId="229E95C4" w14:textId="77777777" w:rsidTr="00FA2CA4">
        <w:trPr>
          <w:trHeight w:val="57"/>
        </w:trPr>
        <w:tc>
          <w:tcPr>
            <w:tcW w:w="1115" w:type="pct"/>
            <w:shd w:val="clear" w:color="auto" w:fill="auto"/>
          </w:tcPr>
          <w:p w14:paraId="2557046F" w14:textId="77777777" w:rsidR="00961B04" w:rsidRPr="007E2E44" w:rsidRDefault="00961B04" w:rsidP="00D95BEA">
            <w:pPr>
              <w:rPr>
                <w:rFonts w:ascii="Times New Roman" w:hAnsi="Times New Roman" w:cs="Times New Roman"/>
                <w:i/>
                <w:iCs/>
                <w:sz w:val="18"/>
                <w:szCs w:val="18"/>
              </w:rPr>
            </w:pPr>
            <w:r w:rsidRPr="007E2E44">
              <w:rPr>
                <w:rFonts w:ascii="Times New Roman" w:hAnsi="Times New Roman" w:cs="Times New Roman"/>
                <w:i/>
                <w:iCs/>
                <w:sz w:val="18"/>
                <w:szCs w:val="18"/>
              </w:rPr>
              <w:t>Podocarpus salignus</w:t>
            </w:r>
          </w:p>
        </w:tc>
        <w:tc>
          <w:tcPr>
            <w:tcW w:w="643" w:type="pct"/>
            <w:shd w:val="clear" w:color="auto" w:fill="auto"/>
          </w:tcPr>
          <w:p w14:paraId="1651E441" w14:textId="77777777" w:rsidR="00961B04" w:rsidRPr="007E2E44" w:rsidRDefault="00961B04" w:rsidP="00D95BEA">
            <w:pPr>
              <w:rPr>
                <w:rFonts w:ascii="Times New Roman" w:hAnsi="Times New Roman" w:cs="Times New Roman"/>
                <w:sz w:val="18"/>
                <w:szCs w:val="18"/>
              </w:rPr>
            </w:pPr>
            <w:r w:rsidRPr="007E2E44">
              <w:rPr>
                <w:rFonts w:ascii="Times New Roman" w:hAnsi="Times New Roman" w:cs="Times New Roman"/>
                <w:sz w:val="18"/>
                <w:szCs w:val="18"/>
              </w:rPr>
              <w:t>Podocarpaceae</w:t>
            </w:r>
          </w:p>
        </w:tc>
        <w:tc>
          <w:tcPr>
            <w:tcW w:w="320" w:type="pct"/>
            <w:shd w:val="clear" w:color="auto" w:fill="auto"/>
          </w:tcPr>
          <w:p w14:paraId="5EAE417E"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465" w:type="pct"/>
            <w:shd w:val="clear" w:color="auto" w:fill="auto"/>
          </w:tcPr>
          <w:p w14:paraId="5E135B3C"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Pr>
          <w:p w14:paraId="279FEC2F"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1967" w:type="pct"/>
          </w:tcPr>
          <w:p w14:paraId="3D348351" w14:textId="77777777" w:rsidR="00961B04" w:rsidRPr="007E2E44" w:rsidRDefault="00961B04" w:rsidP="007B6848">
            <w:pPr>
              <w:rPr>
                <w:rFonts w:ascii="Times New Roman" w:hAnsi="Times New Roman" w:cs="Times New Roman"/>
                <w:sz w:val="18"/>
                <w:szCs w:val="18"/>
              </w:rPr>
            </w:pPr>
            <w:r w:rsidRPr="007E2E44">
              <w:rPr>
                <w:rFonts w:ascii="Times New Roman" w:hAnsi="Times New Roman" w:cs="Times New Roman"/>
                <w:sz w:val="18"/>
                <w:szCs w:val="18"/>
              </w:rPr>
              <w:t>Single seedling individual found in unburned plot at MT.</w:t>
            </w:r>
          </w:p>
        </w:tc>
      </w:tr>
      <w:tr w:rsidR="007B6848" w:rsidRPr="00205DB2" w14:paraId="03ECD573" w14:textId="77777777" w:rsidTr="00FA2CA4">
        <w:trPr>
          <w:trHeight w:val="57"/>
        </w:trPr>
        <w:tc>
          <w:tcPr>
            <w:tcW w:w="1115" w:type="pct"/>
            <w:shd w:val="clear" w:color="auto" w:fill="auto"/>
          </w:tcPr>
          <w:p w14:paraId="38E443CA" w14:textId="77777777" w:rsidR="00961B04" w:rsidRPr="007E2E44" w:rsidRDefault="00961B04" w:rsidP="00D95BEA">
            <w:pPr>
              <w:rPr>
                <w:rFonts w:ascii="Times New Roman" w:hAnsi="Times New Roman" w:cs="Times New Roman"/>
                <w:sz w:val="18"/>
                <w:szCs w:val="18"/>
              </w:rPr>
            </w:pPr>
            <w:r w:rsidRPr="007E2E44">
              <w:rPr>
                <w:rFonts w:ascii="Times New Roman" w:hAnsi="Times New Roman" w:cs="Times New Roman"/>
                <w:i/>
                <w:iCs/>
                <w:sz w:val="18"/>
                <w:szCs w:val="18"/>
              </w:rPr>
              <w:t>Pseudotsuga menziesii</w:t>
            </w:r>
            <w:r w:rsidRPr="007E2E44">
              <w:rPr>
                <w:rFonts w:ascii="Times New Roman" w:hAnsi="Times New Roman" w:cs="Times New Roman"/>
                <w:sz w:val="18"/>
                <w:szCs w:val="18"/>
              </w:rPr>
              <w:t>*</w:t>
            </w:r>
          </w:p>
        </w:tc>
        <w:tc>
          <w:tcPr>
            <w:tcW w:w="643" w:type="pct"/>
            <w:shd w:val="clear" w:color="auto" w:fill="auto"/>
          </w:tcPr>
          <w:p w14:paraId="28097014" w14:textId="77777777" w:rsidR="00961B04" w:rsidRPr="007E2E44" w:rsidRDefault="00961B04" w:rsidP="00D95BEA">
            <w:pPr>
              <w:rPr>
                <w:rFonts w:ascii="Times New Roman" w:hAnsi="Times New Roman" w:cs="Times New Roman"/>
                <w:sz w:val="18"/>
                <w:szCs w:val="18"/>
              </w:rPr>
            </w:pPr>
            <w:r w:rsidRPr="007E2E44">
              <w:rPr>
                <w:rFonts w:ascii="Times New Roman" w:hAnsi="Times New Roman" w:cs="Times New Roman"/>
                <w:sz w:val="18"/>
                <w:szCs w:val="18"/>
              </w:rPr>
              <w:t>Pinaceae</w:t>
            </w:r>
          </w:p>
        </w:tc>
        <w:tc>
          <w:tcPr>
            <w:tcW w:w="320" w:type="pct"/>
            <w:shd w:val="clear" w:color="auto" w:fill="auto"/>
          </w:tcPr>
          <w:p w14:paraId="0D1D84FD"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465" w:type="pct"/>
            <w:shd w:val="clear" w:color="auto" w:fill="auto"/>
          </w:tcPr>
          <w:p w14:paraId="40838998"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Pr>
          <w:p w14:paraId="11426217"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1967" w:type="pct"/>
          </w:tcPr>
          <w:p w14:paraId="3AB9C5FA" w14:textId="77777777" w:rsidR="00961B04" w:rsidRPr="007E2E44" w:rsidRDefault="00961B04" w:rsidP="007B6848">
            <w:pPr>
              <w:rPr>
                <w:rFonts w:ascii="Times New Roman" w:hAnsi="Times New Roman" w:cs="Times New Roman"/>
                <w:sz w:val="18"/>
                <w:szCs w:val="18"/>
              </w:rPr>
            </w:pPr>
            <w:r w:rsidRPr="007E2E44">
              <w:rPr>
                <w:rFonts w:ascii="Times New Roman" w:hAnsi="Times New Roman" w:cs="Times New Roman"/>
                <w:sz w:val="18"/>
                <w:szCs w:val="18"/>
              </w:rPr>
              <w:t xml:space="preserve">Few seedling individuals found in unburned plots at CM and reburned plots at MT. </w:t>
            </w:r>
          </w:p>
        </w:tc>
      </w:tr>
      <w:tr w:rsidR="007B6848" w:rsidRPr="00205DB2" w14:paraId="6086BCCD" w14:textId="77777777" w:rsidTr="00FA2CA4">
        <w:trPr>
          <w:trHeight w:val="57"/>
        </w:trPr>
        <w:tc>
          <w:tcPr>
            <w:tcW w:w="1115" w:type="pct"/>
            <w:shd w:val="clear" w:color="auto" w:fill="auto"/>
          </w:tcPr>
          <w:p w14:paraId="2FC55726" w14:textId="77777777" w:rsidR="00961B04" w:rsidRPr="007E2E44" w:rsidRDefault="00961B04" w:rsidP="00D95BEA">
            <w:pPr>
              <w:rPr>
                <w:rFonts w:ascii="Times New Roman" w:hAnsi="Times New Roman" w:cs="Times New Roman"/>
                <w:i/>
                <w:iCs/>
                <w:sz w:val="18"/>
                <w:szCs w:val="18"/>
              </w:rPr>
            </w:pPr>
            <w:r w:rsidRPr="007E2E44">
              <w:rPr>
                <w:rFonts w:ascii="Times New Roman" w:hAnsi="Times New Roman" w:cs="Times New Roman"/>
                <w:i/>
                <w:iCs/>
                <w:sz w:val="18"/>
                <w:szCs w:val="18"/>
              </w:rPr>
              <w:t>Prumnopitys andina</w:t>
            </w:r>
          </w:p>
        </w:tc>
        <w:tc>
          <w:tcPr>
            <w:tcW w:w="643" w:type="pct"/>
            <w:shd w:val="clear" w:color="auto" w:fill="auto"/>
          </w:tcPr>
          <w:p w14:paraId="40AD1363" w14:textId="77777777" w:rsidR="00961B04" w:rsidRPr="007E2E44" w:rsidRDefault="00961B04" w:rsidP="00D95BEA">
            <w:pPr>
              <w:rPr>
                <w:rFonts w:ascii="Times New Roman" w:hAnsi="Times New Roman" w:cs="Times New Roman"/>
                <w:sz w:val="18"/>
                <w:szCs w:val="18"/>
              </w:rPr>
            </w:pPr>
            <w:r w:rsidRPr="007E2E44">
              <w:rPr>
                <w:rFonts w:ascii="Times New Roman" w:hAnsi="Times New Roman" w:cs="Times New Roman"/>
                <w:sz w:val="18"/>
                <w:szCs w:val="18"/>
              </w:rPr>
              <w:t>Podocarpaceae</w:t>
            </w:r>
          </w:p>
        </w:tc>
        <w:tc>
          <w:tcPr>
            <w:tcW w:w="320" w:type="pct"/>
            <w:shd w:val="clear" w:color="auto" w:fill="auto"/>
          </w:tcPr>
          <w:p w14:paraId="4ACD9ADA"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4CBA6786"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Pr>
          <w:p w14:paraId="262260B7"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1967" w:type="pct"/>
          </w:tcPr>
          <w:p w14:paraId="0FE50894" w14:textId="77777777" w:rsidR="00961B04" w:rsidRPr="007E2E44" w:rsidRDefault="00961B04" w:rsidP="007B6848">
            <w:pPr>
              <w:rPr>
                <w:rFonts w:ascii="Times New Roman" w:hAnsi="Times New Roman" w:cs="Times New Roman"/>
                <w:sz w:val="18"/>
                <w:szCs w:val="18"/>
              </w:rPr>
            </w:pPr>
            <w:r w:rsidRPr="007E2E44">
              <w:rPr>
                <w:rFonts w:ascii="Times New Roman" w:hAnsi="Times New Roman" w:cs="Times New Roman"/>
                <w:sz w:val="18"/>
                <w:szCs w:val="18"/>
              </w:rPr>
              <w:t>Tree individual and seedlings found in one unburned plot at CM.</w:t>
            </w:r>
          </w:p>
        </w:tc>
      </w:tr>
      <w:tr w:rsidR="007B6848" w:rsidRPr="00205DB2" w14:paraId="448D1067" w14:textId="77777777" w:rsidTr="00FA2CA4">
        <w:trPr>
          <w:trHeight w:val="290"/>
        </w:trPr>
        <w:tc>
          <w:tcPr>
            <w:tcW w:w="1115" w:type="pct"/>
            <w:shd w:val="clear" w:color="auto" w:fill="auto"/>
          </w:tcPr>
          <w:p w14:paraId="2C05F6AA"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Angiosperm</w:t>
            </w:r>
          </w:p>
        </w:tc>
        <w:tc>
          <w:tcPr>
            <w:tcW w:w="643" w:type="pct"/>
            <w:shd w:val="clear" w:color="auto" w:fill="auto"/>
          </w:tcPr>
          <w:p w14:paraId="7BD4AAB3" w14:textId="77777777" w:rsidR="00961B04" w:rsidRPr="007E2E44" w:rsidRDefault="00961B04" w:rsidP="00AB7CE4">
            <w:pPr>
              <w:jc w:val="both"/>
              <w:rPr>
                <w:rFonts w:ascii="Times New Roman" w:hAnsi="Times New Roman" w:cs="Times New Roman"/>
                <w:sz w:val="18"/>
                <w:szCs w:val="18"/>
              </w:rPr>
            </w:pPr>
          </w:p>
        </w:tc>
        <w:tc>
          <w:tcPr>
            <w:tcW w:w="320" w:type="pct"/>
            <w:shd w:val="clear" w:color="auto" w:fill="auto"/>
          </w:tcPr>
          <w:p w14:paraId="28A59827" w14:textId="77777777" w:rsidR="00961B04" w:rsidRPr="007E2E44" w:rsidRDefault="00961B04" w:rsidP="00AB7CE4">
            <w:pPr>
              <w:jc w:val="center"/>
              <w:rPr>
                <w:rFonts w:ascii="Times New Roman" w:hAnsi="Times New Roman" w:cs="Times New Roman"/>
                <w:sz w:val="18"/>
                <w:szCs w:val="18"/>
              </w:rPr>
            </w:pPr>
          </w:p>
        </w:tc>
        <w:tc>
          <w:tcPr>
            <w:tcW w:w="465" w:type="pct"/>
            <w:shd w:val="clear" w:color="auto" w:fill="auto"/>
          </w:tcPr>
          <w:p w14:paraId="73CAE535" w14:textId="77777777" w:rsidR="00961B04" w:rsidRPr="007E2E44" w:rsidRDefault="00961B04" w:rsidP="00AB7CE4">
            <w:pPr>
              <w:jc w:val="center"/>
              <w:rPr>
                <w:rFonts w:ascii="Times New Roman" w:hAnsi="Times New Roman" w:cs="Times New Roman"/>
                <w:sz w:val="18"/>
                <w:szCs w:val="18"/>
              </w:rPr>
            </w:pPr>
          </w:p>
        </w:tc>
        <w:tc>
          <w:tcPr>
            <w:tcW w:w="490" w:type="pct"/>
          </w:tcPr>
          <w:p w14:paraId="49C828AD" w14:textId="77777777" w:rsidR="00961B04" w:rsidRPr="007E2E44" w:rsidRDefault="00961B04" w:rsidP="00AB7CE4">
            <w:pPr>
              <w:jc w:val="center"/>
              <w:rPr>
                <w:rFonts w:ascii="Times New Roman" w:hAnsi="Times New Roman" w:cs="Times New Roman"/>
                <w:sz w:val="18"/>
                <w:szCs w:val="18"/>
              </w:rPr>
            </w:pPr>
          </w:p>
        </w:tc>
        <w:tc>
          <w:tcPr>
            <w:tcW w:w="1967" w:type="pct"/>
          </w:tcPr>
          <w:p w14:paraId="1ECD4998" w14:textId="77777777" w:rsidR="00961B04" w:rsidRPr="007E2E44" w:rsidRDefault="00961B04" w:rsidP="00AB7CE4">
            <w:pPr>
              <w:jc w:val="both"/>
              <w:rPr>
                <w:rFonts w:ascii="Times New Roman" w:hAnsi="Times New Roman" w:cs="Times New Roman"/>
                <w:sz w:val="18"/>
                <w:szCs w:val="18"/>
              </w:rPr>
            </w:pPr>
          </w:p>
        </w:tc>
      </w:tr>
      <w:tr w:rsidR="007B6848" w:rsidRPr="00205DB2" w14:paraId="3A10B6DC" w14:textId="77777777" w:rsidTr="00FA2CA4">
        <w:trPr>
          <w:trHeight w:val="290"/>
        </w:trPr>
        <w:tc>
          <w:tcPr>
            <w:tcW w:w="1115" w:type="pct"/>
            <w:shd w:val="clear" w:color="auto" w:fill="auto"/>
          </w:tcPr>
          <w:p w14:paraId="72BB247E" w14:textId="77777777" w:rsidR="00961B04" w:rsidRPr="007E2E44" w:rsidRDefault="00961B04" w:rsidP="00AB7CE4">
            <w:pPr>
              <w:jc w:val="both"/>
              <w:rPr>
                <w:rFonts w:ascii="Times New Roman" w:hAnsi="Times New Roman" w:cs="Times New Roman"/>
                <w:i/>
                <w:iCs/>
                <w:sz w:val="18"/>
                <w:szCs w:val="18"/>
              </w:rPr>
            </w:pPr>
            <w:r w:rsidRPr="007E2E44">
              <w:rPr>
                <w:rFonts w:ascii="Times New Roman" w:hAnsi="Times New Roman" w:cs="Times New Roman"/>
                <w:i/>
                <w:iCs/>
                <w:sz w:val="18"/>
                <w:szCs w:val="18"/>
              </w:rPr>
              <w:t>Aextoxicon puntatum</w:t>
            </w:r>
          </w:p>
        </w:tc>
        <w:tc>
          <w:tcPr>
            <w:tcW w:w="643" w:type="pct"/>
            <w:shd w:val="clear" w:color="auto" w:fill="auto"/>
          </w:tcPr>
          <w:p w14:paraId="1073F741"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Aextoxicaceae</w:t>
            </w:r>
          </w:p>
        </w:tc>
        <w:tc>
          <w:tcPr>
            <w:tcW w:w="320" w:type="pct"/>
            <w:shd w:val="clear" w:color="auto" w:fill="auto"/>
          </w:tcPr>
          <w:p w14:paraId="4BE1274B"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17AD484F"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Pr>
          <w:p w14:paraId="6DBBACED"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Pr>
          <w:p w14:paraId="53E60312"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Resprout individuals found in reburned, and seedlings found in unburned plots at MT.</w:t>
            </w:r>
          </w:p>
        </w:tc>
      </w:tr>
      <w:tr w:rsidR="007B6848" w:rsidRPr="00205DB2" w14:paraId="3524235F" w14:textId="77777777" w:rsidTr="00FA2CA4">
        <w:trPr>
          <w:trHeight w:val="290"/>
        </w:trPr>
        <w:tc>
          <w:tcPr>
            <w:tcW w:w="1115" w:type="pct"/>
            <w:shd w:val="clear" w:color="auto" w:fill="auto"/>
          </w:tcPr>
          <w:p w14:paraId="2E43F049" w14:textId="77777777" w:rsidR="00961B04" w:rsidRPr="007E2E44" w:rsidRDefault="00961B04" w:rsidP="00AB7CE4">
            <w:pPr>
              <w:jc w:val="both"/>
              <w:rPr>
                <w:rFonts w:ascii="Times New Roman" w:hAnsi="Times New Roman" w:cs="Times New Roman"/>
                <w:i/>
                <w:iCs/>
                <w:sz w:val="18"/>
                <w:szCs w:val="18"/>
              </w:rPr>
            </w:pPr>
            <w:bookmarkStart w:id="3" w:name="_Hlk131950525"/>
            <w:r w:rsidRPr="007E2E44">
              <w:rPr>
                <w:rFonts w:ascii="Times New Roman" w:hAnsi="Times New Roman" w:cs="Times New Roman"/>
                <w:i/>
                <w:iCs/>
                <w:sz w:val="18"/>
                <w:szCs w:val="18"/>
              </w:rPr>
              <w:t>Dasyphyllum diacanthoides</w:t>
            </w:r>
            <w:bookmarkEnd w:id="3"/>
          </w:p>
        </w:tc>
        <w:tc>
          <w:tcPr>
            <w:tcW w:w="643" w:type="pct"/>
            <w:shd w:val="clear" w:color="auto" w:fill="auto"/>
          </w:tcPr>
          <w:p w14:paraId="7F65FC9A"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Asteraceae</w:t>
            </w:r>
          </w:p>
        </w:tc>
        <w:tc>
          <w:tcPr>
            <w:tcW w:w="320" w:type="pct"/>
            <w:shd w:val="clear" w:color="auto" w:fill="auto"/>
          </w:tcPr>
          <w:p w14:paraId="0698A938"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29A073D4"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Pr>
          <w:p w14:paraId="0B88657C"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Pr>
          <w:p w14:paraId="0AA9F4E1"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seedling and resprout individuals found in unburned plots at MT.</w:t>
            </w:r>
          </w:p>
        </w:tc>
      </w:tr>
      <w:tr w:rsidR="007B6848" w:rsidRPr="00205DB2" w14:paraId="23DC6A83" w14:textId="77777777" w:rsidTr="00FA2CA4">
        <w:trPr>
          <w:trHeight w:val="290"/>
        </w:trPr>
        <w:tc>
          <w:tcPr>
            <w:tcW w:w="1115" w:type="pct"/>
            <w:shd w:val="clear" w:color="auto" w:fill="auto"/>
          </w:tcPr>
          <w:p w14:paraId="466DBFDD" w14:textId="77777777" w:rsidR="00961B04" w:rsidRPr="007E2E44" w:rsidRDefault="00961B04" w:rsidP="00AB7CE4">
            <w:pPr>
              <w:jc w:val="both"/>
              <w:rPr>
                <w:rFonts w:ascii="Times New Roman" w:hAnsi="Times New Roman" w:cs="Times New Roman"/>
                <w:i/>
                <w:iCs/>
                <w:sz w:val="18"/>
                <w:szCs w:val="18"/>
              </w:rPr>
            </w:pPr>
            <w:r w:rsidRPr="007E2E44">
              <w:rPr>
                <w:rFonts w:ascii="Times New Roman" w:hAnsi="Times New Roman" w:cs="Times New Roman"/>
                <w:i/>
                <w:iCs/>
                <w:sz w:val="18"/>
                <w:szCs w:val="18"/>
              </w:rPr>
              <w:t>Embothrium coccineum</w:t>
            </w:r>
          </w:p>
        </w:tc>
        <w:tc>
          <w:tcPr>
            <w:tcW w:w="643" w:type="pct"/>
            <w:shd w:val="clear" w:color="auto" w:fill="auto"/>
          </w:tcPr>
          <w:p w14:paraId="7B665EA4"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Proteaceae</w:t>
            </w:r>
          </w:p>
        </w:tc>
        <w:tc>
          <w:tcPr>
            <w:tcW w:w="320" w:type="pct"/>
            <w:shd w:val="clear" w:color="auto" w:fill="auto"/>
          </w:tcPr>
          <w:p w14:paraId="2149C639"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264629F0"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490" w:type="pct"/>
          </w:tcPr>
          <w:p w14:paraId="6CC39CA0"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1967" w:type="pct"/>
          </w:tcPr>
          <w:p w14:paraId="275C880F"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individual found in unburned plot at CM.</w:t>
            </w:r>
          </w:p>
        </w:tc>
      </w:tr>
      <w:tr w:rsidR="007B6848" w:rsidRPr="00205DB2" w14:paraId="21988F9E" w14:textId="77777777" w:rsidTr="00FA2CA4">
        <w:trPr>
          <w:trHeight w:val="290"/>
        </w:trPr>
        <w:tc>
          <w:tcPr>
            <w:tcW w:w="1115" w:type="pct"/>
            <w:shd w:val="clear" w:color="auto" w:fill="auto"/>
          </w:tcPr>
          <w:p w14:paraId="59EEECDE" w14:textId="77777777" w:rsidR="00961B04" w:rsidRPr="007E2E44" w:rsidRDefault="00961B04" w:rsidP="00AB7CE4">
            <w:pPr>
              <w:jc w:val="both"/>
              <w:rPr>
                <w:rFonts w:ascii="Times New Roman" w:hAnsi="Times New Roman" w:cs="Times New Roman"/>
                <w:i/>
                <w:iCs/>
                <w:sz w:val="18"/>
                <w:szCs w:val="18"/>
              </w:rPr>
            </w:pPr>
            <w:bookmarkStart w:id="4" w:name="_Hlk131950549"/>
            <w:r w:rsidRPr="007E2E44">
              <w:rPr>
                <w:rFonts w:ascii="Times New Roman" w:hAnsi="Times New Roman" w:cs="Times New Roman"/>
                <w:i/>
                <w:iCs/>
                <w:sz w:val="18"/>
                <w:szCs w:val="18"/>
              </w:rPr>
              <w:t>Gevuina avellana</w:t>
            </w:r>
            <w:bookmarkEnd w:id="4"/>
          </w:p>
        </w:tc>
        <w:tc>
          <w:tcPr>
            <w:tcW w:w="643" w:type="pct"/>
            <w:shd w:val="clear" w:color="auto" w:fill="auto"/>
          </w:tcPr>
          <w:p w14:paraId="3E01F337"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Proteaceae</w:t>
            </w:r>
          </w:p>
        </w:tc>
        <w:tc>
          <w:tcPr>
            <w:tcW w:w="320" w:type="pct"/>
            <w:shd w:val="clear" w:color="auto" w:fill="auto"/>
          </w:tcPr>
          <w:p w14:paraId="6BDC5467"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7E9EE1EF"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490" w:type="pct"/>
          </w:tcPr>
          <w:p w14:paraId="304E8B08"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Pr>
          <w:p w14:paraId="50387976"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and resprout individuals found in reburned areas at MT.</w:t>
            </w:r>
          </w:p>
        </w:tc>
      </w:tr>
      <w:tr w:rsidR="007B6848" w:rsidRPr="00205DB2" w14:paraId="155FC8E1" w14:textId="77777777" w:rsidTr="00FA2CA4">
        <w:trPr>
          <w:trHeight w:val="290"/>
        </w:trPr>
        <w:tc>
          <w:tcPr>
            <w:tcW w:w="1115" w:type="pct"/>
            <w:shd w:val="clear" w:color="auto" w:fill="auto"/>
          </w:tcPr>
          <w:p w14:paraId="74CA5B84" w14:textId="77777777" w:rsidR="00961B04" w:rsidRPr="007E2E44" w:rsidRDefault="00961B04" w:rsidP="00AB7CE4">
            <w:pPr>
              <w:jc w:val="both"/>
              <w:rPr>
                <w:rFonts w:ascii="Times New Roman" w:hAnsi="Times New Roman" w:cs="Times New Roman"/>
                <w:i/>
                <w:iCs/>
                <w:sz w:val="18"/>
                <w:szCs w:val="18"/>
              </w:rPr>
            </w:pPr>
            <w:r w:rsidRPr="007E2E44">
              <w:rPr>
                <w:rFonts w:ascii="Times New Roman" w:hAnsi="Times New Roman" w:cs="Times New Roman"/>
                <w:i/>
                <w:iCs/>
                <w:sz w:val="18"/>
                <w:szCs w:val="18"/>
              </w:rPr>
              <w:t>Lomatia dentata</w:t>
            </w:r>
          </w:p>
        </w:tc>
        <w:tc>
          <w:tcPr>
            <w:tcW w:w="643" w:type="pct"/>
            <w:shd w:val="clear" w:color="auto" w:fill="auto"/>
          </w:tcPr>
          <w:p w14:paraId="1225BCDC"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Proteaceae</w:t>
            </w:r>
          </w:p>
        </w:tc>
        <w:tc>
          <w:tcPr>
            <w:tcW w:w="320" w:type="pct"/>
            <w:shd w:val="clear" w:color="auto" w:fill="auto"/>
          </w:tcPr>
          <w:p w14:paraId="4CCAF899"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21AFD3A9"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Pr>
          <w:p w14:paraId="7157B835"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Pr>
          <w:p w14:paraId="4D42C3D6"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and resprout individuals found in reburned, and seedlings in unburned plots at MT.</w:t>
            </w:r>
          </w:p>
        </w:tc>
      </w:tr>
      <w:tr w:rsidR="007B6848" w:rsidRPr="00205DB2" w14:paraId="73EE5477" w14:textId="77777777" w:rsidTr="00FA2CA4">
        <w:trPr>
          <w:trHeight w:val="290"/>
        </w:trPr>
        <w:tc>
          <w:tcPr>
            <w:tcW w:w="1115" w:type="pct"/>
            <w:shd w:val="clear" w:color="auto" w:fill="auto"/>
          </w:tcPr>
          <w:p w14:paraId="16AA14F1" w14:textId="77777777" w:rsidR="00961B04" w:rsidRPr="007E2E44" w:rsidRDefault="00961B04" w:rsidP="00AB7CE4">
            <w:pPr>
              <w:jc w:val="both"/>
              <w:rPr>
                <w:rFonts w:ascii="Times New Roman" w:hAnsi="Times New Roman" w:cs="Times New Roman"/>
                <w:i/>
                <w:iCs/>
                <w:sz w:val="18"/>
                <w:szCs w:val="18"/>
              </w:rPr>
            </w:pPr>
            <w:r w:rsidRPr="007E2E44">
              <w:rPr>
                <w:rFonts w:ascii="Times New Roman" w:hAnsi="Times New Roman" w:cs="Times New Roman"/>
                <w:i/>
                <w:iCs/>
                <w:sz w:val="18"/>
                <w:szCs w:val="18"/>
              </w:rPr>
              <w:t>Lomatia hirsuta</w:t>
            </w:r>
          </w:p>
        </w:tc>
        <w:tc>
          <w:tcPr>
            <w:tcW w:w="643" w:type="pct"/>
            <w:shd w:val="clear" w:color="auto" w:fill="auto"/>
          </w:tcPr>
          <w:p w14:paraId="15F213AE"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Proteaceae</w:t>
            </w:r>
          </w:p>
        </w:tc>
        <w:tc>
          <w:tcPr>
            <w:tcW w:w="320" w:type="pct"/>
            <w:shd w:val="clear" w:color="auto" w:fill="auto"/>
          </w:tcPr>
          <w:p w14:paraId="02E9C18C"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5CB2C856"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490" w:type="pct"/>
          </w:tcPr>
          <w:p w14:paraId="51BC7917"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Pr>
          <w:p w14:paraId="467E3CC6"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and resprouts found in reburned plots at MT.</w:t>
            </w:r>
          </w:p>
        </w:tc>
      </w:tr>
      <w:tr w:rsidR="007B6848" w:rsidRPr="00205DB2" w14:paraId="7639849C" w14:textId="77777777" w:rsidTr="00FA2CA4">
        <w:trPr>
          <w:trHeight w:val="290"/>
        </w:trPr>
        <w:tc>
          <w:tcPr>
            <w:tcW w:w="1115" w:type="pct"/>
            <w:shd w:val="clear" w:color="auto" w:fill="auto"/>
          </w:tcPr>
          <w:p w14:paraId="192B3F96" w14:textId="77777777" w:rsidR="00961B04" w:rsidRPr="007E2E44" w:rsidRDefault="00961B04" w:rsidP="00AB7CE4">
            <w:pPr>
              <w:jc w:val="both"/>
              <w:rPr>
                <w:rFonts w:ascii="Times New Roman" w:hAnsi="Times New Roman" w:cs="Times New Roman"/>
                <w:i/>
                <w:iCs/>
                <w:sz w:val="18"/>
                <w:szCs w:val="18"/>
              </w:rPr>
            </w:pPr>
            <w:r w:rsidRPr="007E2E44">
              <w:rPr>
                <w:rFonts w:ascii="Times New Roman" w:hAnsi="Times New Roman" w:cs="Times New Roman"/>
                <w:i/>
                <w:iCs/>
                <w:sz w:val="18"/>
                <w:szCs w:val="18"/>
              </w:rPr>
              <w:t>Nothofagus alpina</w:t>
            </w:r>
          </w:p>
        </w:tc>
        <w:tc>
          <w:tcPr>
            <w:tcW w:w="643" w:type="pct"/>
            <w:shd w:val="clear" w:color="auto" w:fill="auto"/>
          </w:tcPr>
          <w:p w14:paraId="2B3315C4"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Nothofagaceae</w:t>
            </w:r>
          </w:p>
        </w:tc>
        <w:tc>
          <w:tcPr>
            <w:tcW w:w="320" w:type="pct"/>
            <w:shd w:val="clear" w:color="auto" w:fill="auto"/>
          </w:tcPr>
          <w:p w14:paraId="61D6C37D"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07167099"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Pr>
          <w:p w14:paraId="02EA5D6D"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Pr>
          <w:p w14:paraId="740EC8C8"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seedlings and resprout individuals found at CM and MT.</w:t>
            </w:r>
          </w:p>
        </w:tc>
      </w:tr>
      <w:tr w:rsidR="007B6848" w:rsidRPr="00205DB2" w14:paraId="52960DEC" w14:textId="77777777" w:rsidTr="00FA2CA4">
        <w:trPr>
          <w:trHeight w:val="290"/>
        </w:trPr>
        <w:tc>
          <w:tcPr>
            <w:tcW w:w="1115" w:type="pct"/>
            <w:shd w:val="clear" w:color="auto" w:fill="auto"/>
          </w:tcPr>
          <w:p w14:paraId="17A1516E" w14:textId="77777777" w:rsidR="00961B04" w:rsidRPr="007E2E44" w:rsidRDefault="00961B04" w:rsidP="00AB7CE4">
            <w:pPr>
              <w:jc w:val="both"/>
              <w:rPr>
                <w:rFonts w:ascii="Times New Roman" w:hAnsi="Times New Roman" w:cs="Times New Roman"/>
                <w:i/>
                <w:iCs/>
                <w:sz w:val="18"/>
                <w:szCs w:val="18"/>
              </w:rPr>
            </w:pPr>
            <w:r w:rsidRPr="007E2E44">
              <w:rPr>
                <w:rFonts w:ascii="Times New Roman" w:hAnsi="Times New Roman" w:cs="Times New Roman"/>
                <w:i/>
                <w:iCs/>
                <w:sz w:val="18"/>
                <w:szCs w:val="18"/>
              </w:rPr>
              <w:t>Nothofagus antarctica</w:t>
            </w:r>
          </w:p>
        </w:tc>
        <w:tc>
          <w:tcPr>
            <w:tcW w:w="643" w:type="pct"/>
            <w:shd w:val="clear" w:color="auto" w:fill="auto"/>
          </w:tcPr>
          <w:p w14:paraId="22BDAD13"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Nothofagaceae</w:t>
            </w:r>
          </w:p>
        </w:tc>
        <w:tc>
          <w:tcPr>
            <w:tcW w:w="320" w:type="pct"/>
            <w:shd w:val="clear" w:color="auto" w:fill="auto"/>
          </w:tcPr>
          <w:p w14:paraId="61A569A6"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21D2E48A"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490" w:type="pct"/>
          </w:tcPr>
          <w:p w14:paraId="329656CE"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Pr>
          <w:p w14:paraId="4C8CDA0D"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and resprout individuals found in reburned plots at MT.</w:t>
            </w:r>
          </w:p>
        </w:tc>
      </w:tr>
      <w:tr w:rsidR="007B6848" w:rsidRPr="00205DB2" w14:paraId="60A648A8" w14:textId="77777777" w:rsidTr="00FA2CA4">
        <w:trPr>
          <w:trHeight w:val="290"/>
        </w:trPr>
        <w:tc>
          <w:tcPr>
            <w:tcW w:w="1115" w:type="pct"/>
            <w:shd w:val="clear" w:color="auto" w:fill="auto"/>
          </w:tcPr>
          <w:p w14:paraId="61A0F179" w14:textId="77777777" w:rsidR="00961B04" w:rsidRPr="007E2E44" w:rsidRDefault="00961B04" w:rsidP="00AB7CE4">
            <w:pPr>
              <w:jc w:val="both"/>
              <w:rPr>
                <w:rFonts w:ascii="Times New Roman" w:hAnsi="Times New Roman" w:cs="Times New Roman"/>
                <w:i/>
                <w:iCs/>
                <w:sz w:val="18"/>
                <w:szCs w:val="18"/>
              </w:rPr>
            </w:pPr>
            <w:r w:rsidRPr="007E2E44">
              <w:rPr>
                <w:rFonts w:ascii="Times New Roman" w:hAnsi="Times New Roman" w:cs="Times New Roman"/>
                <w:i/>
                <w:iCs/>
                <w:sz w:val="18"/>
                <w:szCs w:val="18"/>
              </w:rPr>
              <w:t>Nothofagus dombeyi</w:t>
            </w:r>
          </w:p>
        </w:tc>
        <w:tc>
          <w:tcPr>
            <w:tcW w:w="643" w:type="pct"/>
            <w:shd w:val="clear" w:color="auto" w:fill="auto"/>
          </w:tcPr>
          <w:p w14:paraId="765C8785"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Nothofagaceae</w:t>
            </w:r>
          </w:p>
        </w:tc>
        <w:tc>
          <w:tcPr>
            <w:tcW w:w="320" w:type="pct"/>
            <w:shd w:val="clear" w:color="auto" w:fill="auto"/>
          </w:tcPr>
          <w:p w14:paraId="56C7EDFB"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4F0188FB"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Pr>
          <w:p w14:paraId="08F0D403"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Pr>
          <w:p w14:paraId="1A022DDD"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seedlings and resprout individuals found at CM and MT.</w:t>
            </w:r>
          </w:p>
        </w:tc>
      </w:tr>
      <w:tr w:rsidR="007B6848" w:rsidRPr="00205DB2" w14:paraId="2BFEB0ED" w14:textId="77777777" w:rsidTr="00FA2CA4">
        <w:trPr>
          <w:trHeight w:val="290"/>
        </w:trPr>
        <w:tc>
          <w:tcPr>
            <w:tcW w:w="1115" w:type="pct"/>
            <w:shd w:val="clear" w:color="auto" w:fill="auto"/>
          </w:tcPr>
          <w:p w14:paraId="663E38E9" w14:textId="77777777" w:rsidR="00961B04" w:rsidRPr="007E2E44" w:rsidRDefault="00961B04" w:rsidP="00AB7CE4">
            <w:pPr>
              <w:jc w:val="both"/>
              <w:rPr>
                <w:rFonts w:ascii="Times New Roman" w:hAnsi="Times New Roman" w:cs="Times New Roman"/>
                <w:i/>
                <w:iCs/>
                <w:sz w:val="18"/>
                <w:szCs w:val="18"/>
              </w:rPr>
            </w:pPr>
            <w:r w:rsidRPr="007E2E44">
              <w:rPr>
                <w:rFonts w:ascii="Times New Roman" w:hAnsi="Times New Roman" w:cs="Times New Roman"/>
                <w:i/>
                <w:iCs/>
                <w:sz w:val="18"/>
                <w:szCs w:val="18"/>
              </w:rPr>
              <w:t>Nothofagus obliqua</w:t>
            </w:r>
          </w:p>
        </w:tc>
        <w:tc>
          <w:tcPr>
            <w:tcW w:w="643" w:type="pct"/>
            <w:shd w:val="clear" w:color="auto" w:fill="auto"/>
          </w:tcPr>
          <w:p w14:paraId="7C1A215A"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Nothofagaceae</w:t>
            </w:r>
          </w:p>
        </w:tc>
        <w:tc>
          <w:tcPr>
            <w:tcW w:w="320" w:type="pct"/>
            <w:shd w:val="clear" w:color="auto" w:fill="auto"/>
          </w:tcPr>
          <w:p w14:paraId="117E6A51"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39C15934"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Pr>
          <w:p w14:paraId="4987E712"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Pr>
          <w:p w14:paraId="7DB88CCE"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seedlings and resprout individuals found at CM and MT.</w:t>
            </w:r>
          </w:p>
        </w:tc>
      </w:tr>
      <w:tr w:rsidR="007B6848" w:rsidRPr="00205DB2" w14:paraId="1B496A9C" w14:textId="77777777" w:rsidTr="00FA2CA4">
        <w:trPr>
          <w:trHeight w:val="290"/>
        </w:trPr>
        <w:tc>
          <w:tcPr>
            <w:tcW w:w="1115" w:type="pct"/>
            <w:shd w:val="clear" w:color="auto" w:fill="auto"/>
          </w:tcPr>
          <w:p w14:paraId="64D631C3" w14:textId="77777777" w:rsidR="00961B04" w:rsidRPr="007E2E44" w:rsidRDefault="00961B04" w:rsidP="00AB7CE4">
            <w:pPr>
              <w:jc w:val="both"/>
              <w:rPr>
                <w:rFonts w:ascii="Times New Roman" w:hAnsi="Times New Roman" w:cs="Times New Roman"/>
                <w:i/>
                <w:iCs/>
                <w:sz w:val="18"/>
                <w:szCs w:val="18"/>
              </w:rPr>
            </w:pPr>
            <w:r w:rsidRPr="007E2E44">
              <w:rPr>
                <w:rFonts w:ascii="Times New Roman" w:hAnsi="Times New Roman" w:cs="Times New Roman"/>
                <w:i/>
                <w:iCs/>
                <w:sz w:val="18"/>
                <w:szCs w:val="18"/>
              </w:rPr>
              <w:t>Nothofagus pumilio</w:t>
            </w:r>
          </w:p>
        </w:tc>
        <w:tc>
          <w:tcPr>
            <w:tcW w:w="643" w:type="pct"/>
            <w:shd w:val="clear" w:color="auto" w:fill="auto"/>
          </w:tcPr>
          <w:p w14:paraId="083FF27D"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Nothofagaceae</w:t>
            </w:r>
          </w:p>
        </w:tc>
        <w:tc>
          <w:tcPr>
            <w:tcW w:w="320" w:type="pct"/>
            <w:shd w:val="clear" w:color="auto" w:fill="auto"/>
          </w:tcPr>
          <w:p w14:paraId="1846676D"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5FFA750C"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Pr>
          <w:p w14:paraId="26692CE5"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1967" w:type="pct"/>
          </w:tcPr>
          <w:p w14:paraId="2BEC175F"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seedlings and resprout individuals found at CM and MT.</w:t>
            </w:r>
          </w:p>
        </w:tc>
      </w:tr>
      <w:tr w:rsidR="007B6848" w:rsidRPr="00205DB2" w14:paraId="746E74B5" w14:textId="77777777" w:rsidTr="00FA2CA4">
        <w:trPr>
          <w:trHeight w:val="290"/>
        </w:trPr>
        <w:tc>
          <w:tcPr>
            <w:tcW w:w="1115" w:type="pct"/>
            <w:shd w:val="clear" w:color="auto" w:fill="auto"/>
          </w:tcPr>
          <w:p w14:paraId="6A8BA701"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i/>
                <w:iCs/>
                <w:sz w:val="18"/>
                <w:szCs w:val="18"/>
              </w:rPr>
              <w:t>Nothofagus</w:t>
            </w:r>
            <w:r w:rsidRPr="007E2E44">
              <w:rPr>
                <w:rFonts w:ascii="Times New Roman" w:hAnsi="Times New Roman" w:cs="Times New Roman"/>
                <w:sz w:val="18"/>
                <w:szCs w:val="18"/>
              </w:rPr>
              <w:t xml:space="preserve"> sp.</w:t>
            </w:r>
          </w:p>
        </w:tc>
        <w:tc>
          <w:tcPr>
            <w:tcW w:w="643" w:type="pct"/>
            <w:shd w:val="clear" w:color="auto" w:fill="auto"/>
          </w:tcPr>
          <w:p w14:paraId="0A92C462"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Nothofagaceae</w:t>
            </w:r>
          </w:p>
        </w:tc>
        <w:tc>
          <w:tcPr>
            <w:tcW w:w="320" w:type="pct"/>
            <w:shd w:val="clear" w:color="auto" w:fill="auto"/>
          </w:tcPr>
          <w:p w14:paraId="3B84901C"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shd w:val="clear" w:color="auto" w:fill="auto"/>
          </w:tcPr>
          <w:p w14:paraId="679957F6"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490" w:type="pct"/>
          </w:tcPr>
          <w:p w14:paraId="00D077C0"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1967" w:type="pct"/>
          </w:tcPr>
          <w:p w14:paraId="588EAC22"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charred individuals found in reburned areas at MT.</w:t>
            </w:r>
          </w:p>
        </w:tc>
      </w:tr>
      <w:tr w:rsidR="007B6848" w:rsidRPr="00205DB2" w14:paraId="15A01897" w14:textId="77777777" w:rsidTr="00FA2CA4">
        <w:trPr>
          <w:trHeight w:val="290"/>
        </w:trPr>
        <w:tc>
          <w:tcPr>
            <w:tcW w:w="1115" w:type="pct"/>
            <w:tcBorders>
              <w:bottom w:val="single" w:sz="4" w:space="0" w:color="auto"/>
            </w:tcBorders>
            <w:shd w:val="clear" w:color="auto" w:fill="auto"/>
          </w:tcPr>
          <w:p w14:paraId="4C803FAF" w14:textId="77777777" w:rsidR="00961B04" w:rsidRPr="007E2E44" w:rsidRDefault="00961B04" w:rsidP="00AB7CE4">
            <w:pPr>
              <w:jc w:val="both"/>
              <w:rPr>
                <w:rFonts w:ascii="Times New Roman" w:hAnsi="Times New Roman" w:cs="Times New Roman"/>
                <w:i/>
                <w:iCs/>
                <w:sz w:val="18"/>
                <w:szCs w:val="18"/>
              </w:rPr>
            </w:pPr>
            <w:r w:rsidRPr="007E2E44">
              <w:rPr>
                <w:rFonts w:ascii="Times New Roman" w:hAnsi="Times New Roman" w:cs="Times New Roman"/>
                <w:i/>
                <w:iCs/>
                <w:sz w:val="18"/>
                <w:szCs w:val="18"/>
              </w:rPr>
              <w:t>Persea lingue</w:t>
            </w:r>
          </w:p>
        </w:tc>
        <w:tc>
          <w:tcPr>
            <w:tcW w:w="643" w:type="pct"/>
            <w:tcBorders>
              <w:bottom w:val="single" w:sz="4" w:space="0" w:color="auto"/>
            </w:tcBorders>
            <w:shd w:val="clear" w:color="auto" w:fill="auto"/>
          </w:tcPr>
          <w:p w14:paraId="6F180732"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Lauraceae</w:t>
            </w:r>
          </w:p>
        </w:tc>
        <w:tc>
          <w:tcPr>
            <w:tcW w:w="320" w:type="pct"/>
            <w:tcBorders>
              <w:bottom w:val="single" w:sz="4" w:space="0" w:color="auto"/>
            </w:tcBorders>
            <w:shd w:val="clear" w:color="auto" w:fill="auto"/>
          </w:tcPr>
          <w:p w14:paraId="07D8F537"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65" w:type="pct"/>
            <w:tcBorders>
              <w:bottom w:val="single" w:sz="4" w:space="0" w:color="auto"/>
            </w:tcBorders>
            <w:shd w:val="clear" w:color="auto" w:fill="auto"/>
          </w:tcPr>
          <w:p w14:paraId="2943EFC3"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X</w:t>
            </w:r>
          </w:p>
        </w:tc>
        <w:tc>
          <w:tcPr>
            <w:tcW w:w="490" w:type="pct"/>
            <w:tcBorders>
              <w:bottom w:val="single" w:sz="4" w:space="0" w:color="auto"/>
            </w:tcBorders>
          </w:tcPr>
          <w:p w14:paraId="2E51C8D5" w14:textId="77777777" w:rsidR="00961B04" w:rsidRPr="007E2E44" w:rsidRDefault="00961B04" w:rsidP="00AB7CE4">
            <w:pPr>
              <w:jc w:val="center"/>
              <w:rPr>
                <w:rFonts w:ascii="Times New Roman" w:hAnsi="Times New Roman" w:cs="Times New Roman"/>
                <w:sz w:val="18"/>
                <w:szCs w:val="18"/>
              </w:rPr>
            </w:pPr>
            <w:r w:rsidRPr="007E2E44">
              <w:rPr>
                <w:rFonts w:ascii="Times New Roman" w:hAnsi="Times New Roman" w:cs="Times New Roman"/>
                <w:sz w:val="18"/>
                <w:szCs w:val="18"/>
              </w:rPr>
              <w:t>-</w:t>
            </w:r>
          </w:p>
        </w:tc>
        <w:tc>
          <w:tcPr>
            <w:tcW w:w="1967" w:type="pct"/>
            <w:tcBorders>
              <w:bottom w:val="single" w:sz="4" w:space="0" w:color="auto"/>
            </w:tcBorders>
          </w:tcPr>
          <w:p w14:paraId="129267AD" w14:textId="77777777" w:rsidR="00961B04" w:rsidRPr="007E2E44" w:rsidRDefault="00961B04" w:rsidP="00AB7CE4">
            <w:pPr>
              <w:jc w:val="both"/>
              <w:rPr>
                <w:rFonts w:ascii="Times New Roman" w:hAnsi="Times New Roman" w:cs="Times New Roman"/>
                <w:sz w:val="18"/>
                <w:szCs w:val="18"/>
              </w:rPr>
            </w:pPr>
            <w:r w:rsidRPr="007E2E44">
              <w:rPr>
                <w:rFonts w:ascii="Times New Roman" w:hAnsi="Times New Roman" w:cs="Times New Roman"/>
                <w:sz w:val="18"/>
                <w:szCs w:val="18"/>
              </w:rPr>
              <w:t>Tree and seedlings individuals found in unburned plots at MT.</w:t>
            </w:r>
          </w:p>
        </w:tc>
      </w:tr>
    </w:tbl>
    <w:p w14:paraId="2E6E54E1" w14:textId="77777777" w:rsidR="00961B04" w:rsidRDefault="00961B04" w:rsidP="00104B77">
      <w:pPr>
        <w:jc w:val="both"/>
        <w:rPr>
          <w:rFonts w:ascii="Times New Roman" w:hAnsi="Times New Roman" w:cs="Times New Roman"/>
          <w:sz w:val="24"/>
          <w:szCs w:val="24"/>
        </w:rPr>
      </w:pPr>
    </w:p>
    <w:p w14:paraId="1DA0DAC6" w14:textId="77777777" w:rsidR="00961B04" w:rsidRDefault="00961B04" w:rsidP="00104B77">
      <w:pPr>
        <w:jc w:val="both"/>
        <w:rPr>
          <w:rFonts w:ascii="Times New Roman" w:hAnsi="Times New Roman" w:cs="Times New Roman"/>
          <w:sz w:val="24"/>
          <w:szCs w:val="24"/>
        </w:rPr>
      </w:pPr>
    </w:p>
    <w:p w14:paraId="711F6EB0" w14:textId="03310468" w:rsidR="002D1D69" w:rsidRDefault="002D1D69">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3117D752" w14:textId="77E8532B" w:rsidR="00996C9A" w:rsidRDefault="00996C9A" w:rsidP="00104B77">
      <w:pPr>
        <w:jc w:val="both"/>
        <w:rPr>
          <w:rFonts w:ascii="Times New Roman" w:hAnsi="Times New Roman" w:cs="Times New Roman"/>
          <w:b/>
          <w:bCs/>
          <w:sz w:val="24"/>
          <w:szCs w:val="24"/>
        </w:rPr>
      </w:pPr>
      <w:r>
        <w:rPr>
          <w:rFonts w:ascii="Times New Roman" w:hAnsi="Times New Roman" w:cs="Times New Roman"/>
          <w:b/>
          <w:bCs/>
          <w:sz w:val="24"/>
          <w:szCs w:val="24"/>
        </w:rPr>
        <w:lastRenderedPageBreak/>
        <w:t>Table S2</w:t>
      </w:r>
      <w:r w:rsidR="00895748">
        <w:rPr>
          <w:rFonts w:ascii="Times New Roman" w:hAnsi="Times New Roman" w:cs="Times New Roman"/>
          <w:b/>
          <w:bCs/>
          <w:sz w:val="24"/>
          <w:szCs w:val="24"/>
        </w:rPr>
        <w:t xml:space="preserve">. </w:t>
      </w:r>
      <w:r w:rsidR="00895748" w:rsidRPr="00895748">
        <w:rPr>
          <w:rFonts w:ascii="Times New Roman" w:hAnsi="Times New Roman" w:cs="Times New Roman"/>
          <w:sz w:val="24"/>
          <w:szCs w:val="24"/>
        </w:rPr>
        <w:t>Pairwise multilevel comparison results (ρ values) from permutational multivariate analysis (PERMANOVA) of post-fire forest structure (</w:t>
      </w:r>
      <w:r w:rsidR="00452CDC">
        <w:rPr>
          <w:rFonts w:ascii="Times New Roman" w:hAnsi="Times New Roman" w:cs="Times New Roman"/>
          <w:sz w:val="24"/>
          <w:szCs w:val="24"/>
        </w:rPr>
        <w:t>e.g.,</w:t>
      </w:r>
      <w:r w:rsidR="00895748" w:rsidRPr="00895748">
        <w:rPr>
          <w:rFonts w:ascii="Times New Roman" w:hAnsi="Times New Roman" w:cs="Times New Roman"/>
          <w:sz w:val="24"/>
          <w:szCs w:val="24"/>
        </w:rPr>
        <w:t xml:space="preserve"> basal area) among </w:t>
      </w:r>
      <w:r w:rsidR="007F217C">
        <w:rPr>
          <w:rFonts w:ascii="Times New Roman" w:hAnsi="Times New Roman" w:cs="Times New Roman"/>
          <w:sz w:val="24"/>
          <w:szCs w:val="24"/>
        </w:rPr>
        <w:t>nine</w:t>
      </w:r>
      <w:r w:rsidR="00895748" w:rsidRPr="00895748">
        <w:rPr>
          <w:rFonts w:ascii="Times New Roman" w:hAnsi="Times New Roman" w:cs="Times New Roman"/>
          <w:sz w:val="24"/>
          <w:szCs w:val="24"/>
        </w:rPr>
        <w:t xml:space="preserve"> field-measured variables grouped by burn severity at China Muerta (CM) and Malleco-Tolhuaca (MT) study sites</w:t>
      </w:r>
      <w:r w:rsidR="00895748" w:rsidRPr="00895748">
        <w:rPr>
          <w:rFonts w:ascii="Times New Roman" w:hAnsi="Times New Roman" w:cs="Times New Roman"/>
          <w:b/>
          <w:bCs/>
          <w:sz w:val="24"/>
          <w:szCs w:val="24"/>
        </w:rPr>
        <w:t>.</w:t>
      </w:r>
      <w:r w:rsidR="00C40B2E">
        <w:rPr>
          <w:rFonts w:ascii="Times New Roman" w:hAnsi="Times New Roman" w:cs="Times New Roman"/>
          <w:b/>
          <w:bCs/>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7"/>
        <w:gridCol w:w="1787"/>
        <w:gridCol w:w="1787"/>
        <w:gridCol w:w="1787"/>
        <w:gridCol w:w="2028"/>
      </w:tblGrid>
      <w:tr w:rsidR="00895748" w:rsidRPr="00265A92" w14:paraId="1F49A074" w14:textId="77777777" w:rsidTr="0063593B">
        <w:trPr>
          <w:trHeight w:val="288"/>
        </w:trPr>
        <w:tc>
          <w:tcPr>
            <w:tcW w:w="1411" w:type="pct"/>
            <w:tcBorders>
              <w:top w:val="single" w:sz="4" w:space="0" w:color="auto"/>
            </w:tcBorders>
            <w:vAlign w:val="center"/>
            <w:hideMark/>
          </w:tcPr>
          <w:p w14:paraId="72DC520B" w14:textId="77777777" w:rsidR="00895748" w:rsidRPr="00265A92" w:rsidRDefault="00895748" w:rsidP="0063593B">
            <w:pPr>
              <w:jc w:val="center"/>
              <w:rPr>
                <w:rFonts w:ascii="Times New Roman" w:hAnsi="Times New Roman" w:cs="Times New Roman"/>
                <w:b/>
                <w:bCs/>
                <w:sz w:val="20"/>
                <w:szCs w:val="20"/>
              </w:rPr>
            </w:pPr>
            <w:r w:rsidRPr="00265A92">
              <w:rPr>
                <w:rFonts w:ascii="Times New Roman" w:hAnsi="Times New Roman" w:cs="Times New Roman"/>
                <w:b/>
                <w:bCs/>
                <w:sz w:val="20"/>
                <w:szCs w:val="20"/>
              </w:rPr>
              <w:t>Study sites</w:t>
            </w:r>
          </w:p>
        </w:tc>
        <w:tc>
          <w:tcPr>
            <w:tcW w:w="3589" w:type="pct"/>
            <w:gridSpan w:val="4"/>
            <w:tcBorders>
              <w:top w:val="single" w:sz="4" w:space="0" w:color="auto"/>
              <w:bottom w:val="single" w:sz="4" w:space="0" w:color="auto"/>
            </w:tcBorders>
          </w:tcPr>
          <w:p w14:paraId="094460FE" w14:textId="77777777" w:rsidR="00895748" w:rsidRPr="00265A92" w:rsidRDefault="00895748" w:rsidP="0063593B">
            <w:pPr>
              <w:jc w:val="center"/>
              <w:rPr>
                <w:rFonts w:ascii="Times New Roman" w:hAnsi="Times New Roman" w:cs="Times New Roman"/>
                <w:b/>
                <w:bCs/>
                <w:sz w:val="20"/>
                <w:szCs w:val="20"/>
              </w:rPr>
            </w:pPr>
            <w:r w:rsidRPr="00265A92">
              <w:rPr>
                <w:rFonts w:ascii="Times New Roman" w:hAnsi="Times New Roman" w:cs="Times New Roman"/>
                <w:b/>
                <w:bCs/>
                <w:sz w:val="20"/>
                <w:szCs w:val="20"/>
              </w:rPr>
              <w:t>Burn severity</w:t>
            </w:r>
          </w:p>
        </w:tc>
      </w:tr>
      <w:tr w:rsidR="00895748" w:rsidRPr="00265A92" w14:paraId="7A3EFF33" w14:textId="77777777" w:rsidTr="0063593B">
        <w:trPr>
          <w:trHeight w:val="288"/>
        </w:trPr>
        <w:tc>
          <w:tcPr>
            <w:tcW w:w="1411" w:type="pct"/>
            <w:tcBorders>
              <w:top w:val="single" w:sz="4" w:space="0" w:color="auto"/>
            </w:tcBorders>
            <w:vAlign w:val="center"/>
            <w:hideMark/>
          </w:tcPr>
          <w:p w14:paraId="669D541C" w14:textId="77777777" w:rsidR="00895748" w:rsidRPr="00265A92" w:rsidRDefault="00895748" w:rsidP="0063593B">
            <w:pPr>
              <w:rPr>
                <w:rFonts w:ascii="Times New Roman" w:hAnsi="Times New Roman" w:cs="Times New Roman"/>
                <w:b/>
                <w:bCs/>
                <w:sz w:val="20"/>
                <w:szCs w:val="20"/>
              </w:rPr>
            </w:pPr>
          </w:p>
        </w:tc>
        <w:tc>
          <w:tcPr>
            <w:tcW w:w="868" w:type="pct"/>
            <w:tcBorders>
              <w:top w:val="single" w:sz="4" w:space="0" w:color="auto"/>
            </w:tcBorders>
            <w:vAlign w:val="center"/>
          </w:tcPr>
          <w:p w14:paraId="3CB0AB6F" w14:textId="77777777" w:rsidR="00895748" w:rsidRPr="00265A92" w:rsidRDefault="00895748" w:rsidP="0063593B">
            <w:pPr>
              <w:jc w:val="center"/>
              <w:rPr>
                <w:rFonts w:ascii="Times New Roman" w:hAnsi="Times New Roman" w:cs="Times New Roman"/>
                <w:sz w:val="20"/>
                <w:szCs w:val="20"/>
              </w:rPr>
            </w:pPr>
          </w:p>
        </w:tc>
        <w:tc>
          <w:tcPr>
            <w:tcW w:w="868" w:type="pct"/>
            <w:tcBorders>
              <w:top w:val="single" w:sz="4" w:space="0" w:color="auto"/>
            </w:tcBorders>
            <w:vAlign w:val="center"/>
            <w:hideMark/>
          </w:tcPr>
          <w:p w14:paraId="60ADA56D"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Unburned</w:t>
            </w:r>
          </w:p>
        </w:tc>
        <w:tc>
          <w:tcPr>
            <w:tcW w:w="868" w:type="pct"/>
            <w:tcBorders>
              <w:top w:val="single" w:sz="4" w:space="0" w:color="auto"/>
            </w:tcBorders>
            <w:vAlign w:val="center"/>
            <w:hideMark/>
          </w:tcPr>
          <w:p w14:paraId="00B03A37"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Low</w:t>
            </w:r>
          </w:p>
        </w:tc>
        <w:tc>
          <w:tcPr>
            <w:tcW w:w="985" w:type="pct"/>
            <w:tcBorders>
              <w:top w:val="single" w:sz="4" w:space="0" w:color="auto"/>
            </w:tcBorders>
            <w:vAlign w:val="center"/>
            <w:hideMark/>
          </w:tcPr>
          <w:p w14:paraId="03B60DE0"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High</w:t>
            </w:r>
          </w:p>
        </w:tc>
      </w:tr>
      <w:tr w:rsidR="00895748" w:rsidRPr="00265A92" w14:paraId="3B6B4F83" w14:textId="77777777" w:rsidTr="0063593B">
        <w:trPr>
          <w:trHeight w:val="288"/>
        </w:trPr>
        <w:tc>
          <w:tcPr>
            <w:tcW w:w="1411" w:type="pct"/>
            <w:vMerge w:val="restart"/>
            <w:hideMark/>
          </w:tcPr>
          <w:p w14:paraId="5DD12F09" w14:textId="77777777" w:rsidR="00895748" w:rsidRPr="00265A92" w:rsidRDefault="00895748" w:rsidP="0063593B">
            <w:pPr>
              <w:rPr>
                <w:rFonts w:ascii="Times New Roman" w:hAnsi="Times New Roman" w:cs="Times New Roman"/>
                <w:b/>
                <w:bCs/>
                <w:sz w:val="20"/>
                <w:szCs w:val="20"/>
              </w:rPr>
            </w:pPr>
            <w:r w:rsidRPr="00265A92">
              <w:rPr>
                <w:rFonts w:ascii="Times New Roman" w:hAnsi="Times New Roman" w:cs="Times New Roman"/>
                <w:b/>
                <w:bCs/>
                <w:sz w:val="20"/>
                <w:szCs w:val="20"/>
              </w:rPr>
              <w:t>China Muerta</w:t>
            </w:r>
          </w:p>
          <w:p w14:paraId="3D064F40" w14:textId="77777777" w:rsidR="00895748" w:rsidRPr="00265A92" w:rsidRDefault="00895748" w:rsidP="0063593B">
            <w:pPr>
              <w:rPr>
                <w:rFonts w:ascii="Times New Roman" w:hAnsi="Times New Roman" w:cs="Times New Roman"/>
                <w:sz w:val="20"/>
                <w:szCs w:val="20"/>
              </w:rPr>
            </w:pPr>
            <w:r w:rsidRPr="00265A92">
              <w:rPr>
                <w:rFonts w:ascii="Times New Roman" w:hAnsi="Times New Roman" w:cs="Times New Roman"/>
                <w:sz w:val="20"/>
                <w:szCs w:val="20"/>
              </w:rPr>
              <w:t>(single fire)</w:t>
            </w:r>
          </w:p>
        </w:tc>
        <w:tc>
          <w:tcPr>
            <w:tcW w:w="868" w:type="pct"/>
            <w:vAlign w:val="center"/>
            <w:hideMark/>
          </w:tcPr>
          <w:p w14:paraId="361B2211" w14:textId="77777777" w:rsidR="00895748" w:rsidRPr="00265A92" w:rsidRDefault="00895748" w:rsidP="0063593B">
            <w:pPr>
              <w:rPr>
                <w:rFonts w:ascii="Times New Roman" w:hAnsi="Times New Roman" w:cs="Times New Roman"/>
                <w:sz w:val="20"/>
                <w:szCs w:val="20"/>
              </w:rPr>
            </w:pPr>
            <w:r w:rsidRPr="00265A92">
              <w:rPr>
                <w:rFonts w:ascii="Times New Roman" w:hAnsi="Times New Roman" w:cs="Times New Roman"/>
                <w:sz w:val="20"/>
                <w:szCs w:val="20"/>
              </w:rPr>
              <w:t>Unburned</w:t>
            </w:r>
          </w:p>
        </w:tc>
        <w:tc>
          <w:tcPr>
            <w:tcW w:w="868" w:type="pct"/>
            <w:vAlign w:val="center"/>
            <w:hideMark/>
          </w:tcPr>
          <w:p w14:paraId="49F6BB85"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w:t>
            </w:r>
          </w:p>
        </w:tc>
        <w:tc>
          <w:tcPr>
            <w:tcW w:w="868" w:type="pct"/>
            <w:vAlign w:val="center"/>
          </w:tcPr>
          <w:p w14:paraId="1984B2E3"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0.228</w:t>
            </w:r>
          </w:p>
        </w:tc>
        <w:tc>
          <w:tcPr>
            <w:tcW w:w="985" w:type="pct"/>
            <w:vAlign w:val="center"/>
          </w:tcPr>
          <w:p w14:paraId="12CF7294" w14:textId="77777777" w:rsidR="00895748" w:rsidRPr="00265A92" w:rsidRDefault="00895748" w:rsidP="0063593B">
            <w:pPr>
              <w:jc w:val="center"/>
              <w:rPr>
                <w:rFonts w:ascii="Times New Roman" w:hAnsi="Times New Roman" w:cs="Times New Roman"/>
                <w:b/>
                <w:bCs/>
                <w:sz w:val="20"/>
                <w:szCs w:val="20"/>
              </w:rPr>
            </w:pPr>
            <w:r w:rsidRPr="00265A92">
              <w:rPr>
                <w:rFonts w:ascii="Times New Roman" w:hAnsi="Times New Roman" w:cs="Times New Roman"/>
                <w:b/>
                <w:bCs/>
                <w:sz w:val="20"/>
                <w:szCs w:val="20"/>
              </w:rPr>
              <w:t>0.001</w:t>
            </w:r>
          </w:p>
        </w:tc>
      </w:tr>
      <w:tr w:rsidR="00895748" w:rsidRPr="00265A92" w14:paraId="0D448A1C" w14:textId="77777777" w:rsidTr="0063593B">
        <w:trPr>
          <w:trHeight w:val="288"/>
        </w:trPr>
        <w:tc>
          <w:tcPr>
            <w:tcW w:w="1411" w:type="pct"/>
            <w:vMerge/>
            <w:vAlign w:val="center"/>
            <w:hideMark/>
          </w:tcPr>
          <w:p w14:paraId="1ED633D3" w14:textId="77777777" w:rsidR="00895748" w:rsidRPr="00265A92" w:rsidRDefault="00895748" w:rsidP="0063593B">
            <w:pPr>
              <w:rPr>
                <w:rFonts w:ascii="Times New Roman" w:hAnsi="Times New Roman" w:cs="Times New Roman"/>
                <w:sz w:val="20"/>
                <w:szCs w:val="20"/>
              </w:rPr>
            </w:pPr>
          </w:p>
        </w:tc>
        <w:tc>
          <w:tcPr>
            <w:tcW w:w="868" w:type="pct"/>
            <w:vAlign w:val="center"/>
            <w:hideMark/>
          </w:tcPr>
          <w:p w14:paraId="1A8EFA53" w14:textId="77777777" w:rsidR="00895748" w:rsidRPr="00265A92" w:rsidRDefault="00895748" w:rsidP="0063593B">
            <w:pPr>
              <w:rPr>
                <w:rFonts w:ascii="Times New Roman" w:hAnsi="Times New Roman" w:cs="Times New Roman"/>
                <w:sz w:val="20"/>
                <w:szCs w:val="20"/>
              </w:rPr>
            </w:pPr>
            <w:r w:rsidRPr="00265A92">
              <w:rPr>
                <w:rFonts w:ascii="Times New Roman" w:hAnsi="Times New Roman" w:cs="Times New Roman"/>
                <w:sz w:val="20"/>
                <w:szCs w:val="20"/>
              </w:rPr>
              <w:t>Low</w:t>
            </w:r>
          </w:p>
        </w:tc>
        <w:tc>
          <w:tcPr>
            <w:tcW w:w="868" w:type="pct"/>
            <w:vAlign w:val="center"/>
          </w:tcPr>
          <w:p w14:paraId="7A25FF5E" w14:textId="77777777" w:rsidR="00895748" w:rsidRPr="00265A92" w:rsidRDefault="00895748" w:rsidP="0063593B">
            <w:pPr>
              <w:jc w:val="center"/>
              <w:rPr>
                <w:rFonts w:ascii="Times New Roman" w:hAnsi="Times New Roman" w:cs="Times New Roman"/>
                <w:sz w:val="20"/>
                <w:szCs w:val="20"/>
              </w:rPr>
            </w:pPr>
          </w:p>
        </w:tc>
        <w:tc>
          <w:tcPr>
            <w:tcW w:w="868" w:type="pct"/>
            <w:vAlign w:val="center"/>
            <w:hideMark/>
          </w:tcPr>
          <w:p w14:paraId="1EC2A25A"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w:t>
            </w:r>
          </w:p>
        </w:tc>
        <w:tc>
          <w:tcPr>
            <w:tcW w:w="985" w:type="pct"/>
            <w:vAlign w:val="center"/>
          </w:tcPr>
          <w:p w14:paraId="2BDB0B12" w14:textId="77777777" w:rsidR="00895748" w:rsidRPr="00265A92" w:rsidRDefault="00895748" w:rsidP="0063593B">
            <w:pPr>
              <w:jc w:val="center"/>
              <w:rPr>
                <w:rFonts w:ascii="Times New Roman" w:hAnsi="Times New Roman" w:cs="Times New Roman"/>
                <w:b/>
                <w:bCs/>
                <w:sz w:val="20"/>
                <w:szCs w:val="20"/>
              </w:rPr>
            </w:pPr>
            <w:r w:rsidRPr="00265A92">
              <w:rPr>
                <w:rFonts w:ascii="Times New Roman" w:hAnsi="Times New Roman" w:cs="Times New Roman"/>
                <w:b/>
                <w:bCs/>
                <w:sz w:val="20"/>
                <w:szCs w:val="20"/>
              </w:rPr>
              <w:t>0.014</w:t>
            </w:r>
          </w:p>
        </w:tc>
      </w:tr>
      <w:tr w:rsidR="00895748" w:rsidRPr="00265A92" w14:paraId="200E1BFC" w14:textId="77777777" w:rsidTr="0063593B">
        <w:trPr>
          <w:trHeight w:val="288"/>
        </w:trPr>
        <w:tc>
          <w:tcPr>
            <w:tcW w:w="1411" w:type="pct"/>
            <w:vMerge/>
            <w:tcBorders>
              <w:bottom w:val="single" w:sz="4" w:space="0" w:color="auto"/>
            </w:tcBorders>
            <w:vAlign w:val="center"/>
            <w:hideMark/>
          </w:tcPr>
          <w:p w14:paraId="1972FC1D" w14:textId="77777777" w:rsidR="00895748" w:rsidRPr="00265A92" w:rsidRDefault="00895748" w:rsidP="0063593B">
            <w:pPr>
              <w:rPr>
                <w:rFonts w:ascii="Times New Roman" w:hAnsi="Times New Roman" w:cs="Times New Roman"/>
                <w:sz w:val="20"/>
                <w:szCs w:val="20"/>
              </w:rPr>
            </w:pPr>
          </w:p>
        </w:tc>
        <w:tc>
          <w:tcPr>
            <w:tcW w:w="868" w:type="pct"/>
            <w:tcBorders>
              <w:bottom w:val="single" w:sz="4" w:space="0" w:color="auto"/>
            </w:tcBorders>
            <w:vAlign w:val="center"/>
            <w:hideMark/>
          </w:tcPr>
          <w:p w14:paraId="6B3E90E4" w14:textId="77777777" w:rsidR="00895748" w:rsidRPr="00265A92" w:rsidRDefault="00895748" w:rsidP="0063593B">
            <w:pPr>
              <w:rPr>
                <w:rFonts w:ascii="Times New Roman" w:hAnsi="Times New Roman" w:cs="Times New Roman"/>
                <w:sz w:val="20"/>
                <w:szCs w:val="20"/>
              </w:rPr>
            </w:pPr>
            <w:r w:rsidRPr="00265A92">
              <w:rPr>
                <w:rFonts w:ascii="Times New Roman" w:hAnsi="Times New Roman" w:cs="Times New Roman"/>
                <w:sz w:val="20"/>
                <w:szCs w:val="20"/>
              </w:rPr>
              <w:t>High</w:t>
            </w:r>
          </w:p>
        </w:tc>
        <w:tc>
          <w:tcPr>
            <w:tcW w:w="868" w:type="pct"/>
            <w:tcBorders>
              <w:bottom w:val="single" w:sz="4" w:space="0" w:color="auto"/>
            </w:tcBorders>
            <w:vAlign w:val="center"/>
          </w:tcPr>
          <w:p w14:paraId="5A49690C" w14:textId="77777777" w:rsidR="00895748" w:rsidRPr="00265A92" w:rsidRDefault="00895748" w:rsidP="0063593B">
            <w:pPr>
              <w:jc w:val="center"/>
              <w:rPr>
                <w:rFonts w:ascii="Times New Roman" w:hAnsi="Times New Roman" w:cs="Times New Roman"/>
                <w:sz w:val="20"/>
                <w:szCs w:val="20"/>
              </w:rPr>
            </w:pPr>
          </w:p>
        </w:tc>
        <w:tc>
          <w:tcPr>
            <w:tcW w:w="868" w:type="pct"/>
            <w:tcBorders>
              <w:bottom w:val="single" w:sz="4" w:space="0" w:color="auto"/>
            </w:tcBorders>
            <w:vAlign w:val="center"/>
          </w:tcPr>
          <w:p w14:paraId="4D4FD2B1" w14:textId="77777777" w:rsidR="00895748" w:rsidRPr="00265A92" w:rsidRDefault="00895748" w:rsidP="0063593B">
            <w:pPr>
              <w:jc w:val="center"/>
              <w:rPr>
                <w:rFonts w:ascii="Times New Roman" w:hAnsi="Times New Roman" w:cs="Times New Roman"/>
                <w:sz w:val="20"/>
                <w:szCs w:val="20"/>
              </w:rPr>
            </w:pPr>
          </w:p>
        </w:tc>
        <w:tc>
          <w:tcPr>
            <w:tcW w:w="985" w:type="pct"/>
            <w:tcBorders>
              <w:bottom w:val="single" w:sz="4" w:space="0" w:color="auto"/>
            </w:tcBorders>
            <w:vAlign w:val="center"/>
            <w:hideMark/>
          </w:tcPr>
          <w:p w14:paraId="0A52A845"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w:t>
            </w:r>
          </w:p>
        </w:tc>
      </w:tr>
      <w:tr w:rsidR="00895748" w:rsidRPr="00265A92" w14:paraId="36B15B48" w14:textId="77777777" w:rsidTr="0063593B">
        <w:trPr>
          <w:trHeight w:val="288"/>
        </w:trPr>
        <w:tc>
          <w:tcPr>
            <w:tcW w:w="1411" w:type="pct"/>
            <w:tcBorders>
              <w:top w:val="single" w:sz="4" w:space="0" w:color="auto"/>
            </w:tcBorders>
          </w:tcPr>
          <w:p w14:paraId="58545FDF" w14:textId="77777777" w:rsidR="00895748" w:rsidRPr="00265A92" w:rsidRDefault="00895748" w:rsidP="0063593B">
            <w:pPr>
              <w:rPr>
                <w:rFonts w:ascii="Times New Roman" w:hAnsi="Times New Roman" w:cs="Times New Roman"/>
                <w:sz w:val="20"/>
                <w:szCs w:val="20"/>
              </w:rPr>
            </w:pPr>
          </w:p>
        </w:tc>
        <w:tc>
          <w:tcPr>
            <w:tcW w:w="868" w:type="pct"/>
            <w:tcBorders>
              <w:top w:val="single" w:sz="4" w:space="0" w:color="auto"/>
            </w:tcBorders>
            <w:vAlign w:val="center"/>
          </w:tcPr>
          <w:p w14:paraId="37EED93C" w14:textId="77777777" w:rsidR="00895748" w:rsidRPr="00265A92" w:rsidRDefault="00895748" w:rsidP="0063593B">
            <w:pPr>
              <w:rPr>
                <w:rFonts w:ascii="Times New Roman" w:hAnsi="Times New Roman" w:cs="Times New Roman"/>
                <w:sz w:val="20"/>
                <w:szCs w:val="20"/>
              </w:rPr>
            </w:pPr>
          </w:p>
        </w:tc>
        <w:tc>
          <w:tcPr>
            <w:tcW w:w="868" w:type="pct"/>
            <w:tcBorders>
              <w:top w:val="single" w:sz="4" w:space="0" w:color="auto"/>
            </w:tcBorders>
            <w:vAlign w:val="center"/>
          </w:tcPr>
          <w:p w14:paraId="6110A9DD"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Unburned</w:t>
            </w:r>
          </w:p>
        </w:tc>
        <w:tc>
          <w:tcPr>
            <w:tcW w:w="868" w:type="pct"/>
            <w:tcBorders>
              <w:top w:val="single" w:sz="4" w:space="0" w:color="auto"/>
            </w:tcBorders>
            <w:vAlign w:val="center"/>
          </w:tcPr>
          <w:p w14:paraId="57515FAC"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High-Low</w:t>
            </w:r>
          </w:p>
        </w:tc>
        <w:tc>
          <w:tcPr>
            <w:tcW w:w="985" w:type="pct"/>
            <w:tcBorders>
              <w:top w:val="single" w:sz="4" w:space="0" w:color="auto"/>
            </w:tcBorders>
            <w:vAlign w:val="center"/>
          </w:tcPr>
          <w:p w14:paraId="67D021E6"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High-High</w:t>
            </w:r>
          </w:p>
        </w:tc>
      </w:tr>
      <w:tr w:rsidR="00895748" w:rsidRPr="00265A92" w14:paraId="49FB5F5B" w14:textId="77777777" w:rsidTr="0063593B">
        <w:trPr>
          <w:trHeight w:val="288"/>
        </w:trPr>
        <w:tc>
          <w:tcPr>
            <w:tcW w:w="1411" w:type="pct"/>
            <w:vMerge w:val="restart"/>
            <w:hideMark/>
          </w:tcPr>
          <w:p w14:paraId="4D07B41E" w14:textId="77777777" w:rsidR="00895748" w:rsidRPr="00265A92" w:rsidRDefault="00895748" w:rsidP="0063593B">
            <w:pPr>
              <w:rPr>
                <w:rFonts w:ascii="Times New Roman" w:hAnsi="Times New Roman" w:cs="Times New Roman"/>
                <w:b/>
                <w:bCs/>
                <w:sz w:val="20"/>
                <w:szCs w:val="20"/>
              </w:rPr>
            </w:pPr>
            <w:r w:rsidRPr="00265A92">
              <w:rPr>
                <w:rFonts w:ascii="Times New Roman" w:hAnsi="Times New Roman" w:cs="Times New Roman"/>
                <w:b/>
                <w:bCs/>
                <w:sz w:val="20"/>
                <w:szCs w:val="20"/>
              </w:rPr>
              <w:t>Malleco-Tolhuaca</w:t>
            </w:r>
          </w:p>
          <w:p w14:paraId="3B95D05F" w14:textId="77777777" w:rsidR="00895748" w:rsidRPr="00265A92" w:rsidRDefault="00895748" w:rsidP="0063593B">
            <w:pPr>
              <w:rPr>
                <w:rFonts w:ascii="Times New Roman" w:hAnsi="Times New Roman" w:cs="Times New Roman"/>
                <w:sz w:val="20"/>
                <w:szCs w:val="20"/>
              </w:rPr>
            </w:pPr>
            <w:r w:rsidRPr="00265A92">
              <w:rPr>
                <w:rFonts w:ascii="Times New Roman" w:hAnsi="Times New Roman" w:cs="Times New Roman"/>
                <w:sz w:val="20"/>
                <w:szCs w:val="20"/>
              </w:rPr>
              <w:t>(reburn)</w:t>
            </w:r>
          </w:p>
        </w:tc>
        <w:tc>
          <w:tcPr>
            <w:tcW w:w="868" w:type="pct"/>
            <w:vAlign w:val="center"/>
            <w:hideMark/>
          </w:tcPr>
          <w:p w14:paraId="7D678E72" w14:textId="77777777" w:rsidR="00895748" w:rsidRPr="00265A92" w:rsidRDefault="00895748" w:rsidP="0063593B">
            <w:pPr>
              <w:rPr>
                <w:rFonts w:ascii="Times New Roman" w:hAnsi="Times New Roman" w:cs="Times New Roman"/>
                <w:sz w:val="20"/>
                <w:szCs w:val="20"/>
              </w:rPr>
            </w:pPr>
            <w:r w:rsidRPr="00265A92">
              <w:rPr>
                <w:rFonts w:ascii="Times New Roman" w:hAnsi="Times New Roman" w:cs="Times New Roman"/>
                <w:sz w:val="20"/>
                <w:szCs w:val="20"/>
              </w:rPr>
              <w:t>Unburned</w:t>
            </w:r>
          </w:p>
        </w:tc>
        <w:tc>
          <w:tcPr>
            <w:tcW w:w="868" w:type="pct"/>
            <w:vAlign w:val="center"/>
          </w:tcPr>
          <w:p w14:paraId="08D0A5A0"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w:t>
            </w:r>
          </w:p>
        </w:tc>
        <w:tc>
          <w:tcPr>
            <w:tcW w:w="868" w:type="pct"/>
            <w:vAlign w:val="center"/>
          </w:tcPr>
          <w:p w14:paraId="476EA87E"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b/>
                <w:bCs/>
                <w:sz w:val="20"/>
                <w:szCs w:val="20"/>
              </w:rPr>
              <w:t>0.001</w:t>
            </w:r>
          </w:p>
        </w:tc>
        <w:tc>
          <w:tcPr>
            <w:tcW w:w="985" w:type="pct"/>
            <w:vAlign w:val="center"/>
          </w:tcPr>
          <w:p w14:paraId="7B42BA8B"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b/>
                <w:bCs/>
                <w:sz w:val="20"/>
                <w:szCs w:val="20"/>
              </w:rPr>
              <w:t>0.002</w:t>
            </w:r>
          </w:p>
        </w:tc>
      </w:tr>
      <w:tr w:rsidR="00895748" w:rsidRPr="00265A92" w14:paraId="408B9D63" w14:textId="77777777" w:rsidTr="0063593B">
        <w:trPr>
          <w:trHeight w:val="288"/>
        </w:trPr>
        <w:tc>
          <w:tcPr>
            <w:tcW w:w="1411" w:type="pct"/>
            <w:vMerge/>
            <w:vAlign w:val="center"/>
            <w:hideMark/>
          </w:tcPr>
          <w:p w14:paraId="4B85FF73" w14:textId="77777777" w:rsidR="00895748" w:rsidRPr="00265A92" w:rsidRDefault="00895748" w:rsidP="0063593B">
            <w:pPr>
              <w:rPr>
                <w:rFonts w:ascii="Times New Roman" w:hAnsi="Times New Roman" w:cs="Times New Roman"/>
                <w:b/>
                <w:bCs/>
                <w:sz w:val="20"/>
                <w:szCs w:val="20"/>
              </w:rPr>
            </w:pPr>
          </w:p>
        </w:tc>
        <w:tc>
          <w:tcPr>
            <w:tcW w:w="868" w:type="pct"/>
            <w:vAlign w:val="center"/>
            <w:hideMark/>
          </w:tcPr>
          <w:p w14:paraId="6EA5AD00" w14:textId="77777777" w:rsidR="00895748" w:rsidRPr="00265A92" w:rsidRDefault="00895748" w:rsidP="0063593B">
            <w:pPr>
              <w:rPr>
                <w:rFonts w:ascii="Times New Roman" w:hAnsi="Times New Roman" w:cs="Times New Roman"/>
                <w:sz w:val="20"/>
                <w:szCs w:val="20"/>
              </w:rPr>
            </w:pPr>
            <w:r w:rsidRPr="00265A92">
              <w:rPr>
                <w:rFonts w:ascii="Times New Roman" w:hAnsi="Times New Roman" w:cs="Times New Roman"/>
                <w:sz w:val="20"/>
                <w:szCs w:val="20"/>
              </w:rPr>
              <w:t>High-Low</w:t>
            </w:r>
          </w:p>
        </w:tc>
        <w:tc>
          <w:tcPr>
            <w:tcW w:w="868" w:type="pct"/>
            <w:vAlign w:val="center"/>
          </w:tcPr>
          <w:p w14:paraId="64EACB1D" w14:textId="77777777" w:rsidR="00895748" w:rsidRPr="00265A92" w:rsidRDefault="00895748" w:rsidP="0063593B">
            <w:pPr>
              <w:jc w:val="center"/>
              <w:rPr>
                <w:rFonts w:ascii="Times New Roman" w:hAnsi="Times New Roman" w:cs="Times New Roman"/>
                <w:sz w:val="20"/>
                <w:szCs w:val="20"/>
              </w:rPr>
            </w:pPr>
          </w:p>
        </w:tc>
        <w:tc>
          <w:tcPr>
            <w:tcW w:w="868" w:type="pct"/>
            <w:vAlign w:val="center"/>
          </w:tcPr>
          <w:p w14:paraId="1E7F09F4"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w:t>
            </w:r>
          </w:p>
        </w:tc>
        <w:tc>
          <w:tcPr>
            <w:tcW w:w="985" w:type="pct"/>
            <w:vAlign w:val="center"/>
          </w:tcPr>
          <w:p w14:paraId="0AAD9722"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0.056</w:t>
            </w:r>
          </w:p>
        </w:tc>
      </w:tr>
      <w:tr w:rsidR="00895748" w:rsidRPr="00265A92" w14:paraId="557CD344" w14:textId="77777777" w:rsidTr="0063593B">
        <w:trPr>
          <w:trHeight w:val="288"/>
        </w:trPr>
        <w:tc>
          <w:tcPr>
            <w:tcW w:w="1411" w:type="pct"/>
            <w:vMerge/>
            <w:tcBorders>
              <w:bottom w:val="single" w:sz="4" w:space="0" w:color="auto"/>
            </w:tcBorders>
            <w:vAlign w:val="center"/>
            <w:hideMark/>
          </w:tcPr>
          <w:p w14:paraId="4721B4FB" w14:textId="77777777" w:rsidR="00895748" w:rsidRPr="00265A92" w:rsidRDefault="00895748" w:rsidP="0063593B">
            <w:pPr>
              <w:rPr>
                <w:rFonts w:ascii="Times New Roman" w:hAnsi="Times New Roman" w:cs="Times New Roman"/>
                <w:b/>
                <w:bCs/>
                <w:sz w:val="20"/>
                <w:szCs w:val="20"/>
              </w:rPr>
            </w:pPr>
          </w:p>
        </w:tc>
        <w:tc>
          <w:tcPr>
            <w:tcW w:w="868" w:type="pct"/>
            <w:tcBorders>
              <w:bottom w:val="single" w:sz="4" w:space="0" w:color="auto"/>
            </w:tcBorders>
            <w:vAlign w:val="center"/>
            <w:hideMark/>
          </w:tcPr>
          <w:p w14:paraId="7328EF1A" w14:textId="77777777" w:rsidR="00895748" w:rsidRPr="00265A92" w:rsidRDefault="00895748" w:rsidP="0063593B">
            <w:pPr>
              <w:rPr>
                <w:rFonts w:ascii="Times New Roman" w:hAnsi="Times New Roman" w:cs="Times New Roman"/>
                <w:sz w:val="20"/>
                <w:szCs w:val="20"/>
              </w:rPr>
            </w:pPr>
            <w:r w:rsidRPr="00265A92">
              <w:rPr>
                <w:rFonts w:ascii="Times New Roman" w:hAnsi="Times New Roman" w:cs="Times New Roman"/>
                <w:sz w:val="20"/>
                <w:szCs w:val="20"/>
              </w:rPr>
              <w:t>High-High</w:t>
            </w:r>
          </w:p>
        </w:tc>
        <w:tc>
          <w:tcPr>
            <w:tcW w:w="868" w:type="pct"/>
            <w:tcBorders>
              <w:bottom w:val="single" w:sz="4" w:space="0" w:color="auto"/>
            </w:tcBorders>
            <w:vAlign w:val="center"/>
          </w:tcPr>
          <w:p w14:paraId="0469A432" w14:textId="77777777" w:rsidR="00895748" w:rsidRPr="00265A92" w:rsidRDefault="00895748" w:rsidP="0063593B">
            <w:pPr>
              <w:jc w:val="center"/>
              <w:rPr>
                <w:rFonts w:ascii="Times New Roman" w:hAnsi="Times New Roman" w:cs="Times New Roman"/>
                <w:sz w:val="20"/>
                <w:szCs w:val="20"/>
              </w:rPr>
            </w:pPr>
          </w:p>
        </w:tc>
        <w:tc>
          <w:tcPr>
            <w:tcW w:w="868" w:type="pct"/>
            <w:tcBorders>
              <w:bottom w:val="single" w:sz="4" w:space="0" w:color="auto"/>
            </w:tcBorders>
            <w:vAlign w:val="center"/>
          </w:tcPr>
          <w:p w14:paraId="63CCCD6E" w14:textId="77777777" w:rsidR="00895748" w:rsidRPr="00265A92" w:rsidRDefault="00895748" w:rsidP="0063593B">
            <w:pPr>
              <w:jc w:val="center"/>
              <w:rPr>
                <w:rFonts w:ascii="Times New Roman" w:hAnsi="Times New Roman" w:cs="Times New Roman"/>
                <w:sz w:val="20"/>
                <w:szCs w:val="20"/>
              </w:rPr>
            </w:pPr>
          </w:p>
        </w:tc>
        <w:tc>
          <w:tcPr>
            <w:tcW w:w="985" w:type="pct"/>
            <w:tcBorders>
              <w:bottom w:val="single" w:sz="4" w:space="0" w:color="auto"/>
            </w:tcBorders>
            <w:vAlign w:val="center"/>
          </w:tcPr>
          <w:p w14:paraId="42F1E8CD" w14:textId="77777777" w:rsidR="00895748" w:rsidRPr="00265A92" w:rsidRDefault="00895748" w:rsidP="0063593B">
            <w:pPr>
              <w:jc w:val="center"/>
              <w:rPr>
                <w:rFonts w:ascii="Times New Roman" w:hAnsi="Times New Roman" w:cs="Times New Roman"/>
                <w:sz w:val="20"/>
                <w:szCs w:val="20"/>
              </w:rPr>
            </w:pPr>
            <w:r w:rsidRPr="00265A92">
              <w:rPr>
                <w:rFonts w:ascii="Times New Roman" w:hAnsi="Times New Roman" w:cs="Times New Roman"/>
                <w:sz w:val="20"/>
                <w:szCs w:val="20"/>
              </w:rPr>
              <w:t>-</w:t>
            </w:r>
          </w:p>
        </w:tc>
      </w:tr>
      <w:tr w:rsidR="00895748" w:rsidRPr="00265A92" w14:paraId="15DE23F8" w14:textId="77777777" w:rsidTr="0063593B">
        <w:trPr>
          <w:trHeight w:val="15"/>
        </w:trPr>
        <w:tc>
          <w:tcPr>
            <w:tcW w:w="5000" w:type="pct"/>
            <w:gridSpan w:val="5"/>
            <w:tcBorders>
              <w:top w:val="single" w:sz="4" w:space="0" w:color="auto"/>
            </w:tcBorders>
            <w:hideMark/>
          </w:tcPr>
          <w:p w14:paraId="30C1CCE4" w14:textId="1D7AFF71" w:rsidR="00895748" w:rsidRPr="00265A92" w:rsidRDefault="00895748" w:rsidP="0063593B">
            <w:pPr>
              <w:jc w:val="both"/>
              <w:rPr>
                <w:rFonts w:ascii="Times New Roman" w:hAnsi="Times New Roman" w:cs="Times New Roman"/>
                <w:sz w:val="20"/>
                <w:szCs w:val="20"/>
              </w:rPr>
            </w:pPr>
            <w:r w:rsidRPr="00265A92">
              <w:rPr>
                <w:rFonts w:ascii="Times New Roman" w:hAnsi="Times New Roman" w:cs="Times New Roman"/>
                <w:sz w:val="20"/>
                <w:szCs w:val="20"/>
              </w:rPr>
              <w:t xml:space="preserve">Burn severity was the grouping factor for the </w:t>
            </w:r>
            <w:r w:rsidR="007F217C">
              <w:rPr>
                <w:rFonts w:ascii="Times New Roman" w:hAnsi="Times New Roman" w:cs="Times New Roman"/>
                <w:sz w:val="20"/>
                <w:szCs w:val="20"/>
              </w:rPr>
              <w:t>nine</w:t>
            </w:r>
            <w:r w:rsidRPr="00265A92">
              <w:rPr>
                <w:rFonts w:ascii="Times New Roman" w:hAnsi="Times New Roman" w:cs="Times New Roman"/>
                <w:sz w:val="20"/>
                <w:szCs w:val="20"/>
              </w:rPr>
              <w:t xml:space="preserve"> field-measured variables included in the PERMANOVA analysis: percent of ground cover of bare soil, coarse and fine woody debris; relative vegetation cover; abundance coverage of herbs, shrubs, and bamboos; and live and dead tree density. Bolded ρ values indicate significant differences (</w:t>
            </w:r>
            <w:r w:rsidR="004C4FAB" w:rsidRPr="004C4FAB">
              <w:rPr>
                <w:rFonts w:ascii="Times New Roman" w:hAnsi="Times New Roman" w:cs="Times New Roman"/>
                <w:i/>
                <w:iCs/>
                <w:sz w:val="20"/>
                <w:szCs w:val="20"/>
              </w:rPr>
              <w:t>P</w:t>
            </w:r>
            <w:r w:rsidR="004C4FAB">
              <w:rPr>
                <w:rFonts w:ascii="Times New Roman" w:hAnsi="Times New Roman" w:cs="Times New Roman"/>
                <w:sz w:val="20"/>
                <w:szCs w:val="20"/>
              </w:rPr>
              <w:t xml:space="preserve"> </w:t>
            </w:r>
            <w:r w:rsidRPr="00265A92">
              <w:rPr>
                <w:rFonts w:ascii="Times New Roman" w:hAnsi="Times New Roman" w:cs="Times New Roman"/>
                <w:sz w:val="20"/>
                <w:szCs w:val="20"/>
              </w:rPr>
              <w:t>&lt;</w:t>
            </w:r>
            <w:r w:rsidR="004C4FAB">
              <w:rPr>
                <w:rFonts w:ascii="Times New Roman" w:hAnsi="Times New Roman" w:cs="Times New Roman"/>
                <w:sz w:val="20"/>
                <w:szCs w:val="20"/>
              </w:rPr>
              <w:t xml:space="preserve"> </w:t>
            </w:r>
            <w:r w:rsidRPr="00265A92">
              <w:rPr>
                <w:rFonts w:ascii="Times New Roman" w:hAnsi="Times New Roman" w:cs="Times New Roman"/>
                <w:sz w:val="20"/>
                <w:szCs w:val="20"/>
              </w:rPr>
              <w:t xml:space="preserve">0.05) in forest structure among </w:t>
            </w:r>
            <w:r w:rsidR="00452CDC">
              <w:rPr>
                <w:rFonts w:ascii="Times New Roman" w:hAnsi="Times New Roman" w:cs="Times New Roman"/>
                <w:sz w:val="20"/>
                <w:szCs w:val="20"/>
              </w:rPr>
              <w:t>burn</w:t>
            </w:r>
            <w:r w:rsidRPr="00265A92">
              <w:rPr>
                <w:rFonts w:ascii="Times New Roman" w:hAnsi="Times New Roman" w:cs="Times New Roman"/>
                <w:sz w:val="20"/>
                <w:szCs w:val="20"/>
              </w:rPr>
              <w:t xml:space="preserve"> </w:t>
            </w:r>
            <w:r w:rsidR="00452CDC">
              <w:rPr>
                <w:rFonts w:ascii="Times New Roman" w:hAnsi="Times New Roman" w:cs="Times New Roman"/>
                <w:sz w:val="20"/>
                <w:szCs w:val="20"/>
              </w:rPr>
              <w:t>severity classes</w:t>
            </w:r>
            <w:r w:rsidRPr="00265A92">
              <w:rPr>
                <w:rFonts w:ascii="Times New Roman" w:hAnsi="Times New Roman" w:cs="Times New Roman"/>
                <w:sz w:val="20"/>
                <w:szCs w:val="20"/>
              </w:rPr>
              <w:t xml:space="preserve">. Pairwise comparisons were corrected with Holm adjustment method. </w:t>
            </w:r>
          </w:p>
        </w:tc>
      </w:tr>
    </w:tbl>
    <w:p w14:paraId="38A16990" w14:textId="77637DEA" w:rsidR="00895748" w:rsidRDefault="00895748" w:rsidP="00104B77">
      <w:pPr>
        <w:jc w:val="both"/>
        <w:rPr>
          <w:rFonts w:ascii="Times New Roman" w:hAnsi="Times New Roman" w:cs="Times New Roman"/>
          <w:b/>
          <w:bCs/>
          <w:sz w:val="24"/>
          <w:szCs w:val="24"/>
        </w:rPr>
      </w:pPr>
    </w:p>
    <w:p w14:paraId="11D9A480" w14:textId="77777777" w:rsidR="005A7E51" w:rsidRDefault="00895748">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BE72334" w14:textId="7BA20653" w:rsidR="005B5308" w:rsidRDefault="005B5308">
      <w:pPr>
        <w:spacing w:line="259" w:lineRule="auto"/>
        <w:rPr>
          <w:rFonts w:ascii="Times New Roman" w:hAnsi="Times New Roman" w:cs="Times New Roman"/>
          <w:b/>
          <w:bCs/>
          <w:sz w:val="24"/>
          <w:szCs w:val="24"/>
        </w:rPr>
        <w:sectPr w:rsidR="005B5308" w:rsidSect="00934586">
          <w:pgSz w:w="12240" w:h="15840"/>
          <w:pgMar w:top="1440" w:right="1080" w:bottom="1440" w:left="1080" w:header="708" w:footer="708" w:gutter="0"/>
          <w:cols w:space="708"/>
          <w:docGrid w:linePitch="360"/>
        </w:sectPr>
      </w:pPr>
    </w:p>
    <w:p w14:paraId="6655CDE9" w14:textId="0B14B7C6" w:rsidR="00961B04" w:rsidRDefault="00961B04" w:rsidP="00104B77">
      <w:pPr>
        <w:jc w:val="both"/>
        <w:rPr>
          <w:rFonts w:ascii="Times New Roman" w:hAnsi="Times New Roman" w:cs="Times New Roman"/>
          <w:sz w:val="24"/>
          <w:szCs w:val="24"/>
          <w:lang w:val="en-GB"/>
        </w:rPr>
      </w:pPr>
      <w:r w:rsidRPr="00453189">
        <w:rPr>
          <w:rFonts w:ascii="Times New Roman" w:hAnsi="Times New Roman" w:cs="Times New Roman"/>
          <w:b/>
          <w:bCs/>
          <w:sz w:val="24"/>
          <w:szCs w:val="24"/>
        </w:rPr>
        <w:lastRenderedPageBreak/>
        <w:t>Table S</w:t>
      </w:r>
      <w:r w:rsidR="00E25E9E">
        <w:rPr>
          <w:rFonts w:ascii="Times New Roman" w:hAnsi="Times New Roman" w:cs="Times New Roman"/>
          <w:b/>
          <w:bCs/>
          <w:sz w:val="24"/>
          <w:szCs w:val="24"/>
        </w:rPr>
        <w:t>3</w:t>
      </w:r>
      <w:r w:rsidRPr="00453189">
        <w:rPr>
          <w:rFonts w:ascii="Times New Roman" w:hAnsi="Times New Roman" w:cs="Times New Roman"/>
          <w:b/>
          <w:bCs/>
          <w:sz w:val="24"/>
          <w:szCs w:val="24"/>
        </w:rPr>
        <w:t>.</w:t>
      </w:r>
      <w:r>
        <w:rPr>
          <w:rFonts w:ascii="Times New Roman" w:hAnsi="Times New Roman" w:cs="Times New Roman"/>
          <w:sz w:val="24"/>
          <w:szCs w:val="24"/>
        </w:rPr>
        <w:t xml:space="preserve"> </w:t>
      </w:r>
      <w:r w:rsidR="00453189" w:rsidRPr="007E2E44">
        <w:rPr>
          <w:rFonts w:ascii="Times New Roman" w:hAnsi="Times New Roman" w:cs="Times New Roman"/>
          <w:sz w:val="24"/>
          <w:szCs w:val="24"/>
          <w:lang w:val="en-GB"/>
        </w:rPr>
        <w:t>Summary of seedling abundances (seedlings/ha) of the principal tree species in terms of median and interquartile range (IQR) in each study site and mean and standard error (SE) in each fire severity history.</w:t>
      </w:r>
    </w:p>
    <w:tbl>
      <w:tblPr>
        <w:tblStyle w:val="TableGrid"/>
        <w:tblW w:w="1296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1616"/>
        <w:gridCol w:w="1734"/>
        <w:gridCol w:w="1742"/>
        <w:gridCol w:w="1747"/>
        <w:gridCol w:w="1747"/>
        <w:gridCol w:w="1747"/>
        <w:gridCol w:w="1747"/>
      </w:tblGrid>
      <w:tr w:rsidR="005A7E51" w:rsidRPr="005A7E51" w14:paraId="00CAD99F" w14:textId="77777777" w:rsidTr="005A7E51">
        <w:trPr>
          <w:cantSplit/>
          <w:trHeight w:val="328"/>
        </w:trPr>
        <w:tc>
          <w:tcPr>
            <w:tcW w:w="886" w:type="dxa"/>
            <w:vMerge w:val="restart"/>
            <w:tcBorders>
              <w:top w:val="single" w:sz="4" w:space="0" w:color="auto"/>
              <w:bottom w:val="nil"/>
            </w:tcBorders>
            <w:vAlign w:val="center"/>
          </w:tcPr>
          <w:p w14:paraId="342F8618" w14:textId="77777777" w:rsidR="005A7E51" w:rsidRPr="005A7E51" w:rsidRDefault="005A7E51" w:rsidP="002A4EAB">
            <w:pPr>
              <w:jc w:val="center"/>
              <w:rPr>
                <w:rFonts w:ascii="Times New Roman" w:hAnsi="Times New Roman" w:cs="Times New Roman"/>
                <w:b/>
                <w:bCs/>
                <w:sz w:val="20"/>
                <w:szCs w:val="20"/>
              </w:rPr>
            </w:pPr>
            <w:r w:rsidRPr="005A7E51">
              <w:rPr>
                <w:rFonts w:ascii="Times New Roman" w:hAnsi="Times New Roman" w:cs="Times New Roman"/>
                <w:b/>
                <w:bCs/>
                <w:sz w:val="20"/>
                <w:szCs w:val="20"/>
              </w:rPr>
              <w:t>Site</w:t>
            </w:r>
          </w:p>
        </w:tc>
        <w:tc>
          <w:tcPr>
            <w:tcW w:w="1616" w:type="dxa"/>
            <w:vMerge w:val="restart"/>
            <w:tcBorders>
              <w:top w:val="single" w:sz="4" w:space="0" w:color="auto"/>
              <w:bottom w:val="nil"/>
            </w:tcBorders>
            <w:vAlign w:val="center"/>
          </w:tcPr>
          <w:p w14:paraId="1E381BD7" w14:textId="77777777" w:rsidR="005A7E51" w:rsidRPr="005A7E51" w:rsidRDefault="005A7E51" w:rsidP="002A4EAB">
            <w:pPr>
              <w:jc w:val="center"/>
              <w:rPr>
                <w:rFonts w:ascii="Times New Roman" w:hAnsi="Times New Roman" w:cs="Times New Roman"/>
                <w:sz w:val="20"/>
                <w:szCs w:val="20"/>
              </w:rPr>
            </w:pPr>
            <w:r w:rsidRPr="005A7E51">
              <w:rPr>
                <w:rFonts w:ascii="Times New Roman" w:hAnsi="Times New Roman" w:cs="Times New Roman"/>
                <w:b/>
                <w:bCs/>
                <w:sz w:val="20"/>
                <w:szCs w:val="20"/>
              </w:rPr>
              <w:t>Burn severity classification</w:t>
            </w:r>
          </w:p>
        </w:tc>
        <w:tc>
          <w:tcPr>
            <w:tcW w:w="1734" w:type="dxa"/>
            <w:vMerge w:val="restart"/>
            <w:tcBorders>
              <w:top w:val="single" w:sz="4" w:space="0" w:color="auto"/>
              <w:bottom w:val="nil"/>
            </w:tcBorders>
            <w:vAlign w:val="center"/>
          </w:tcPr>
          <w:p w14:paraId="6990C7C4" w14:textId="77777777" w:rsidR="005A7E51" w:rsidRPr="005A7E51" w:rsidRDefault="005A7E51" w:rsidP="002A4EAB">
            <w:pPr>
              <w:jc w:val="center"/>
              <w:rPr>
                <w:rFonts w:ascii="Times New Roman" w:hAnsi="Times New Roman" w:cs="Times New Roman"/>
                <w:sz w:val="20"/>
                <w:szCs w:val="20"/>
              </w:rPr>
            </w:pPr>
            <w:r w:rsidRPr="005A7E51">
              <w:rPr>
                <w:rFonts w:ascii="Times New Roman" w:hAnsi="Times New Roman" w:cs="Times New Roman"/>
                <w:b/>
                <w:bCs/>
                <w:sz w:val="20"/>
                <w:szCs w:val="20"/>
              </w:rPr>
              <w:t>Median (IQR)</w:t>
            </w:r>
          </w:p>
        </w:tc>
        <w:tc>
          <w:tcPr>
            <w:tcW w:w="8730" w:type="dxa"/>
            <w:gridSpan w:val="5"/>
            <w:tcBorders>
              <w:top w:val="single" w:sz="4" w:space="0" w:color="auto"/>
              <w:bottom w:val="single" w:sz="4" w:space="0" w:color="auto"/>
            </w:tcBorders>
            <w:vAlign w:val="center"/>
          </w:tcPr>
          <w:p w14:paraId="724CA109" w14:textId="77777777" w:rsidR="005A7E51" w:rsidRPr="005A7E51" w:rsidRDefault="005A7E51" w:rsidP="002A4EAB">
            <w:pPr>
              <w:jc w:val="center"/>
              <w:rPr>
                <w:rFonts w:ascii="Times New Roman" w:hAnsi="Times New Roman" w:cs="Times New Roman"/>
                <w:sz w:val="20"/>
                <w:szCs w:val="20"/>
              </w:rPr>
            </w:pPr>
            <w:r w:rsidRPr="005A7E51">
              <w:rPr>
                <w:rFonts w:ascii="Times New Roman" w:hAnsi="Times New Roman" w:cs="Times New Roman"/>
                <w:b/>
                <w:bCs/>
                <w:sz w:val="20"/>
                <w:szCs w:val="20"/>
              </w:rPr>
              <w:t>Mean seedling abundance and standard error (SE)</w:t>
            </w:r>
          </w:p>
        </w:tc>
      </w:tr>
      <w:tr w:rsidR="005A7E51" w:rsidRPr="005A7E51" w14:paraId="7B7FBEA3" w14:textId="77777777" w:rsidTr="005A7E51">
        <w:trPr>
          <w:cantSplit/>
          <w:trHeight w:val="266"/>
        </w:trPr>
        <w:tc>
          <w:tcPr>
            <w:tcW w:w="886" w:type="dxa"/>
            <w:vMerge/>
            <w:tcBorders>
              <w:bottom w:val="single" w:sz="4" w:space="0" w:color="auto"/>
            </w:tcBorders>
            <w:vAlign w:val="center"/>
          </w:tcPr>
          <w:p w14:paraId="010B6C47" w14:textId="77777777" w:rsidR="005A7E51" w:rsidRPr="005A7E51" w:rsidRDefault="005A7E51" w:rsidP="002A4EAB">
            <w:pPr>
              <w:rPr>
                <w:rFonts w:ascii="Times New Roman" w:hAnsi="Times New Roman" w:cs="Times New Roman"/>
                <w:sz w:val="20"/>
                <w:szCs w:val="20"/>
              </w:rPr>
            </w:pPr>
          </w:p>
        </w:tc>
        <w:tc>
          <w:tcPr>
            <w:tcW w:w="1616" w:type="dxa"/>
            <w:vMerge/>
            <w:tcBorders>
              <w:bottom w:val="single" w:sz="4" w:space="0" w:color="auto"/>
            </w:tcBorders>
            <w:vAlign w:val="center"/>
          </w:tcPr>
          <w:p w14:paraId="2E458629" w14:textId="77777777" w:rsidR="005A7E51" w:rsidRPr="005A7E51" w:rsidRDefault="005A7E51" w:rsidP="002A4EAB">
            <w:pPr>
              <w:jc w:val="center"/>
              <w:rPr>
                <w:rFonts w:ascii="Times New Roman" w:hAnsi="Times New Roman" w:cs="Times New Roman"/>
                <w:b/>
                <w:bCs/>
                <w:sz w:val="20"/>
                <w:szCs w:val="20"/>
              </w:rPr>
            </w:pPr>
          </w:p>
        </w:tc>
        <w:tc>
          <w:tcPr>
            <w:tcW w:w="1734" w:type="dxa"/>
            <w:vMerge/>
            <w:tcBorders>
              <w:bottom w:val="single" w:sz="4" w:space="0" w:color="auto"/>
            </w:tcBorders>
            <w:vAlign w:val="center"/>
          </w:tcPr>
          <w:p w14:paraId="3C3891DF" w14:textId="77777777" w:rsidR="005A7E51" w:rsidRPr="005A7E51" w:rsidRDefault="005A7E51" w:rsidP="002A4EAB">
            <w:pPr>
              <w:jc w:val="center"/>
              <w:rPr>
                <w:rFonts w:ascii="Times New Roman" w:hAnsi="Times New Roman" w:cs="Times New Roman"/>
                <w:b/>
                <w:bCs/>
                <w:sz w:val="20"/>
                <w:szCs w:val="20"/>
              </w:rPr>
            </w:pPr>
          </w:p>
        </w:tc>
        <w:tc>
          <w:tcPr>
            <w:tcW w:w="1742" w:type="dxa"/>
            <w:tcBorders>
              <w:bottom w:val="single" w:sz="4" w:space="0" w:color="auto"/>
            </w:tcBorders>
            <w:shd w:val="clear" w:color="auto" w:fill="auto"/>
            <w:vAlign w:val="center"/>
          </w:tcPr>
          <w:p w14:paraId="6140E154" w14:textId="77777777" w:rsidR="005A7E51" w:rsidRPr="005A7E51" w:rsidRDefault="005A7E51" w:rsidP="002A4EAB">
            <w:pPr>
              <w:jc w:val="center"/>
              <w:rPr>
                <w:rFonts w:ascii="Times New Roman" w:hAnsi="Times New Roman" w:cs="Times New Roman"/>
                <w:b/>
                <w:bCs/>
                <w:i/>
                <w:iCs/>
                <w:sz w:val="20"/>
                <w:szCs w:val="20"/>
              </w:rPr>
            </w:pPr>
            <w:r w:rsidRPr="005A7E51">
              <w:rPr>
                <w:rFonts w:ascii="Times New Roman" w:hAnsi="Times New Roman" w:cs="Times New Roman"/>
                <w:b/>
                <w:bCs/>
                <w:i/>
                <w:iCs/>
                <w:sz w:val="20"/>
                <w:szCs w:val="20"/>
              </w:rPr>
              <w:t>Araucaria araucana</w:t>
            </w:r>
          </w:p>
        </w:tc>
        <w:tc>
          <w:tcPr>
            <w:tcW w:w="1747" w:type="dxa"/>
            <w:tcBorders>
              <w:bottom w:val="single" w:sz="4" w:space="0" w:color="auto"/>
            </w:tcBorders>
            <w:shd w:val="clear" w:color="auto" w:fill="auto"/>
            <w:vAlign w:val="center"/>
          </w:tcPr>
          <w:p w14:paraId="1111366D" w14:textId="77777777" w:rsidR="005A7E51" w:rsidRPr="005A7E51" w:rsidRDefault="005A7E51" w:rsidP="002A4EAB">
            <w:pPr>
              <w:jc w:val="center"/>
              <w:rPr>
                <w:rFonts w:ascii="Times New Roman" w:hAnsi="Times New Roman" w:cs="Times New Roman"/>
                <w:b/>
                <w:bCs/>
                <w:i/>
                <w:iCs/>
                <w:sz w:val="20"/>
                <w:szCs w:val="20"/>
              </w:rPr>
            </w:pPr>
            <w:r w:rsidRPr="005A7E51">
              <w:rPr>
                <w:rFonts w:ascii="Times New Roman" w:hAnsi="Times New Roman" w:cs="Times New Roman"/>
                <w:b/>
                <w:bCs/>
                <w:i/>
                <w:iCs/>
                <w:sz w:val="20"/>
                <w:szCs w:val="20"/>
              </w:rPr>
              <w:t>Nothofagus alpina</w:t>
            </w:r>
          </w:p>
        </w:tc>
        <w:tc>
          <w:tcPr>
            <w:tcW w:w="1747" w:type="dxa"/>
            <w:tcBorders>
              <w:bottom w:val="single" w:sz="4" w:space="0" w:color="auto"/>
            </w:tcBorders>
            <w:shd w:val="clear" w:color="auto" w:fill="auto"/>
            <w:vAlign w:val="center"/>
          </w:tcPr>
          <w:p w14:paraId="5C619E15" w14:textId="77777777" w:rsidR="005A7E51" w:rsidRPr="005A7E51" w:rsidRDefault="005A7E51" w:rsidP="002A4EAB">
            <w:pPr>
              <w:jc w:val="center"/>
              <w:rPr>
                <w:rFonts w:ascii="Times New Roman" w:hAnsi="Times New Roman" w:cs="Times New Roman"/>
                <w:b/>
                <w:bCs/>
                <w:i/>
                <w:iCs/>
                <w:sz w:val="20"/>
                <w:szCs w:val="20"/>
              </w:rPr>
            </w:pPr>
            <w:r w:rsidRPr="005A7E51">
              <w:rPr>
                <w:rFonts w:ascii="Times New Roman" w:hAnsi="Times New Roman" w:cs="Times New Roman"/>
                <w:b/>
                <w:bCs/>
                <w:i/>
                <w:iCs/>
                <w:sz w:val="20"/>
                <w:szCs w:val="20"/>
              </w:rPr>
              <w:t>Nothofagus dombeyi</w:t>
            </w:r>
          </w:p>
        </w:tc>
        <w:tc>
          <w:tcPr>
            <w:tcW w:w="1747" w:type="dxa"/>
            <w:tcBorders>
              <w:bottom w:val="single" w:sz="4" w:space="0" w:color="auto"/>
            </w:tcBorders>
            <w:shd w:val="clear" w:color="auto" w:fill="auto"/>
            <w:vAlign w:val="center"/>
          </w:tcPr>
          <w:p w14:paraId="27FA6518" w14:textId="77777777" w:rsidR="005A7E51" w:rsidRPr="005A7E51" w:rsidRDefault="005A7E51" w:rsidP="002A4EAB">
            <w:pPr>
              <w:jc w:val="center"/>
              <w:rPr>
                <w:rFonts w:ascii="Times New Roman" w:hAnsi="Times New Roman" w:cs="Times New Roman"/>
                <w:b/>
                <w:bCs/>
                <w:i/>
                <w:iCs/>
                <w:sz w:val="20"/>
                <w:szCs w:val="20"/>
              </w:rPr>
            </w:pPr>
            <w:r w:rsidRPr="005A7E51">
              <w:rPr>
                <w:rFonts w:ascii="Times New Roman" w:hAnsi="Times New Roman" w:cs="Times New Roman"/>
                <w:b/>
                <w:bCs/>
                <w:i/>
                <w:iCs/>
                <w:sz w:val="20"/>
                <w:szCs w:val="20"/>
              </w:rPr>
              <w:t>Nothofagus obliqua</w:t>
            </w:r>
          </w:p>
        </w:tc>
        <w:tc>
          <w:tcPr>
            <w:tcW w:w="1747" w:type="dxa"/>
            <w:tcBorders>
              <w:bottom w:val="single" w:sz="4" w:space="0" w:color="auto"/>
            </w:tcBorders>
            <w:shd w:val="clear" w:color="auto" w:fill="auto"/>
            <w:vAlign w:val="center"/>
          </w:tcPr>
          <w:p w14:paraId="4C051EE9" w14:textId="77777777" w:rsidR="005A7E51" w:rsidRPr="005A7E51" w:rsidRDefault="005A7E51" w:rsidP="002A4EAB">
            <w:pPr>
              <w:jc w:val="center"/>
              <w:rPr>
                <w:rFonts w:ascii="Times New Roman" w:hAnsi="Times New Roman" w:cs="Times New Roman"/>
                <w:b/>
                <w:bCs/>
                <w:i/>
                <w:iCs/>
                <w:sz w:val="20"/>
                <w:szCs w:val="20"/>
              </w:rPr>
            </w:pPr>
            <w:r w:rsidRPr="005A7E51">
              <w:rPr>
                <w:rFonts w:ascii="Times New Roman" w:hAnsi="Times New Roman" w:cs="Times New Roman"/>
                <w:b/>
                <w:bCs/>
                <w:i/>
                <w:iCs/>
                <w:sz w:val="20"/>
                <w:szCs w:val="20"/>
              </w:rPr>
              <w:t>Nothofagus pumilio</w:t>
            </w:r>
          </w:p>
        </w:tc>
      </w:tr>
      <w:tr w:rsidR="005A7E51" w:rsidRPr="005A7E51" w14:paraId="24D50525" w14:textId="77777777" w:rsidTr="005A7E51">
        <w:trPr>
          <w:cantSplit/>
          <w:trHeight w:val="400"/>
        </w:trPr>
        <w:tc>
          <w:tcPr>
            <w:tcW w:w="886" w:type="dxa"/>
            <w:vMerge w:val="restart"/>
            <w:tcBorders>
              <w:top w:val="single" w:sz="4" w:space="0" w:color="auto"/>
              <w:bottom w:val="nil"/>
            </w:tcBorders>
            <w:textDirection w:val="btLr"/>
            <w:vAlign w:val="center"/>
          </w:tcPr>
          <w:p w14:paraId="6EC165ED" w14:textId="77777777" w:rsidR="005A7E51" w:rsidRPr="005A7E51" w:rsidRDefault="005A7E51" w:rsidP="002A4EAB">
            <w:pPr>
              <w:ind w:left="113" w:right="113"/>
              <w:jc w:val="center"/>
              <w:rPr>
                <w:rFonts w:ascii="Times New Roman" w:hAnsi="Times New Roman" w:cs="Times New Roman"/>
                <w:b/>
                <w:bCs/>
                <w:sz w:val="20"/>
                <w:szCs w:val="20"/>
              </w:rPr>
            </w:pPr>
            <w:r w:rsidRPr="005A7E51">
              <w:rPr>
                <w:rFonts w:ascii="Times New Roman" w:hAnsi="Times New Roman" w:cs="Times New Roman"/>
                <w:b/>
                <w:bCs/>
                <w:sz w:val="20"/>
                <w:szCs w:val="20"/>
              </w:rPr>
              <w:t>China Muerta</w:t>
            </w:r>
          </w:p>
          <w:p w14:paraId="0C7038E6" w14:textId="77777777" w:rsidR="005A7E51" w:rsidRPr="005A7E51" w:rsidRDefault="005A7E51" w:rsidP="002A4EAB">
            <w:pPr>
              <w:ind w:left="113" w:right="113"/>
              <w:jc w:val="center"/>
              <w:rPr>
                <w:rFonts w:ascii="Times New Roman" w:hAnsi="Times New Roman" w:cs="Times New Roman"/>
                <w:b/>
                <w:bCs/>
                <w:sz w:val="20"/>
                <w:szCs w:val="20"/>
              </w:rPr>
            </w:pPr>
            <w:r w:rsidRPr="005A7E51">
              <w:rPr>
                <w:rFonts w:ascii="Times New Roman" w:hAnsi="Times New Roman" w:cs="Times New Roman"/>
                <w:b/>
                <w:bCs/>
                <w:sz w:val="20"/>
                <w:szCs w:val="20"/>
              </w:rPr>
              <w:t>(single burn)</w:t>
            </w:r>
          </w:p>
        </w:tc>
        <w:tc>
          <w:tcPr>
            <w:tcW w:w="1616" w:type="dxa"/>
            <w:tcBorders>
              <w:top w:val="single" w:sz="4" w:space="0" w:color="auto"/>
              <w:bottom w:val="nil"/>
            </w:tcBorders>
            <w:vAlign w:val="center"/>
          </w:tcPr>
          <w:p w14:paraId="48439683" w14:textId="77777777" w:rsidR="005A7E51" w:rsidRPr="005A7E51" w:rsidRDefault="005A7E51" w:rsidP="002A4EAB">
            <w:pPr>
              <w:rPr>
                <w:rFonts w:ascii="Times New Roman" w:hAnsi="Times New Roman" w:cs="Times New Roman"/>
                <w:b/>
                <w:bCs/>
                <w:sz w:val="20"/>
                <w:szCs w:val="20"/>
              </w:rPr>
            </w:pPr>
            <w:r w:rsidRPr="005A7E51">
              <w:rPr>
                <w:rFonts w:ascii="Times New Roman" w:hAnsi="Times New Roman" w:cs="Times New Roman"/>
                <w:b/>
                <w:bCs/>
                <w:sz w:val="20"/>
                <w:szCs w:val="20"/>
              </w:rPr>
              <w:t>All plots</w:t>
            </w:r>
          </w:p>
        </w:tc>
        <w:tc>
          <w:tcPr>
            <w:tcW w:w="1734" w:type="dxa"/>
            <w:tcBorders>
              <w:top w:val="single" w:sz="4" w:space="0" w:color="auto"/>
              <w:bottom w:val="nil"/>
            </w:tcBorders>
            <w:vAlign w:val="center"/>
          </w:tcPr>
          <w:p w14:paraId="63F1F9F4"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 – 14.3)</w:t>
            </w:r>
          </w:p>
        </w:tc>
        <w:tc>
          <w:tcPr>
            <w:tcW w:w="1742" w:type="dxa"/>
            <w:tcBorders>
              <w:top w:val="single" w:sz="4" w:space="0" w:color="auto"/>
              <w:bottom w:val="nil"/>
            </w:tcBorders>
            <w:shd w:val="clear" w:color="auto" w:fill="auto"/>
            <w:vAlign w:val="center"/>
          </w:tcPr>
          <w:p w14:paraId="550EE1BA"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209.8 (62.8)</w:t>
            </w:r>
          </w:p>
        </w:tc>
        <w:tc>
          <w:tcPr>
            <w:tcW w:w="1747" w:type="dxa"/>
            <w:tcBorders>
              <w:top w:val="single" w:sz="4" w:space="0" w:color="auto"/>
              <w:bottom w:val="nil"/>
            </w:tcBorders>
            <w:shd w:val="clear" w:color="auto" w:fill="auto"/>
            <w:vAlign w:val="center"/>
          </w:tcPr>
          <w:p w14:paraId="36F67F7A"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615.5 (531.2)</w:t>
            </w:r>
          </w:p>
        </w:tc>
        <w:tc>
          <w:tcPr>
            <w:tcW w:w="1747" w:type="dxa"/>
            <w:tcBorders>
              <w:top w:val="single" w:sz="4" w:space="0" w:color="auto"/>
              <w:bottom w:val="nil"/>
            </w:tcBorders>
            <w:shd w:val="clear" w:color="auto" w:fill="auto"/>
            <w:vAlign w:val="center"/>
          </w:tcPr>
          <w:p w14:paraId="29853C2B"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187.7 (133.5)</w:t>
            </w:r>
          </w:p>
        </w:tc>
        <w:tc>
          <w:tcPr>
            <w:tcW w:w="1747" w:type="dxa"/>
            <w:tcBorders>
              <w:top w:val="single" w:sz="4" w:space="0" w:color="auto"/>
              <w:bottom w:val="nil"/>
            </w:tcBorders>
            <w:shd w:val="clear" w:color="auto" w:fill="auto"/>
            <w:vAlign w:val="center"/>
          </w:tcPr>
          <w:p w14:paraId="77621715"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164.9 (145.9)</w:t>
            </w:r>
          </w:p>
        </w:tc>
        <w:tc>
          <w:tcPr>
            <w:tcW w:w="1747" w:type="dxa"/>
            <w:tcBorders>
              <w:top w:val="single" w:sz="4" w:space="0" w:color="auto"/>
              <w:bottom w:val="nil"/>
            </w:tcBorders>
            <w:shd w:val="clear" w:color="auto" w:fill="auto"/>
            <w:vAlign w:val="center"/>
          </w:tcPr>
          <w:p w14:paraId="091C7C30"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1936.2 (526.7)</w:t>
            </w:r>
          </w:p>
        </w:tc>
      </w:tr>
      <w:tr w:rsidR="005A7E51" w:rsidRPr="005A7E51" w14:paraId="152366AB" w14:textId="77777777" w:rsidTr="005A7E51">
        <w:trPr>
          <w:cantSplit/>
          <w:trHeight w:val="400"/>
        </w:trPr>
        <w:tc>
          <w:tcPr>
            <w:tcW w:w="886" w:type="dxa"/>
            <w:vMerge/>
            <w:tcBorders>
              <w:bottom w:val="nil"/>
            </w:tcBorders>
            <w:vAlign w:val="center"/>
          </w:tcPr>
          <w:p w14:paraId="1B332FC4" w14:textId="77777777" w:rsidR="005A7E51" w:rsidRPr="005A7E51" w:rsidRDefault="005A7E51" w:rsidP="002A4EAB">
            <w:pPr>
              <w:rPr>
                <w:rFonts w:ascii="Times New Roman" w:hAnsi="Times New Roman" w:cs="Times New Roman"/>
                <w:b/>
                <w:bCs/>
                <w:sz w:val="20"/>
                <w:szCs w:val="20"/>
              </w:rPr>
            </w:pPr>
          </w:p>
        </w:tc>
        <w:tc>
          <w:tcPr>
            <w:tcW w:w="1616" w:type="dxa"/>
            <w:tcBorders>
              <w:bottom w:val="nil"/>
            </w:tcBorders>
            <w:vAlign w:val="center"/>
          </w:tcPr>
          <w:p w14:paraId="15BC2515" w14:textId="77777777" w:rsidR="005A7E51" w:rsidRPr="005A7E51" w:rsidRDefault="005A7E51" w:rsidP="002A4EAB">
            <w:pPr>
              <w:rPr>
                <w:rFonts w:ascii="Times New Roman" w:hAnsi="Times New Roman" w:cs="Times New Roman"/>
                <w:b/>
                <w:bCs/>
                <w:sz w:val="20"/>
                <w:szCs w:val="20"/>
              </w:rPr>
            </w:pPr>
            <w:r w:rsidRPr="005A7E51">
              <w:rPr>
                <w:rFonts w:ascii="Times New Roman" w:hAnsi="Times New Roman" w:cs="Times New Roman"/>
                <w:b/>
                <w:bCs/>
                <w:sz w:val="20"/>
                <w:szCs w:val="20"/>
              </w:rPr>
              <w:t>Unburned</w:t>
            </w:r>
          </w:p>
        </w:tc>
        <w:tc>
          <w:tcPr>
            <w:tcW w:w="1734" w:type="dxa"/>
            <w:tcBorders>
              <w:bottom w:val="nil"/>
            </w:tcBorders>
            <w:vAlign w:val="center"/>
          </w:tcPr>
          <w:p w14:paraId="6DE756EA"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 – 297.0)</w:t>
            </w:r>
          </w:p>
        </w:tc>
        <w:tc>
          <w:tcPr>
            <w:tcW w:w="1742" w:type="dxa"/>
            <w:tcBorders>
              <w:bottom w:val="nil"/>
            </w:tcBorders>
            <w:shd w:val="clear" w:color="auto" w:fill="auto"/>
            <w:vAlign w:val="center"/>
          </w:tcPr>
          <w:p w14:paraId="5EFE495D"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513.0 (164.6)</w:t>
            </w:r>
          </w:p>
        </w:tc>
        <w:tc>
          <w:tcPr>
            <w:tcW w:w="1747" w:type="dxa"/>
            <w:tcBorders>
              <w:bottom w:val="nil"/>
            </w:tcBorders>
            <w:shd w:val="clear" w:color="auto" w:fill="auto"/>
            <w:vAlign w:val="center"/>
          </w:tcPr>
          <w:p w14:paraId="5C516673"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102.7 (71.3)</w:t>
            </w:r>
          </w:p>
        </w:tc>
        <w:tc>
          <w:tcPr>
            <w:tcW w:w="1747" w:type="dxa"/>
            <w:tcBorders>
              <w:bottom w:val="nil"/>
            </w:tcBorders>
            <w:shd w:val="clear" w:color="auto" w:fill="auto"/>
            <w:vAlign w:val="center"/>
          </w:tcPr>
          <w:p w14:paraId="39D438AC"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13.4 (9.8)</w:t>
            </w:r>
          </w:p>
        </w:tc>
        <w:tc>
          <w:tcPr>
            <w:tcW w:w="1747" w:type="dxa"/>
            <w:tcBorders>
              <w:bottom w:val="nil"/>
            </w:tcBorders>
            <w:shd w:val="clear" w:color="auto" w:fill="auto"/>
            <w:vAlign w:val="center"/>
          </w:tcPr>
          <w:p w14:paraId="1D8EF1BB"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455.4 (436.8)</w:t>
            </w:r>
          </w:p>
        </w:tc>
        <w:tc>
          <w:tcPr>
            <w:tcW w:w="1747" w:type="dxa"/>
            <w:tcBorders>
              <w:bottom w:val="nil"/>
            </w:tcBorders>
            <w:shd w:val="clear" w:color="auto" w:fill="auto"/>
            <w:vAlign w:val="center"/>
          </w:tcPr>
          <w:p w14:paraId="0FDC6535"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3855.4 (1359.1)</w:t>
            </w:r>
          </w:p>
        </w:tc>
      </w:tr>
      <w:tr w:rsidR="005A7E51" w:rsidRPr="005A7E51" w14:paraId="5266423D" w14:textId="77777777" w:rsidTr="005A7E51">
        <w:trPr>
          <w:cantSplit/>
          <w:trHeight w:val="400"/>
        </w:trPr>
        <w:tc>
          <w:tcPr>
            <w:tcW w:w="886" w:type="dxa"/>
            <w:vMerge/>
            <w:tcBorders>
              <w:bottom w:val="nil"/>
            </w:tcBorders>
            <w:vAlign w:val="center"/>
          </w:tcPr>
          <w:p w14:paraId="0A265B62" w14:textId="77777777" w:rsidR="005A7E51" w:rsidRPr="005A7E51" w:rsidRDefault="005A7E51" w:rsidP="002A4EAB">
            <w:pPr>
              <w:rPr>
                <w:rFonts w:ascii="Times New Roman" w:hAnsi="Times New Roman" w:cs="Times New Roman"/>
                <w:b/>
                <w:bCs/>
                <w:sz w:val="20"/>
                <w:szCs w:val="20"/>
              </w:rPr>
            </w:pPr>
          </w:p>
        </w:tc>
        <w:tc>
          <w:tcPr>
            <w:tcW w:w="1616" w:type="dxa"/>
            <w:tcBorders>
              <w:bottom w:val="nil"/>
            </w:tcBorders>
            <w:vAlign w:val="center"/>
          </w:tcPr>
          <w:p w14:paraId="7C8C66FC" w14:textId="77777777" w:rsidR="005A7E51" w:rsidRPr="005A7E51" w:rsidRDefault="005A7E51" w:rsidP="002A4EAB">
            <w:pPr>
              <w:rPr>
                <w:rFonts w:ascii="Times New Roman" w:hAnsi="Times New Roman" w:cs="Times New Roman"/>
                <w:b/>
                <w:bCs/>
                <w:sz w:val="20"/>
                <w:szCs w:val="20"/>
              </w:rPr>
            </w:pPr>
            <w:r w:rsidRPr="005A7E51">
              <w:rPr>
                <w:rFonts w:ascii="Times New Roman" w:hAnsi="Times New Roman" w:cs="Times New Roman"/>
                <w:b/>
                <w:bCs/>
                <w:sz w:val="20"/>
                <w:szCs w:val="20"/>
              </w:rPr>
              <w:t>Low</w:t>
            </w:r>
          </w:p>
        </w:tc>
        <w:tc>
          <w:tcPr>
            <w:tcW w:w="1734" w:type="dxa"/>
            <w:tcBorders>
              <w:bottom w:val="nil"/>
            </w:tcBorders>
            <w:vAlign w:val="center"/>
          </w:tcPr>
          <w:p w14:paraId="3157CE14"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 – 71.4)</w:t>
            </w:r>
          </w:p>
        </w:tc>
        <w:tc>
          <w:tcPr>
            <w:tcW w:w="1742" w:type="dxa"/>
            <w:tcBorders>
              <w:bottom w:val="nil"/>
            </w:tcBorders>
            <w:shd w:val="clear" w:color="auto" w:fill="auto"/>
            <w:vAlign w:val="center"/>
          </w:tcPr>
          <w:p w14:paraId="1089AAE9"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110.7 (45.3)</w:t>
            </w:r>
          </w:p>
        </w:tc>
        <w:tc>
          <w:tcPr>
            <w:tcW w:w="1747" w:type="dxa"/>
            <w:tcBorders>
              <w:bottom w:val="nil"/>
            </w:tcBorders>
            <w:shd w:val="clear" w:color="auto" w:fill="auto"/>
            <w:vAlign w:val="center"/>
          </w:tcPr>
          <w:p w14:paraId="0C6E77BA"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1741.1 (1588.5)</w:t>
            </w:r>
          </w:p>
        </w:tc>
        <w:tc>
          <w:tcPr>
            <w:tcW w:w="1747" w:type="dxa"/>
            <w:tcBorders>
              <w:bottom w:val="nil"/>
            </w:tcBorders>
            <w:shd w:val="clear" w:color="auto" w:fill="auto"/>
            <w:vAlign w:val="center"/>
          </w:tcPr>
          <w:p w14:paraId="04F3CE33"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549.8 (394.5)</w:t>
            </w:r>
          </w:p>
        </w:tc>
        <w:tc>
          <w:tcPr>
            <w:tcW w:w="1747" w:type="dxa"/>
            <w:tcBorders>
              <w:bottom w:val="nil"/>
            </w:tcBorders>
            <w:shd w:val="clear" w:color="auto" w:fill="auto"/>
            <w:vAlign w:val="center"/>
          </w:tcPr>
          <w:p w14:paraId="183A33C6"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39.3 (27.0)</w:t>
            </w:r>
          </w:p>
        </w:tc>
        <w:tc>
          <w:tcPr>
            <w:tcW w:w="1747" w:type="dxa"/>
            <w:tcBorders>
              <w:bottom w:val="nil"/>
            </w:tcBorders>
            <w:shd w:val="clear" w:color="auto" w:fill="auto"/>
            <w:vAlign w:val="center"/>
          </w:tcPr>
          <w:p w14:paraId="0BE10415"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1952.7 (587.9)</w:t>
            </w:r>
          </w:p>
        </w:tc>
      </w:tr>
      <w:tr w:rsidR="005A7E51" w:rsidRPr="005A7E51" w14:paraId="7FC431EC" w14:textId="77777777" w:rsidTr="005A7E51">
        <w:trPr>
          <w:cantSplit/>
          <w:trHeight w:val="400"/>
        </w:trPr>
        <w:tc>
          <w:tcPr>
            <w:tcW w:w="886" w:type="dxa"/>
            <w:vMerge/>
            <w:tcBorders>
              <w:bottom w:val="single" w:sz="4" w:space="0" w:color="auto"/>
            </w:tcBorders>
            <w:vAlign w:val="center"/>
          </w:tcPr>
          <w:p w14:paraId="3808093C" w14:textId="77777777" w:rsidR="005A7E51" w:rsidRPr="005A7E51" w:rsidRDefault="005A7E51" w:rsidP="002A4EAB">
            <w:pPr>
              <w:rPr>
                <w:rFonts w:ascii="Times New Roman" w:hAnsi="Times New Roman" w:cs="Times New Roman"/>
                <w:b/>
                <w:bCs/>
                <w:sz w:val="20"/>
                <w:szCs w:val="20"/>
              </w:rPr>
            </w:pPr>
          </w:p>
        </w:tc>
        <w:tc>
          <w:tcPr>
            <w:tcW w:w="1616" w:type="dxa"/>
            <w:tcBorders>
              <w:bottom w:val="single" w:sz="4" w:space="0" w:color="auto"/>
            </w:tcBorders>
            <w:vAlign w:val="center"/>
          </w:tcPr>
          <w:p w14:paraId="27570BEE" w14:textId="77777777" w:rsidR="005A7E51" w:rsidRPr="005A7E51" w:rsidRDefault="005A7E51" w:rsidP="002A4EAB">
            <w:pPr>
              <w:rPr>
                <w:rFonts w:ascii="Times New Roman" w:hAnsi="Times New Roman" w:cs="Times New Roman"/>
                <w:b/>
                <w:bCs/>
                <w:sz w:val="20"/>
                <w:szCs w:val="20"/>
              </w:rPr>
            </w:pPr>
            <w:r w:rsidRPr="005A7E51">
              <w:rPr>
                <w:rFonts w:ascii="Times New Roman" w:hAnsi="Times New Roman" w:cs="Times New Roman"/>
                <w:b/>
                <w:bCs/>
                <w:sz w:val="20"/>
                <w:szCs w:val="20"/>
              </w:rPr>
              <w:t>High</w:t>
            </w:r>
          </w:p>
        </w:tc>
        <w:tc>
          <w:tcPr>
            <w:tcW w:w="1734" w:type="dxa"/>
            <w:tcBorders>
              <w:bottom w:val="single" w:sz="4" w:space="0" w:color="auto"/>
            </w:tcBorders>
            <w:vAlign w:val="center"/>
          </w:tcPr>
          <w:p w14:paraId="517167BA"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 – 0.0)</w:t>
            </w:r>
          </w:p>
        </w:tc>
        <w:tc>
          <w:tcPr>
            <w:tcW w:w="1742" w:type="dxa"/>
            <w:tcBorders>
              <w:bottom w:val="single" w:sz="4" w:space="0" w:color="auto"/>
            </w:tcBorders>
            <w:shd w:val="clear" w:color="auto" w:fill="auto"/>
            <w:vAlign w:val="center"/>
          </w:tcPr>
          <w:p w14:paraId="06A5223E"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5.7 (2.4)</w:t>
            </w:r>
          </w:p>
        </w:tc>
        <w:tc>
          <w:tcPr>
            <w:tcW w:w="1747" w:type="dxa"/>
            <w:tcBorders>
              <w:bottom w:val="single" w:sz="4" w:space="0" w:color="auto"/>
            </w:tcBorders>
            <w:shd w:val="clear" w:color="auto" w:fill="auto"/>
            <w:vAlign w:val="center"/>
          </w:tcPr>
          <w:p w14:paraId="081F4592"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2.9 (2.9)</w:t>
            </w:r>
          </w:p>
        </w:tc>
        <w:tc>
          <w:tcPr>
            <w:tcW w:w="1747" w:type="dxa"/>
            <w:tcBorders>
              <w:bottom w:val="single" w:sz="4" w:space="0" w:color="auto"/>
            </w:tcBorders>
            <w:shd w:val="clear" w:color="auto" w:fill="auto"/>
            <w:vAlign w:val="center"/>
          </w:tcPr>
          <w:p w14:paraId="32BCA97D"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w:t>
            </w:r>
          </w:p>
        </w:tc>
        <w:tc>
          <w:tcPr>
            <w:tcW w:w="1747" w:type="dxa"/>
            <w:tcBorders>
              <w:bottom w:val="single" w:sz="4" w:space="0" w:color="auto"/>
            </w:tcBorders>
            <w:shd w:val="clear" w:color="auto" w:fill="auto"/>
            <w:vAlign w:val="center"/>
          </w:tcPr>
          <w:p w14:paraId="0ABEE3C6"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w:t>
            </w:r>
          </w:p>
        </w:tc>
        <w:tc>
          <w:tcPr>
            <w:tcW w:w="1747" w:type="dxa"/>
            <w:tcBorders>
              <w:bottom w:val="single" w:sz="4" w:space="0" w:color="auto"/>
            </w:tcBorders>
            <w:shd w:val="clear" w:color="auto" w:fill="auto"/>
            <w:vAlign w:val="center"/>
          </w:tcPr>
          <w:p w14:paraId="5834E1B8"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0.7 (0.7)</w:t>
            </w:r>
          </w:p>
        </w:tc>
      </w:tr>
      <w:tr w:rsidR="005A7E51" w:rsidRPr="005A7E51" w14:paraId="76DD737E" w14:textId="77777777" w:rsidTr="005A7E51">
        <w:trPr>
          <w:cantSplit/>
          <w:trHeight w:val="400"/>
        </w:trPr>
        <w:tc>
          <w:tcPr>
            <w:tcW w:w="886" w:type="dxa"/>
            <w:vMerge w:val="restart"/>
            <w:tcBorders>
              <w:top w:val="single" w:sz="4" w:space="0" w:color="auto"/>
            </w:tcBorders>
            <w:textDirection w:val="btLr"/>
            <w:vAlign w:val="center"/>
          </w:tcPr>
          <w:p w14:paraId="24BC2206" w14:textId="77777777" w:rsidR="005A7E51" w:rsidRPr="005A7E51" w:rsidRDefault="005A7E51" w:rsidP="002A4EAB">
            <w:pPr>
              <w:ind w:left="113" w:right="113"/>
              <w:jc w:val="center"/>
              <w:rPr>
                <w:rFonts w:ascii="Times New Roman" w:hAnsi="Times New Roman" w:cs="Times New Roman"/>
                <w:b/>
                <w:bCs/>
                <w:sz w:val="20"/>
                <w:szCs w:val="20"/>
              </w:rPr>
            </w:pPr>
            <w:r w:rsidRPr="005A7E51">
              <w:rPr>
                <w:rFonts w:ascii="Times New Roman" w:hAnsi="Times New Roman" w:cs="Times New Roman"/>
                <w:b/>
                <w:bCs/>
                <w:sz w:val="20"/>
                <w:szCs w:val="20"/>
              </w:rPr>
              <w:t>Malleco-Tolhuaca (reburned</w:t>
            </w:r>
          </w:p>
        </w:tc>
        <w:tc>
          <w:tcPr>
            <w:tcW w:w="1616" w:type="dxa"/>
            <w:tcBorders>
              <w:top w:val="single" w:sz="4" w:space="0" w:color="auto"/>
            </w:tcBorders>
            <w:vAlign w:val="center"/>
          </w:tcPr>
          <w:p w14:paraId="6071FA3F" w14:textId="77777777" w:rsidR="005A7E51" w:rsidRPr="005A7E51" w:rsidRDefault="005A7E51" w:rsidP="002A4EAB">
            <w:pPr>
              <w:rPr>
                <w:rFonts w:ascii="Times New Roman" w:hAnsi="Times New Roman" w:cs="Times New Roman"/>
                <w:b/>
                <w:bCs/>
                <w:sz w:val="20"/>
                <w:szCs w:val="20"/>
              </w:rPr>
            </w:pPr>
            <w:r w:rsidRPr="005A7E51">
              <w:rPr>
                <w:rFonts w:ascii="Times New Roman" w:hAnsi="Times New Roman" w:cs="Times New Roman"/>
                <w:b/>
                <w:bCs/>
                <w:sz w:val="20"/>
                <w:szCs w:val="20"/>
              </w:rPr>
              <w:t>All plots</w:t>
            </w:r>
          </w:p>
        </w:tc>
        <w:tc>
          <w:tcPr>
            <w:tcW w:w="1734" w:type="dxa"/>
            <w:tcBorders>
              <w:top w:val="single" w:sz="4" w:space="0" w:color="auto"/>
            </w:tcBorders>
            <w:vAlign w:val="center"/>
          </w:tcPr>
          <w:p w14:paraId="0F9A3A53"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 – 0.0)</w:t>
            </w:r>
          </w:p>
        </w:tc>
        <w:tc>
          <w:tcPr>
            <w:tcW w:w="1742" w:type="dxa"/>
            <w:tcBorders>
              <w:top w:val="single" w:sz="4" w:space="0" w:color="auto"/>
            </w:tcBorders>
            <w:shd w:val="clear" w:color="auto" w:fill="auto"/>
            <w:vAlign w:val="center"/>
          </w:tcPr>
          <w:p w14:paraId="2ABC4A29"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941.3 (325.6)</w:t>
            </w:r>
          </w:p>
        </w:tc>
        <w:tc>
          <w:tcPr>
            <w:tcW w:w="1747" w:type="dxa"/>
            <w:tcBorders>
              <w:top w:val="single" w:sz="4" w:space="0" w:color="auto"/>
            </w:tcBorders>
            <w:shd w:val="clear" w:color="auto" w:fill="auto"/>
            <w:vAlign w:val="center"/>
          </w:tcPr>
          <w:p w14:paraId="1475CFBA"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524.8 (340.1)</w:t>
            </w:r>
          </w:p>
        </w:tc>
        <w:tc>
          <w:tcPr>
            <w:tcW w:w="1747" w:type="dxa"/>
            <w:tcBorders>
              <w:top w:val="single" w:sz="4" w:space="0" w:color="auto"/>
            </w:tcBorders>
            <w:shd w:val="clear" w:color="auto" w:fill="auto"/>
            <w:vAlign w:val="center"/>
          </w:tcPr>
          <w:p w14:paraId="06AEDB54"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578.4 (329.2)</w:t>
            </w:r>
          </w:p>
        </w:tc>
        <w:tc>
          <w:tcPr>
            <w:tcW w:w="1747" w:type="dxa"/>
            <w:tcBorders>
              <w:top w:val="single" w:sz="4" w:space="0" w:color="auto"/>
            </w:tcBorders>
            <w:shd w:val="clear" w:color="auto" w:fill="auto"/>
            <w:vAlign w:val="center"/>
          </w:tcPr>
          <w:p w14:paraId="7D20E74D"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0.7 (0.7)</w:t>
            </w:r>
          </w:p>
        </w:tc>
        <w:tc>
          <w:tcPr>
            <w:tcW w:w="1747" w:type="dxa"/>
            <w:tcBorders>
              <w:top w:val="single" w:sz="4" w:space="0" w:color="auto"/>
            </w:tcBorders>
            <w:shd w:val="clear" w:color="auto" w:fill="auto"/>
            <w:vAlign w:val="center"/>
          </w:tcPr>
          <w:p w14:paraId="7256613E"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732.3 (558.3)</w:t>
            </w:r>
          </w:p>
        </w:tc>
      </w:tr>
      <w:tr w:rsidR="005A7E51" w:rsidRPr="005A7E51" w14:paraId="5CF90052" w14:textId="77777777" w:rsidTr="005A7E51">
        <w:trPr>
          <w:cantSplit/>
          <w:trHeight w:val="400"/>
        </w:trPr>
        <w:tc>
          <w:tcPr>
            <w:tcW w:w="886" w:type="dxa"/>
            <w:vMerge/>
            <w:vAlign w:val="center"/>
          </w:tcPr>
          <w:p w14:paraId="28A49F3D" w14:textId="77777777" w:rsidR="005A7E51" w:rsidRPr="005A7E51" w:rsidRDefault="005A7E51" w:rsidP="002A4EAB">
            <w:pPr>
              <w:rPr>
                <w:rFonts w:ascii="Times New Roman" w:hAnsi="Times New Roman" w:cs="Times New Roman"/>
                <w:sz w:val="20"/>
                <w:szCs w:val="20"/>
              </w:rPr>
            </w:pPr>
          </w:p>
        </w:tc>
        <w:tc>
          <w:tcPr>
            <w:tcW w:w="1616" w:type="dxa"/>
            <w:vAlign w:val="center"/>
          </w:tcPr>
          <w:p w14:paraId="4E7DA161" w14:textId="77777777" w:rsidR="005A7E51" w:rsidRPr="005A7E51" w:rsidRDefault="005A7E51" w:rsidP="002A4EAB">
            <w:pPr>
              <w:rPr>
                <w:rFonts w:ascii="Times New Roman" w:hAnsi="Times New Roman" w:cs="Times New Roman"/>
                <w:b/>
                <w:bCs/>
                <w:sz w:val="20"/>
                <w:szCs w:val="20"/>
              </w:rPr>
            </w:pPr>
            <w:r w:rsidRPr="005A7E51">
              <w:rPr>
                <w:rFonts w:ascii="Times New Roman" w:hAnsi="Times New Roman" w:cs="Times New Roman"/>
                <w:b/>
                <w:bCs/>
                <w:sz w:val="20"/>
                <w:szCs w:val="20"/>
              </w:rPr>
              <w:t>Unburned</w:t>
            </w:r>
          </w:p>
        </w:tc>
        <w:tc>
          <w:tcPr>
            <w:tcW w:w="1734" w:type="dxa"/>
            <w:vAlign w:val="center"/>
          </w:tcPr>
          <w:p w14:paraId="44A4E53F"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 – 759.0)</w:t>
            </w:r>
          </w:p>
        </w:tc>
        <w:tc>
          <w:tcPr>
            <w:tcW w:w="1742" w:type="dxa"/>
            <w:shd w:val="clear" w:color="auto" w:fill="auto"/>
            <w:vAlign w:val="center"/>
          </w:tcPr>
          <w:p w14:paraId="04FB8805"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2814.6 (842.9)</w:t>
            </w:r>
          </w:p>
        </w:tc>
        <w:tc>
          <w:tcPr>
            <w:tcW w:w="1747" w:type="dxa"/>
            <w:shd w:val="clear" w:color="auto" w:fill="auto"/>
            <w:vAlign w:val="center"/>
          </w:tcPr>
          <w:p w14:paraId="409DCB08"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1574.3 (995.3)</w:t>
            </w:r>
          </w:p>
        </w:tc>
        <w:tc>
          <w:tcPr>
            <w:tcW w:w="1747" w:type="dxa"/>
            <w:shd w:val="clear" w:color="auto" w:fill="auto"/>
            <w:vAlign w:val="center"/>
          </w:tcPr>
          <w:p w14:paraId="0082D9FC"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1735.2 (950.9)</w:t>
            </w:r>
          </w:p>
        </w:tc>
        <w:tc>
          <w:tcPr>
            <w:tcW w:w="1747" w:type="dxa"/>
            <w:shd w:val="clear" w:color="auto" w:fill="auto"/>
            <w:vAlign w:val="center"/>
          </w:tcPr>
          <w:p w14:paraId="36F1577D"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2.1 (2.1)</w:t>
            </w:r>
          </w:p>
        </w:tc>
        <w:tc>
          <w:tcPr>
            <w:tcW w:w="1747" w:type="dxa"/>
            <w:shd w:val="clear" w:color="auto" w:fill="auto"/>
            <w:vAlign w:val="center"/>
          </w:tcPr>
          <w:p w14:paraId="63B62010"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2196.8 (1653.5)</w:t>
            </w:r>
          </w:p>
        </w:tc>
      </w:tr>
      <w:tr w:rsidR="005A7E51" w:rsidRPr="005A7E51" w14:paraId="661636ED" w14:textId="77777777" w:rsidTr="005A7E51">
        <w:trPr>
          <w:cantSplit/>
          <w:trHeight w:val="400"/>
        </w:trPr>
        <w:tc>
          <w:tcPr>
            <w:tcW w:w="886" w:type="dxa"/>
            <w:vMerge/>
            <w:vAlign w:val="center"/>
          </w:tcPr>
          <w:p w14:paraId="578E22F4" w14:textId="77777777" w:rsidR="005A7E51" w:rsidRPr="005A7E51" w:rsidRDefault="005A7E51" w:rsidP="002A4EAB">
            <w:pPr>
              <w:rPr>
                <w:rFonts w:ascii="Times New Roman" w:hAnsi="Times New Roman" w:cs="Times New Roman"/>
                <w:sz w:val="20"/>
                <w:szCs w:val="20"/>
              </w:rPr>
            </w:pPr>
          </w:p>
        </w:tc>
        <w:tc>
          <w:tcPr>
            <w:tcW w:w="1616" w:type="dxa"/>
            <w:vAlign w:val="center"/>
          </w:tcPr>
          <w:p w14:paraId="02DFCA54" w14:textId="77777777" w:rsidR="005A7E51" w:rsidRPr="005A7E51" w:rsidRDefault="005A7E51" w:rsidP="002A4EAB">
            <w:pPr>
              <w:rPr>
                <w:rFonts w:ascii="Times New Roman" w:hAnsi="Times New Roman" w:cs="Times New Roman"/>
                <w:b/>
                <w:bCs/>
                <w:sz w:val="20"/>
                <w:szCs w:val="20"/>
              </w:rPr>
            </w:pPr>
            <w:r w:rsidRPr="005A7E51">
              <w:rPr>
                <w:rFonts w:ascii="Times New Roman" w:hAnsi="Times New Roman" w:cs="Times New Roman"/>
                <w:b/>
                <w:bCs/>
                <w:sz w:val="20"/>
                <w:szCs w:val="20"/>
              </w:rPr>
              <w:t>High-Low</w:t>
            </w:r>
          </w:p>
        </w:tc>
        <w:tc>
          <w:tcPr>
            <w:tcW w:w="1734" w:type="dxa"/>
            <w:vAlign w:val="center"/>
          </w:tcPr>
          <w:p w14:paraId="5E61AA44"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 – 0.0)</w:t>
            </w:r>
          </w:p>
        </w:tc>
        <w:tc>
          <w:tcPr>
            <w:tcW w:w="1742" w:type="dxa"/>
            <w:shd w:val="clear" w:color="auto" w:fill="auto"/>
            <w:vAlign w:val="center"/>
          </w:tcPr>
          <w:p w14:paraId="63CDE3EC"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8.6 (3.9)</w:t>
            </w:r>
          </w:p>
        </w:tc>
        <w:tc>
          <w:tcPr>
            <w:tcW w:w="1747" w:type="dxa"/>
            <w:shd w:val="clear" w:color="auto" w:fill="auto"/>
            <w:vAlign w:val="center"/>
          </w:tcPr>
          <w:p w14:paraId="6CADB0D2"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w:t>
            </w:r>
          </w:p>
        </w:tc>
        <w:tc>
          <w:tcPr>
            <w:tcW w:w="1747" w:type="dxa"/>
            <w:shd w:val="clear" w:color="auto" w:fill="auto"/>
            <w:vAlign w:val="center"/>
          </w:tcPr>
          <w:p w14:paraId="5E654B31"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w:t>
            </w:r>
          </w:p>
        </w:tc>
        <w:tc>
          <w:tcPr>
            <w:tcW w:w="1747" w:type="dxa"/>
            <w:shd w:val="clear" w:color="auto" w:fill="auto"/>
            <w:vAlign w:val="center"/>
          </w:tcPr>
          <w:p w14:paraId="6F028E02"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w:t>
            </w:r>
          </w:p>
        </w:tc>
        <w:tc>
          <w:tcPr>
            <w:tcW w:w="1747" w:type="dxa"/>
            <w:shd w:val="clear" w:color="auto" w:fill="auto"/>
            <w:vAlign w:val="center"/>
          </w:tcPr>
          <w:p w14:paraId="500EE28E"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w:t>
            </w:r>
          </w:p>
        </w:tc>
      </w:tr>
      <w:tr w:rsidR="005A7E51" w:rsidRPr="005A7E51" w14:paraId="3241E488" w14:textId="77777777" w:rsidTr="005A7E51">
        <w:trPr>
          <w:cantSplit/>
          <w:trHeight w:val="400"/>
        </w:trPr>
        <w:tc>
          <w:tcPr>
            <w:tcW w:w="886" w:type="dxa"/>
            <w:vMerge/>
            <w:vAlign w:val="center"/>
          </w:tcPr>
          <w:p w14:paraId="7D461E07" w14:textId="77777777" w:rsidR="005A7E51" w:rsidRPr="005A7E51" w:rsidRDefault="005A7E51" w:rsidP="002A4EAB">
            <w:pPr>
              <w:rPr>
                <w:rFonts w:ascii="Times New Roman" w:hAnsi="Times New Roman" w:cs="Times New Roman"/>
                <w:sz w:val="20"/>
                <w:szCs w:val="20"/>
              </w:rPr>
            </w:pPr>
          </w:p>
        </w:tc>
        <w:tc>
          <w:tcPr>
            <w:tcW w:w="1616" w:type="dxa"/>
            <w:vAlign w:val="center"/>
          </w:tcPr>
          <w:p w14:paraId="05FADD05" w14:textId="77777777" w:rsidR="005A7E51" w:rsidRPr="005A7E51" w:rsidRDefault="005A7E51" w:rsidP="002A4EAB">
            <w:pPr>
              <w:rPr>
                <w:rFonts w:ascii="Times New Roman" w:hAnsi="Times New Roman" w:cs="Times New Roman"/>
                <w:b/>
                <w:bCs/>
                <w:sz w:val="20"/>
                <w:szCs w:val="20"/>
              </w:rPr>
            </w:pPr>
            <w:r w:rsidRPr="005A7E51">
              <w:rPr>
                <w:rFonts w:ascii="Times New Roman" w:hAnsi="Times New Roman" w:cs="Times New Roman"/>
                <w:b/>
                <w:bCs/>
                <w:sz w:val="20"/>
                <w:szCs w:val="20"/>
              </w:rPr>
              <w:t>High-High</w:t>
            </w:r>
          </w:p>
        </w:tc>
        <w:tc>
          <w:tcPr>
            <w:tcW w:w="1734" w:type="dxa"/>
            <w:vAlign w:val="center"/>
          </w:tcPr>
          <w:p w14:paraId="03FDC0A4"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 – 0.0)</w:t>
            </w:r>
          </w:p>
        </w:tc>
        <w:tc>
          <w:tcPr>
            <w:tcW w:w="1742" w:type="dxa"/>
            <w:shd w:val="clear" w:color="auto" w:fill="auto"/>
            <w:vAlign w:val="center"/>
          </w:tcPr>
          <w:p w14:paraId="38D4136B"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0.7 (0.7)</w:t>
            </w:r>
          </w:p>
        </w:tc>
        <w:tc>
          <w:tcPr>
            <w:tcW w:w="1747" w:type="dxa"/>
            <w:shd w:val="clear" w:color="auto" w:fill="auto"/>
            <w:vAlign w:val="center"/>
          </w:tcPr>
          <w:p w14:paraId="3AF9C06B"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w:t>
            </w:r>
          </w:p>
        </w:tc>
        <w:tc>
          <w:tcPr>
            <w:tcW w:w="1747" w:type="dxa"/>
            <w:shd w:val="clear" w:color="auto" w:fill="auto"/>
            <w:vAlign w:val="center"/>
          </w:tcPr>
          <w:p w14:paraId="1A57ACD4"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w:t>
            </w:r>
          </w:p>
        </w:tc>
        <w:tc>
          <w:tcPr>
            <w:tcW w:w="1747" w:type="dxa"/>
            <w:shd w:val="clear" w:color="auto" w:fill="auto"/>
            <w:vAlign w:val="center"/>
          </w:tcPr>
          <w:p w14:paraId="308E0055"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w:t>
            </w:r>
          </w:p>
        </w:tc>
        <w:tc>
          <w:tcPr>
            <w:tcW w:w="1747" w:type="dxa"/>
            <w:shd w:val="clear" w:color="auto" w:fill="auto"/>
            <w:vAlign w:val="center"/>
          </w:tcPr>
          <w:p w14:paraId="52AF8303" w14:textId="77777777" w:rsidR="005A7E51" w:rsidRPr="005A7E51" w:rsidRDefault="005A7E51" w:rsidP="002A4EAB">
            <w:pPr>
              <w:rPr>
                <w:rFonts w:ascii="Times New Roman" w:hAnsi="Times New Roman" w:cs="Times New Roman"/>
                <w:sz w:val="20"/>
                <w:szCs w:val="20"/>
              </w:rPr>
            </w:pPr>
            <w:r w:rsidRPr="005A7E51">
              <w:rPr>
                <w:rFonts w:ascii="Times New Roman" w:hAnsi="Times New Roman" w:cs="Times New Roman"/>
                <w:sz w:val="20"/>
                <w:szCs w:val="20"/>
              </w:rPr>
              <w:t>0.0 (0.0)</w:t>
            </w:r>
          </w:p>
        </w:tc>
      </w:tr>
    </w:tbl>
    <w:p w14:paraId="01436108" w14:textId="77777777" w:rsidR="005A7E51" w:rsidRDefault="005A7E51" w:rsidP="00104B77">
      <w:pPr>
        <w:jc w:val="both"/>
        <w:rPr>
          <w:rFonts w:ascii="Times New Roman" w:hAnsi="Times New Roman" w:cs="Times New Roman"/>
          <w:sz w:val="24"/>
          <w:szCs w:val="24"/>
          <w:lang w:val="en-GB"/>
        </w:rPr>
      </w:pPr>
    </w:p>
    <w:p w14:paraId="4E41F164" w14:textId="77777777" w:rsidR="009B4BD5" w:rsidRDefault="009B4BD5" w:rsidP="00104B77">
      <w:pPr>
        <w:jc w:val="both"/>
        <w:rPr>
          <w:rFonts w:ascii="Times New Roman" w:hAnsi="Times New Roman" w:cs="Times New Roman"/>
          <w:sz w:val="24"/>
          <w:szCs w:val="24"/>
          <w:lang w:val="en-GB"/>
        </w:rPr>
      </w:pPr>
    </w:p>
    <w:p w14:paraId="3DEEF58D" w14:textId="77777777" w:rsidR="009B4BD5" w:rsidRDefault="009B4BD5" w:rsidP="00104B77">
      <w:pPr>
        <w:jc w:val="both"/>
        <w:rPr>
          <w:rFonts w:ascii="Times New Roman" w:hAnsi="Times New Roman" w:cs="Times New Roman"/>
          <w:sz w:val="24"/>
          <w:szCs w:val="24"/>
          <w:lang w:val="en-GB"/>
        </w:rPr>
      </w:pPr>
    </w:p>
    <w:p w14:paraId="455D08DD" w14:textId="77777777" w:rsidR="009B4BD5" w:rsidRDefault="009B4BD5" w:rsidP="00104B77">
      <w:pPr>
        <w:jc w:val="both"/>
        <w:rPr>
          <w:rFonts w:ascii="Times New Roman" w:hAnsi="Times New Roman" w:cs="Times New Roman"/>
          <w:sz w:val="24"/>
          <w:szCs w:val="24"/>
          <w:lang w:val="en-GB"/>
        </w:rPr>
      </w:pPr>
    </w:p>
    <w:p w14:paraId="5BD5FF63" w14:textId="77777777" w:rsidR="009B4BD5" w:rsidRDefault="009B4BD5" w:rsidP="00104B77">
      <w:pPr>
        <w:jc w:val="both"/>
        <w:rPr>
          <w:rFonts w:ascii="Times New Roman" w:hAnsi="Times New Roman" w:cs="Times New Roman"/>
          <w:sz w:val="24"/>
          <w:szCs w:val="24"/>
          <w:lang w:val="en-GB"/>
        </w:rPr>
      </w:pPr>
    </w:p>
    <w:p w14:paraId="511F7602" w14:textId="77777777" w:rsidR="009B4BD5" w:rsidRDefault="009B4BD5" w:rsidP="00104B77">
      <w:pPr>
        <w:jc w:val="both"/>
        <w:rPr>
          <w:rFonts w:ascii="Times New Roman" w:hAnsi="Times New Roman" w:cs="Times New Roman"/>
          <w:sz w:val="24"/>
          <w:szCs w:val="24"/>
          <w:lang w:val="en-GB"/>
        </w:rPr>
      </w:pPr>
    </w:p>
    <w:p w14:paraId="29CC442C" w14:textId="77777777" w:rsidR="009B4BD5" w:rsidRDefault="009B4BD5" w:rsidP="00104B77">
      <w:pPr>
        <w:jc w:val="both"/>
        <w:rPr>
          <w:rFonts w:ascii="Times New Roman" w:hAnsi="Times New Roman" w:cs="Times New Roman"/>
          <w:sz w:val="24"/>
          <w:szCs w:val="24"/>
          <w:lang w:val="en-GB"/>
        </w:rPr>
      </w:pPr>
    </w:p>
    <w:p w14:paraId="552E1FC9" w14:textId="77777777" w:rsidR="009B4BD5" w:rsidRDefault="009B4BD5" w:rsidP="00104B77">
      <w:pPr>
        <w:jc w:val="both"/>
        <w:rPr>
          <w:rFonts w:ascii="Times New Roman" w:hAnsi="Times New Roman" w:cs="Times New Roman"/>
          <w:sz w:val="24"/>
          <w:szCs w:val="24"/>
          <w:lang w:val="en-GB"/>
        </w:rPr>
      </w:pPr>
    </w:p>
    <w:p w14:paraId="2E3CDB1A" w14:textId="77777777" w:rsidR="009B4BD5" w:rsidRDefault="009B4BD5" w:rsidP="00104B77">
      <w:pPr>
        <w:jc w:val="both"/>
        <w:rPr>
          <w:rFonts w:ascii="Times New Roman" w:hAnsi="Times New Roman" w:cs="Times New Roman"/>
          <w:sz w:val="24"/>
          <w:szCs w:val="24"/>
          <w:lang w:val="en-GB"/>
        </w:rPr>
      </w:pPr>
    </w:p>
    <w:p w14:paraId="2F8C4416" w14:textId="77777777" w:rsidR="009B4BD5" w:rsidRDefault="009B4BD5" w:rsidP="00104B77">
      <w:pPr>
        <w:jc w:val="both"/>
        <w:rPr>
          <w:rFonts w:ascii="Times New Roman" w:hAnsi="Times New Roman" w:cs="Times New Roman"/>
          <w:sz w:val="24"/>
          <w:szCs w:val="24"/>
          <w:lang w:val="en-GB"/>
        </w:rPr>
      </w:pPr>
    </w:p>
    <w:p w14:paraId="7BEB832B" w14:textId="77777777" w:rsidR="009B4BD5" w:rsidRDefault="009B4BD5" w:rsidP="00104B77">
      <w:pPr>
        <w:jc w:val="both"/>
        <w:rPr>
          <w:rFonts w:ascii="Times New Roman" w:hAnsi="Times New Roman" w:cs="Times New Roman"/>
          <w:sz w:val="24"/>
          <w:szCs w:val="24"/>
          <w:lang w:val="en-GB"/>
        </w:rPr>
      </w:pPr>
    </w:p>
    <w:p w14:paraId="48B8301C" w14:textId="40D8CA4C" w:rsidR="00553647" w:rsidRDefault="00553647" w:rsidP="00104B77">
      <w:pPr>
        <w:jc w:val="both"/>
        <w:rPr>
          <w:rFonts w:ascii="Times New Roman" w:hAnsi="Times New Roman" w:cs="Times New Roman"/>
          <w:sz w:val="24"/>
          <w:szCs w:val="24"/>
        </w:rPr>
      </w:pPr>
      <w:r w:rsidRPr="00A45138">
        <w:rPr>
          <w:rFonts w:ascii="Times New Roman" w:hAnsi="Times New Roman" w:cs="Times New Roman"/>
          <w:b/>
          <w:bCs/>
          <w:sz w:val="24"/>
          <w:szCs w:val="24"/>
        </w:rPr>
        <w:lastRenderedPageBreak/>
        <w:t>Table S</w:t>
      </w:r>
      <w:r w:rsidR="00864747">
        <w:rPr>
          <w:rFonts w:ascii="Times New Roman" w:hAnsi="Times New Roman" w:cs="Times New Roman"/>
          <w:b/>
          <w:bCs/>
          <w:sz w:val="24"/>
          <w:szCs w:val="24"/>
        </w:rPr>
        <w:t>4</w:t>
      </w:r>
      <w:r w:rsidRPr="00A45138">
        <w:rPr>
          <w:rFonts w:ascii="Times New Roman" w:hAnsi="Times New Roman" w:cs="Times New Roman"/>
          <w:b/>
          <w:bCs/>
          <w:sz w:val="24"/>
          <w:szCs w:val="24"/>
        </w:rPr>
        <w:t>.</w:t>
      </w:r>
      <w:r>
        <w:rPr>
          <w:rFonts w:ascii="Times New Roman" w:hAnsi="Times New Roman" w:cs="Times New Roman"/>
          <w:sz w:val="24"/>
          <w:szCs w:val="24"/>
        </w:rPr>
        <w:t xml:space="preserve"> </w:t>
      </w:r>
      <w:r w:rsidR="00A45138" w:rsidRPr="007E2E44">
        <w:rPr>
          <w:rFonts w:ascii="Times New Roman" w:hAnsi="Times New Roman" w:cs="Times New Roman"/>
          <w:sz w:val="24"/>
          <w:szCs w:val="24"/>
          <w:lang w:val="en-GB"/>
        </w:rPr>
        <w:t>Summary of resprout abundances (resprouts/ha) of the principal tree species in terms of median and interquartile range (IQR) in each study site and mean and standard error (SE) in each fire severity history.</w:t>
      </w:r>
      <w:r>
        <w:rPr>
          <w:rFonts w:ascii="Times New Roman" w:hAnsi="Times New Roman" w:cs="Times New Roman"/>
          <w:sz w:val="24"/>
          <w:szCs w:val="24"/>
        </w:rPr>
        <w:t xml:space="preserve"> </w:t>
      </w:r>
    </w:p>
    <w:tbl>
      <w:tblPr>
        <w:tblStyle w:val="TableGrid"/>
        <w:tblW w:w="13018" w:type="dxa"/>
        <w:tblLook w:val="04A0" w:firstRow="1" w:lastRow="0" w:firstColumn="1" w:lastColumn="0" w:noHBand="0" w:noVBand="1"/>
      </w:tblPr>
      <w:tblGrid>
        <w:gridCol w:w="889"/>
        <w:gridCol w:w="1626"/>
        <w:gridCol w:w="1737"/>
        <w:gridCol w:w="1748"/>
        <w:gridCol w:w="1753"/>
        <w:gridCol w:w="1753"/>
        <w:gridCol w:w="1753"/>
        <w:gridCol w:w="1759"/>
      </w:tblGrid>
      <w:tr w:rsidR="009B4BD5" w:rsidRPr="009B4BD5" w14:paraId="41BEB0FE" w14:textId="77777777" w:rsidTr="009B4BD5">
        <w:trPr>
          <w:cantSplit/>
          <w:trHeight w:val="279"/>
        </w:trPr>
        <w:tc>
          <w:tcPr>
            <w:tcW w:w="889" w:type="dxa"/>
            <w:vMerge w:val="restart"/>
            <w:tcBorders>
              <w:top w:val="single" w:sz="4" w:space="0" w:color="auto"/>
              <w:left w:val="nil"/>
              <w:bottom w:val="nil"/>
              <w:right w:val="nil"/>
            </w:tcBorders>
            <w:shd w:val="clear" w:color="auto" w:fill="auto"/>
            <w:vAlign w:val="center"/>
          </w:tcPr>
          <w:p w14:paraId="7D4E0491" w14:textId="77777777" w:rsidR="009B4BD5" w:rsidRPr="009B4BD5" w:rsidRDefault="009B4BD5" w:rsidP="002A4EAB">
            <w:pPr>
              <w:jc w:val="center"/>
              <w:rPr>
                <w:rFonts w:ascii="Times New Roman" w:hAnsi="Times New Roman" w:cs="Times New Roman"/>
                <w:b/>
                <w:bCs/>
                <w:sz w:val="20"/>
                <w:szCs w:val="20"/>
              </w:rPr>
            </w:pPr>
            <w:r w:rsidRPr="009B4BD5">
              <w:rPr>
                <w:rFonts w:ascii="Times New Roman" w:hAnsi="Times New Roman" w:cs="Times New Roman"/>
                <w:b/>
                <w:bCs/>
                <w:sz w:val="20"/>
                <w:szCs w:val="20"/>
              </w:rPr>
              <w:t>Site</w:t>
            </w:r>
          </w:p>
        </w:tc>
        <w:tc>
          <w:tcPr>
            <w:tcW w:w="1626" w:type="dxa"/>
            <w:vMerge w:val="restart"/>
            <w:tcBorders>
              <w:top w:val="single" w:sz="4" w:space="0" w:color="auto"/>
              <w:left w:val="nil"/>
              <w:bottom w:val="nil"/>
              <w:right w:val="nil"/>
            </w:tcBorders>
            <w:shd w:val="clear" w:color="auto" w:fill="auto"/>
            <w:vAlign w:val="center"/>
          </w:tcPr>
          <w:p w14:paraId="35122C55" w14:textId="77777777" w:rsidR="009B4BD5" w:rsidRPr="009B4BD5" w:rsidRDefault="009B4BD5" w:rsidP="002A4EAB">
            <w:pPr>
              <w:jc w:val="center"/>
              <w:rPr>
                <w:rFonts w:ascii="Times New Roman" w:hAnsi="Times New Roman" w:cs="Times New Roman"/>
                <w:b/>
                <w:bCs/>
                <w:sz w:val="20"/>
                <w:szCs w:val="20"/>
              </w:rPr>
            </w:pPr>
            <w:r w:rsidRPr="009B4BD5">
              <w:rPr>
                <w:rFonts w:ascii="Times New Roman" w:hAnsi="Times New Roman" w:cs="Times New Roman"/>
                <w:b/>
                <w:bCs/>
                <w:sz w:val="20"/>
                <w:szCs w:val="20"/>
              </w:rPr>
              <w:t>Burn severity classification</w:t>
            </w:r>
          </w:p>
        </w:tc>
        <w:tc>
          <w:tcPr>
            <w:tcW w:w="1737" w:type="dxa"/>
            <w:vMerge w:val="restart"/>
            <w:tcBorders>
              <w:top w:val="single" w:sz="4" w:space="0" w:color="auto"/>
              <w:left w:val="nil"/>
              <w:bottom w:val="nil"/>
              <w:right w:val="nil"/>
            </w:tcBorders>
            <w:shd w:val="clear" w:color="auto" w:fill="auto"/>
            <w:vAlign w:val="center"/>
          </w:tcPr>
          <w:p w14:paraId="153B83E3" w14:textId="77777777" w:rsidR="009B4BD5" w:rsidRPr="009B4BD5" w:rsidRDefault="009B4BD5" w:rsidP="002A4EAB">
            <w:pPr>
              <w:jc w:val="center"/>
              <w:rPr>
                <w:rFonts w:ascii="Times New Roman" w:hAnsi="Times New Roman" w:cs="Times New Roman"/>
                <w:b/>
                <w:bCs/>
                <w:sz w:val="20"/>
                <w:szCs w:val="20"/>
              </w:rPr>
            </w:pPr>
            <w:r w:rsidRPr="009B4BD5">
              <w:rPr>
                <w:rFonts w:ascii="Times New Roman" w:hAnsi="Times New Roman" w:cs="Times New Roman"/>
                <w:b/>
                <w:bCs/>
                <w:sz w:val="20"/>
                <w:szCs w:val="20"/>
              </w:rPr>
              <w:t>Median (IQR)</w:t>
            </w:r>
          </w:p>
        </w:tc>
        <w:tc>
          <w:tcPr>
            <w:tcW w:w="8766" w:type="dxa"/>
            <w:gridSpan w:val="5"/>
            <w:tcBorders>
              <w:top w:val="single" w:sz="4" w:space="0" w:color="auto"/>
              <w:left w:val="nil"/>
              <w:bottom w:val="single" w:sz="4" w:space="0" w:color="auto"/>
              <w:right w:val="nil"/>
            </w:tcBorders>
            <w:shd w:val="clear" w:color="auto" w:fill="auto"/>
            <w:vAlign w:val="center"/>
          </w:tcPr>
          <w:p w14:paraId="273F4820" w14:textId="77777777" w:rsidR="009B4BD5" w:rsidRPr="009B4BD5" w:rsidRDefault="009B4BD5" w:rsidP="002A4EAB">
            <w:pPr>
              <w:jc w:val="center"/>
              <w:rPr>
                <w:rFonts w:ascii="Times New Roman" w:hAnsi="Times New Roman" w:cs="Times New Roman"/>
                <w:b/>
                <w:bCs/>
                <w:sz w:val="20"/>
                <w:szCs w:val="20"/>
              </w:rPr>
            </w:pPr>
            <w:r w:rsidRPr="009B4BD5">
              <w:rPr>
                <w:rFonts w:ascii="Times New Roman" w:hAnsi="Times New Roman" w:cs="Times New Roman"/>
                <w:b/>
                <w:bCs/>
                <w:sz w:val="20"/>
                <w:szCs w:val="20"/>
              </w:rPr>
              <w:t xml:space="preserve">Mean resprout abundance and standard error (SE) </w:t>
            </w:r>
          </w:p>
        </w:tc>
      </w:tr>
      <w:tr w:rsidR="009B4BD5" w:rsidRPr="009B4BD5" w14:paraId="4460CB33" w14:textId="77777777" w:rsidTr="009B4BD5">
        <w:trPr>
          <w:cantSplit/>
          <w:trHeight w:val="279"/>
        </w:trPr>
        <w:tc>
          <w:tcPr>
            <w:tcW w:w="889" w:type="dxa"/>
            <w:vMerge/>
            <w:tcBorders>
              <w:top w:val="nil"/>
              <w:left w:val="nil"/>
              <w:bottom w:val="single" w:sz="4" w:space="0" w:color="auto"/>
              <w:right w:val="nil"/>
            </w:tcBorders>
            <w:shd w:val="clear" w:color="auto" w:fill="auto"/>
            <w:vAlign w:val="center"/>
          </w:tcPr>
          <w:p w14:paraId="4B98D10C" w14:textId="77777777" w:rsidR="009B4BD5" w:rsidRPr="009B4BD5" w:rsidRDefault="009B4BD5" w:rsidP="002A4EAB">
            <w:pPr>
              <w:rPr>
                <w:rFonts w:ascii="Times New Roman" w:hAnsi="Times New Roman" w:cs="Times New Roman"/>
                <w:sz w:val="20"/>
                <w:szCs w:val="20"/>
              </w:rPr>
            </w:pPr>
          </w:p>
        </w:tc>
        <w:tc>
          <w:tcPr>
            <w:tcW w:w="1626" w:type="dxa"/>
            <w:vMerge/>
            <w:tcBorders>
              <w:top w:val="nil"/>
              <w:left w:val="nil"/>
              <w:bottom w:val="single" w:sz="4" w:space="0" w:color="auto"/>
              <w:right w:val="nil"/>
            </w:tcBorders>
            <w:shd w:val="clear" w:color="auto" w:fill="auto"/>
            <w:vAlign w:val="center"/>
          </w:tcPr>
          <w:p w14:paraId="40988BDB" w14:textId="77777777" w:rsidR="009B4BD5" w:rsidRPr="009B4BD5" w:rsidRDefault="009B4BD5" w:rsidP="002A4EAB">
            <w:pPr>
              <w:jc w:val="center"/>
              <w:rPr>
                <w:rFonts w:ascii="Times New Roman" w:hAnsi="Times New Roman" w:cs="Times New Roman"/>
                <w:b/>
                <w:bCs/>
                <w:sz w:val="20"/>
                <w:szCs w:val="20"/>
              </w:rPr>
            </w:pPr>
          </w:p>
        </w:tc>
        <w:tc>
          <w:tcPr>
            <w:tcW w:w="1737" w:type="dxa"/>
            <w:vMerge/>
            <w:tcBorders>
              <w:top w:val="nil"/>
              <w:left w:val="nil"/>
              <w:bottom w:val="single" w:sz="4" w:space="0" w:color="auto"/>
              <w:right w:val="nil"/>
            </w:tcBorders>
            <w:shd w:val="clear" w:color="auto" w:fill="auto"/>
            <w:vAlign w:val="center"/>
          </w:tcPr>
          <w:p w14:paraId="373A29E0" w14:textId="77777777" w:rsidR="009B4BD5" w:rsidRPr="009B4BD5" w:rsidRDefault="009B4BD5" w:rsidP="002A4EAB">
            <w:pPr>
              <w:jc w:val="center"/>
              <w:rPr>
                <w:rFonts w:ascii="Times New Roman" w:hAnsi="Times New Roman" w:cs="Times New Roman"/>
                <w:b/>
                <w:bCs/>
                <w:sz w:val="20"/>
                <w:szCs w:val="20"/>
              </w:rPr>
            </w:pPr>
          </w:p>
        </w:tc>
        <w:tc>
          <w:tcPr>
            <w:tcW w:w="1748" w:type="dxa"/>
            <w:tcBorders>
              <w:top w:val="nil"/>
              <w:left w:val="nil"/>
              <w:bottom w:val="single" w:sz="4" w:space="0" w:color="auto"/>
              <w:right w:val="nil"/>
            </w:tcBorders>
            <w:shd w:val="clear" w:color="auto" w:fill="auto"/>
            <w:vAlign w:val="center"/>
          </w:tcPr>
          <w:p w14:paraId="4D653DA2" w14:textId="77777777" w:rsidR="009B4BD5" w:rsidRPr="009B4BD5" w:rsidRDefault="009B4BD5" w:rsidP="002A4EAB">
            <w:pPr>
              <w:jc w:val="center"/>
              <w:rPr>
                <w:rFonts w:ascii="Times New Roman" w:hAnsi="Times New Roman" w:cs="Times New Roman"/>
                <w:b/>
                <w:bCs/>
                <w:i/>
                <w:iCs/>
                <w:sz w:val="20"/>
                <w:szCs w:val="20"/>
              </w:rPr>
            </w:pPr>
            <w:r w:rsidRPr="009B4BD5">
              <w:rPr>
                <w:rFonts w:ascii="Times New Roman" w:hAnsi="Times New Roman" w:cs="Times New Roman"/>
                <w:b/>
                <w:bCs/>
                <w:i/>
                <w:iCs/>
                <w:sz w:val="20"/>
                <w:szCs w:val="20"/>
              </w:rPr>
              <w:t>Araucaria araucana</w:t>
            </w:r>
          </w:p>
        </w:tc>
        <w:tc>
          <w:tcPr>
            <w:tcW w:w="1753" w:type="dxa"/>
            <w:tcBorders>
              <w:top w:val="nil"/>
              <w:left w:val="nil"/>
              <w:bottom w:val="single" w:sz="4" w:space="0" w:color="auto"/>
              <w:right w:val="nil"/>
            </w:tcBorders>
            <w:shd w:val="clear" w:color="auto" w:fill="auto"/>
            <w:vAlign w:val="center"/>
          </w:tcPr>
          <w:p w14:paraId="3FFA3FBA" w14:textId="77777777" w:rsidR="009B4BD5" w:rsidRPr="009B4BD5" w:rsidRDefault="009B4BD5" w:rsidP="002A4EAB">
            <w:pPr>
              <w:jc w:val="center"/>
              <w:rPr>
                <w:rFonts w:ascii="Times New Roman" w:hAnsi="Times New Roman" w:cs="Times New Roman"/>
                <w:b/>
                <w:bCs/>
                <w:i/>
                <w:iCs/>
                <w:sz w:val="20"/>
                <w:szCs w:val="20"/>
              </w:rPr>
            </w:pPr>
            <w:r w:rsidRPr="009B4BD5">
              <w:rPr>
                <w:rFonts w:ascii="Times New Roman" w:hAnsi="Times New Roman" w:cs="Times New Roman"/>
                <w:b/>
                <w:bCs/>
                <w:i/>
                <w:iCs/>
                <w:sz w:val="20"/>
                <w:szCs w:val="20"/>
              </w:rPr>
              <w:t>Nothofagus alpina</w:t>
            </w:r>
          </w:p>
        </w:tc>
        <w:tc>
          <w:tcPr>
            <w:tcW w:w="1753" w:type="dxa"/>
            <w:tcBorders>
              <w:top w:val="nil"/>
              <w:left w:val="nil"/>
              <w:bottom w:val="single" w:sz="4" w:space="0" w:color="auto"/>
              <w:right w:val="nil"/>
            </w:tcBorders>
            <w:shd w:val="clear" w:color="auto" w:fill="auto"/>
            <w:vAlign w:val="center"/>
          </w:tcPr>
          <w:p w14:paraId="7E6B8E2B" w14:textId="77777777" w:rsidR="009B4BD5" w:rsidRPr="009B4BD5" w:rsidRDefault="009B4BD5" w:rsidP="002A4EAB">
            <w:pPr>
              <w:jc w:val="center"/>
              <w:rPr>
                <w:rFonts w:ascii="Times New Roman" w:hAnsi="Times New Roman" w:cs="Times New Roman"/>
                <w:b/>
                <w:bCs/>
                <w:i/>
                <w:iCs/>
                <w:sz w:val="20"/>
                <w:szCs w:val="20"/>
              </w:rPr>
            </w:pPr>
            <w:r w:rsidRPr="009B4BD5">
              <w:rPr>
                <w:rFonts w:ascii="Times New Roman" w:hAnsi="Times New Roman" w:cs="Times New Roman"/>
                <w:b/>
                <w:bCs/>
                <w:i/>
                <w:iCs/>
                <w:sz w:val="20"/>
                <w:szCs w:val="20"/>
              </w:rPr>
              <w:t>Nothofagus dombeyi</w:t>
            </w:r>
          </w:p>
        </w:tc>
        <w:tc>
          <w:tcPr>
            <w:tcW w:w="1753" w:type="dxa"/>
            <w:tcBorders>
              <w:top w:val="nil"/>
              <w:left w:val="nil"/>
              <w:bottom w:val="single" w:sz="4" w:space="0" w:color="auto"/>
              <w:right w:val="nil"/>
            </w:tcBorders>
            <w:shd w:val="clear" w:color="auto" w:fill="auto"/>
            <w:vAlign w:val="center"/>
          </w:tcPr>
          <w:p w14:paraId="7F3A1262" w14:textId="77777777" w:rsidR="009B4BD5" w:rsidRPr="009B4BD5" w:rsidRDefault="009B4BD5" w:rsidP="002A4EAB">
            <w:pPr>
              <w:jc w:val="center"/>
              <w:rPr>
                <w:rFonts w:ascii="Times New Roman" w:hAnsi="Times New Roman" w:cs="Times New Roman"/>
                <w:b/>
                <w:bCs/>
                <w:i/>
                <w:iCs/>
                <w:sz w:val="20"/>
                <w:szCs w:val="20"/>
              </w:rPr>
            </w:pPr>
            <w:r w:rsidRPr="009B4BD5">
              <w:rPr>
                <w:rFonts w:ascii="Times New Roman" w:hAnsi="Times New Roman" w:cs="Times New Roman"/>
                <w:b/>
                <w:bCs/>
                <w:i/>
                <w:iCs/>
                <w:sz w:val="20"/>
                <w:szCs w:val="20"/>
              </w:rPr>
              <w:t>Nothofagus obliqua</w:t>
            </w:r>
          </w:p>
        </w:tc>
        <w:tc>
          <w:tcPr>
            <w:tcW w:w="1756" w:type="dxa"/>
            <w:tcBorders>
              <w:top w:val="nil"/>
              <w:left w:val="nil"/>
              <w:bottom w:val="single" w:sz="4" w:space="0" w:color="auto"/>
              <w:right w:val="nil"/>
            </w:tcBorders>
            <w:shd w:val="clear" w:color="auto" w:fill="auto"/>
            <w:vAlign w:val="center"/>
          </w:tcPr>
          <w:p w14:paraId="71E04916" w14:textId="77777777" w:rsidR="009B4BD5" w:rsidRPr="009B4BD5" w:rsidRDefault="009B4BD5" w:rsidP="002A4EAB">
            <w:pPr>
              <w:jc w:val="center"/>
              <w:rPr>
                <w:rFonts w:ascii="Times New Roman" w:hAnsi="Times New Roman" w:cs="Times New Roman"/>
                <w:b/>
                <w:bCs/>
                <w:i/>
                <w:iCs/>
                <w:sz w:val="20"/>
                <w:szCs w:val="20"/>
              </w:rPr>
            </w:pPr>
            <w:r w:rsidRPr="009B4BD5">
              <w:rPr>
                <w:rFonts w:ascii="Times New Roman" w:hAnsi="Times New Roman" w:cs="Times New Roman"/>
                <w:b/>
                <w:bCs/>
                <w:i/>
                <w:iCs/>
                <w:sz w:val="20"/>
                <w:szCs w:val="20"/>
              </w:rPr>
              <w:t>Nothofagus pumilio</w:t>
            </w:r>
          </w:p>
        </w:tc>
      </w:tr>
      <w:tr w:rsidR="009B4BD5" w:rsidRPr="009B4BD5" w14:paraId="266B8A55" w14:textId="77777777" w:rsidTr="009B4BD5">
        <w:trPr>
          <w:cantSplit/>
          <w:trHeight w:val="418"/>
        </w:trPr>
        <w:tc>
          <w:tcPr>
            <w:tcW w:w="889" w:type="dxa"/>
            <w:vMerge w:val="restart"/>
            <w:tcBorders>
              <w:top w:val="single" w:sz="4" w:space="0" w:color="auto"/>
              <w:left w:val="nil"/>
              <w:bottom w:val="nil"/>
              <w:right w:val="nil"/>
            </w:tcBorders>
            <w:shd w:val="clear" w:color="auto" w:fill="auto"/>
            <w:textDirection w:val="btLr"/>
            <w:vAlign w:val="center"/>
          </w:tcPr>
          <w:p w14:paraId="50604742" w14:textId="77777777" w:rsidR="009B4BD5" w:rsidRPr="009B4BD5" w:rsidRDefault="009B4BD5" w:rsidP="002A4EAB">
            <w:pPr>
              <w:ind w:left="113" w:right="113"/>
              <w:jc w:val="center"/>
              <w:rPr>
                <w:rFonts w:ascii="Times New Roman" w:hAnsi="Times New Roman" w:cs="Times New Roman"/>
                <w:b/>
                <w:bCs/>
                <w:sz w:val="20"/>
                <w:szCs w:val="20"/>
              </w:rPr>
            </w:pPr>
            <w:r w:rsidRPr="009B4BD5">
              <w:rPr>
                <w:rFonts w:ascii="Times New Roman" w:hAnsi="Times New Roman" w:cs="Times New Roman"/>
                <w:b/>
                <w:bCs/>
                <w:sz w:val="20"/>
                <w:szCs w:val="20"/>
              </w:rPr>
              <w:t>China Muerta</w:t>
            </w:r>
          </w:p>
          <w:p w14:paraId="189A7FC1" w14:textId="77777777" w:rsidR="009B4BD5" w:rsidRPr="009B4BD5" w:rsidRDefault="009B4BD5" w:rsidP="002A4EAB">
            <w:pPr>
              <w:ind w:left="113" w:right="113"/>
              <w:jc w:val="center"/>
              <w:rPr>
                <w:rFonts w:ascii="Times New Roman" w:hAnsi="Times New Roman" w:cs="Times New Roman"/>
                <w:b/>
                <w:bCs/>
                <w:sz w:val="20"/>
                <w:szCs w:val="20"/>
              </w:rPr>
            </w:pPr>
            <w:r w:rsidRPr="009B4BD5">
              <w:rPr>
                <w:rFonts w:ascii="Times New Roman" w:hAnsi="Times New Roman" w:cs="Times New Roman"/>
                <w:b/>
                <w:bCs/>
                <w:sz w:val="20"/>
                <w:szCs w:val="20"/>
              </w:rPr>
              <w:t>(single burn)</w:t>
            </w:r>
          </w:p>
        </w:tc>
        <w:tc>
          <w:tcPr>
            <w:tcW w:w="1626" w:type="dxa"/>
            <w:tcBorders>
              <w:top w:val="single" w:sz="4" w:space="0" w:color="auto"/>
              <w:left w:val="nil"/>
              <w:bottom w:val="nil"/>
              <w:right w:val="nil"/>
            </w:tcBorders>
            <w:shd w:val="clear" w:color="auto" w:fill="auto"/>
            <w:vAlign w:val="center"/>
          </w:tcPr>
          <w:p w14:paraId="7A23BB3E" w14:textId="77777777" w:rsidR="009B4BD5" w:rsidRPr="009B4BD5" w:rsidRDefault="009B4BD5" w:rsidP="002A4EAB">
            <w:pPr>
              <w:rPr>
                <w:rFonts w:ascii="Times New Roman" w:hAnsi="Times New Roman" w:cs="Times New Roman"/>
                <w:b/>
                <w:bCs/>
                <w:sz w:val="20"/>
                <w:szCs w:val="20"/>
              </w:rPr>
            </w:pPr>
            <w:r w:rsidRPr="009B4BD5">
              <w:rPr>
                <w:rFonts w:ascii="Times New Roman" w:hAnsi="Times New Roman" w:cs="Times New Roman"/>
                <w:b/>
                <w:bCs/>
                <w:sz w:val="20"/>
                <w:szCs w:val="20"/>
              </w:rPr>
              <w:t>All plots</w:t>
            </w:r>
          </w:p>
        </w:tc>
        <w:tc>
          <w:tcPr>
            <w:tcW w:w="1737" w:type="dxa"/>
            <w:tcBorders>
              <w:top w:val="single" w:sz="4" w:space="0" w:color="auto"/>
              <w:left w:val="nil"/>
              <w:bottom w:val="nil"/>
              <w:right w:val="nil"/>
            </w:tcBorders>
            <w:shd w:val="clear" w:color="auto" w:fill="auto"/>
            <w:vAlign w:val="center"/>
          </w:tcPr>
          <w:p w14:paraId="47D33933"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 – 0.0)</w:t>
            </w:r>
          </w:p>
        </w:tc>
        <w:tc>
          <w:tcPr>
            <w:tcW w:w="1748" w:type="dxa"/>
            <w:tcBorders>
              <w:top w:val="single" w:sz="4" w:space="0" w:color="auto"/>
              <w:left w:val="nil"/>
              <w:bottom w:val="nil"/>
              <w:right w:val="nil"/>
            </w:tcBorders>
            <w:shd w:val="clear" w:color="auto" w:fill="auto"/>
            <w:vAlign w:val="center"/>
          </w:tcPr>
          <w:p w14:paraId="0D464727"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11.7 (4.0)</w:t>
            </w:r>
          </w:p>
        </w:tc>
        <w:tc>
          <w:tcPr>
            <w:tcW w:w="1753" w:type="dxa"/>
            <w:tcBorders>
              <w:top w:val="single" w:sz="4" w:space="0" w:color="auto"/>
              <w:left w:val="nil"/>
              <w:bottom w:val="nil"/>
              <w:right w:val="nil"/>
            </w:tcBorders>
            <w:shd w:val="clear" w:color="auto" w:fill="auto"/>
            <w:vAlign w:val="center"/>
          </w:tcPr>
          <w:p w14:paraId="5C244CAD"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53.8 (29.0)</w:t>
            </w:r>
          </w:p>
        </w:tc>
        <w:tc>
          <w:tcPr>
            <w:tcW w:w="1753" w:type="dxa"/>
            <w:tcBorders>
              <w:top w:val="single" w:sz="4" w:space="0" w:color="auto"/>
              <w:left w:val="nil"/>
              <w:bottom w:val="nil"/>
              <w:right w:val="nil"/>
            </w:tcBorders>
            <w:shd w:val="clear" w:color="auto" w:fill="auto"/>
            <w:vAlign w:val="center"/>
          </w:tcPr>
          <w:p w14:paraId="779E7ACF"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w:t>
            </w:r>
          </w:p>
        </w:tc>
        <w:tc>
          <w:tcPr>
            <w:tcW w:w="1753" w:type="dxa"/>
            <w:tcBorders>
              <w:top w:val="single" w:sz="4" w:space="0" w:color="auto"/>
              <w:left w:val="nil"/>
              <w:bottom w:val="nil"/>
              <w:right w:val="nil"/>
            </w:tcBorders>
            <w:shd w:val="clear" w:color="auto" w:fill="auto"/>
            <w:vAlign w:val="center"/>
          </w:tcPr>
          <w:p w14:paraId="15DA61F8"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60.6 (32.0)</w:t>
            </w:r>
          </w:p>
        </w:tc>
        <w:tc>
          <w:tcPr>
            <w:tcW w:w="1756" w:type="dxa"/>
            <w:tcBorders>
              <w:top w:val="single" w:sz="4" w:space="0" w:color="auto"/>
              <w:left w:val="nil"/>
              <w:bottom w:val="nil"/>
              <w:right w:val="nil"/>
            </w:tcBorders>
            <w:shd w:val="clear" w:color="auto" w:fill="auto"/>
            <w:vAlign w:val="center"/>
          </w:tcPr>
          <w:p w14:paraId="75ED29DA"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2.6 (1.3)</w:t>
            </w:r>
          </w:p>
        </w:tc>
      </w:tr>
      <w:tr w:rsidR="009B4BD5" w:rsidRPr="009B4BD5" w14:paraId="1BE17C14" w14:textId="77777777" w:rsidTr="009B4BD5">
        <w:trPr>
          <w:cantSplit/>
          <w:trHeight w:val="418"/>
        </w:trPr>
        <w:tc>
          <w:tcPr>
            <w:tcW w:w="889" w:type="dxa"/>
            <w:vMerge/>
            <w:tcBorders>
              <w:top w:val="nil"/>
              <w:left w:val="nil"/>
              <w:bottom w:val="nil"/>
              <w:right w:val="nil"/>
            </w:tcBorders>
            <w:shd w:val="clear" w:color="auto" w:fill="auto"/>
            <w:vAlign w:val="center"/>
          </w:tcPr>
          <w:p w14:paraId="06A6955B" w14:textId="77777777" w:rsidR="009B4BD5" w:rsidRPr="009B4BD5" w:rsidRDefault="009B4BD5" w:rsidP="002A4EAB">
            <w:pPr>
              <w:rPr>
                <w:rFonts w:ascii="Times New Roman" w:hAnsi="Times New Roman" w:cs="Times New Roman"/>
                <w:b/>
                <w:bCs/>
                <w:sz w:val="20"/>
                <w:szCs w:val="20"/>
              </w:rPr>
            </w:pPr>
          </w:p>
        </w:tc>
        <w:tc>
          <w:tcPr>
            <w:tcW w:w="1626" w:type="dxa"/>
            <w:tcBorders>
              <w:top w:val="nil"/>
              <w:left w:val="nil"/>
              <w:bottom w:val="nil"/>
              <w:right w:val="nil"/>
            </w:tcBorders>
            <w:shd w:val="clear" w:color="auto" w:fill="auto"/>
            <w:vAlign w:val="center"/>
          </w:tcPr>
          <w:p w14:paraId="3FBC798F" w14:textId="77777777" w:rsidR="009B4BD5" w:rsidRPr="009B4BD5" w:rsidRDefault="009B4BD5" w:rsidP="002A4EAB">
            <w:pPr>
              <w:rPr>
                <w:rFonts w:ascii="Times New Roman" w:hAnsi="Times New Roman" w:cs="Times New Roman"/>
                <w:b/>
                <w:bCs/>
                <w:sz w:val="20"/>
                <w:szCs w:val="20"/>
              </w:rPr>
            </w:pPr>
            <w:r w:rsidRPr="009B4BD5">
              <w:rPr>
                <w:rFonts w:ascii="Times New Roman" w:hAnsi="Times New Roman" w:cs="Times New Roman"/>
                <w:b/>
                <w:bCs/>
                <w:sz w:val="20"/>
                <w:szCs w:val="20"/>
              </w:rPr>
              <w:t>Unburned</w:t>
            </w:r>
          </w:p>
        </w:tc>
        <w:tc>
          <w:tcPr>
            <w:tcW w:w="1737" w:type="dxa"/>
            <w:tcBorders>
              <w:top w:val="nil"/>
              <w:left w:val="nil"/>
              <w:bottom w:val="nil"/>
              <w:right w:val="nil"/>
            </w:tcBorders>
            <w:shd w:val="clear" w:color="auto" w:fill="auto"/>
            <w:vAlign w:val="center"/>
          </w:tcPr>
          <w:p w14:paraId="3C9030F3"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 – 0.0)</w:t>
            </w:r>
          </w:p>
        </w:tc>
        <w:tc>
          <w:tcPr>
            <w:tcW w:w="1748" w:type="dxa"/>
            <w:tcBorders>
              <w:top w:val="nil"/>
              <w:left w:val="nil"/>
              <w:bottom w:val="nil"/>
              <w:right w:val="nil"/>
            </w:tcBorders>
            <w:shd w:val="clear" w:color="auto" w:fill="auto"/>
            <w:vAlign w:val="center"/>
          </w:tcPr>
          <w:p w14:paraId="02B2B77E"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12.1 (1)</w:t>
            </w:r>
          </w:p>
        </w:tc>
        <w:tc>
          <w:tcPr>
            <w:tcW w:w="1753" w:type="dxa"/>
            <w:tcBorders>
              <w:top w:val="nil"/>
              <w:left w:val="nil"/>
              <w:bottom w:val="nil"/>
              <w:right w:val="nil"/>
            </w:tcBorders>
            <w:shd w:val="clear" w:color="auto" w:fill="auto"/>
            <w:vAlign w:val="center"/>
          </w:tcPr>
          <w:p w14:paraId="1D360EC1"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36.6 (36.1</w:t>
            </w:r>
          </w:p>
        </w:tc>
        <w:tc>
          <w:tcPr>
            <w:tcW w:w="1753" w:type="dxa"/>
            <w:tcBorders>
              <w:top w:val="nil"/>
              <w:left w:val="nil"/>
              <w:bottom w:val="nil"/>
              <w:right w:val="nil"/>
            </w:tcBorders>
            <w:shd w:val="clear" w:color="auto" w:fill="auto"/>
            <w:vAlign w:val="center"/>
          </w:tcPr>
          <w:p w14:paraId="3DE0BB83"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w:t>
            </w:r>
          </w:p>
        </w:tc>
        <w:tc>
          <w:tcPr>
            <w:tcW w:w="1753" w:type="dxa"/>
            <w:tcBorders>
              <w:top w:val="nil"/>
              <w:left w:val="nil"/>
              <w:bottom w:val="nil"/>
              <w:right w:val="nil"/>
            </w:tcBorders>
            <w:shd w:val="clear" w:color="auto" w:fill="auto"/>
            <w:vAlign w:val="center"/>
          </w:tcPr>
          <w:p w14:paraId="71866050"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28.3 (26.8)</w:t>
            </w:r>
          </w:p>
        </w:tc>
        <w:tc>
          <w:tcPr>
            <w:tcW w:w="1756" w:type="dxa"/>
            <w:tcBorders>
              <w:top w:val="nil"/>
              <w:left w:val="nil"/>
              <w:bottom w:val="nil"/>
              <w:right w:val="nil"/>
            </w:tcBorders>
            <w:shd w:val="clear" w:color="auto" w:fill="auto"/>
            <w:vAlign w:val="center"/>
          </w:tcPr>
          <w:p w14:paraId="4B29C117"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3.5 (2.5)</w:t>
            </w:r>
          </w:p>
        </w:tc>
      </w:tr>
      <w:tr w:rsidR="009B4BD5" w:rsidRPr="009B4BD5" w14:paraId="7AA7A9E4" w14:textId="77777777" w:rsidTr="009B4BD5">
        <w:trPr>
          <w:cantSplit/>
          <w:trHeight w:val="418"/>
        </w:trPr>
        <w:tc>
          <w:tcPr>
            <w:tcW w:w="889" w:type="dxa"/>
            <w:vMerge/>
            <w:tcBorders>
              <w:top w:val="nil"/>
              <w:left w:val="nil"/>
              <w:bottom w:val="nil"/>
              <w:right w:val="nil"/>
            </w:tcBorders>
            <w:shd w:val="clear" w:color="auto" w:fill="auto"/>
            <w:vAlign w:val="center"/>
          </w:tcPr>
          <w:p w14:paraId="3461D43F" w14:textId="77777777" w:rsidR="009B4BD5" w:rsidRPr="009B4BD5" w:rsidRDefault="009B4BD5" w:rsidP="002A4EAB">
            <w:pPr>
              <w:rPr>
                <w:rFonts w:ascii="Times New Roman" w:hAnsi="Times New Roman" w:cs="Times New Roman"/>
                <w:b/>
                <w:bCs/>
                <w:sz w:val="20"/>
                <w:szCs w:val="20"/>
              </w:rPr>
            </w:pPr>
          </w:p>
        </w:tc>
        <w:tc>
          <w:tcPr>
            <w:tcW w:w="1626" w:type="dxa"/>
            <w:tcBorders>
              <w:top w:val="nil"/>
              <w:left w:val="nil"/>
              <w:bottom w:val="nil"/>
              <w:right w:val="nil"/>
            </w:tcBorders>
            <w:shd w:val="clear" w:color="auto" w:fill="auto"/>
            <w:vAlign w:val="center"/>
          </w:tcPr>
          <w:p w14:paraId="28184B95" w14:textId="77777777" w:rsidR="009B4BD5" w:rsidRPr="009B4BD5" w:rsidRDefault="009B4BD5" w:rsidP="002A4EAB">
            <w:pPr>
              <w:rPr>
                <w:rFonts w:ascii="Times New Roman" w:hAnsi="Times New Roman" w:cs="Times New Roman"/>
                <w:b/>
                <w:bCs/>
                <w:sz w:val="20"/>
                <w:szCs w:val="20"/>
              </w:rPr>
            </w:pPr>
            <w:r w:rsidRPr="009B4BD5">
              <w:rPr>
                <w:rFonts w:ascii="Times New Roman" w:hAnsi="Times New Roman" w:cs="Times New Roman"/>
                <w:b/>
                <w:bCs/>
                <w:sz w:val="20"/>
                <w:szCs w:val="20"/>
              </w:rPr>
              <w:t>Low</w:t>
            </w:r>
          </w:p>
        </w:tc>
        <w:tc>
          <w:tcPr>
            <w:tcW w:w="1737" w:type="dxa"/>
            <w:tcBorders>
              <w:top w:val="nil"/>
              <w:left w:val="nil"/>
              <w:bottom w:val="nil"/>
              <w:right w:val="nil"/>
            </w:tcBorders>
            <w:shd w:val="clear" w:color="auto" w:fill="auto"/>
            <w:vAlign w:val="center"/>
          </w:tcPr>
          <w:p w14:paraId="47184CAC"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 – 0.0)</w:t>
            </w:r>
          </w:p>
        </w:tc>
        <w:tc>
          <w:tcPr>
            <w:tcW w:w="1748" w:type="dxa"/>
            <w:tcBorders>
              <w:top w:val="nil"/>
              <w:left w:val="nil"/>
              <w:bottom w:val="nil"/>
              <w:right w:val="nil"/>
            </w:tcBorders>
            <w:shd w:val="clear" w:color="auto" w:fill="auto"/>
            <w:vAlign w:val="center"/>
          </w:tcPr>
          <w:p w14:paraId="0A424F82"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5.7 (2.8)</w:t>
            </w:r>
          </w:p>
        </w:tc>
        <w:tc>
          <w:tcPr>
            <w:tcW w:w="1753" w:type="dxa"/>
            <w:tcBorders>
              <w:top w:val="nil"/>
              <w:left w:val="nil"/>
              <w:bottom w:val="nil"/>
              <w:right w:val="nil"/>
            </w:tcBorders>
            <w:shd w:val="clear" w:color="auto" w:fill="auto"/>
            <w:vAlign w:val="center"/>
          </w:tcPr>
          <w:p w14:paraId="2CF0ECB8"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79.9 (69.0)</w:t>
            </w:r>
          </w:p>
        </w:tc>
        <w:tc>
          <w:tcPr>
            <w:tcW w:w="1753" w:type="dxa"/>
            <w:tcBorders>
              <w:top w:val="nil"/>
              <w:left w:val="nil"/>
              <w:bottom w:val="nil"/>
              <w:right w:val="nil"/>
            </w:tcBorders>
            <w:shd w:val="clear" w:color="auto" w:fill="auto"/>
            <w:vAlign w:val="center"/>
          </w:tcPr>
          <w:p w14:paraId="31B6150E"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w:t>
            </w:r>
          </w:p>
        </w:tc>
        <w:tc>
          <w:tcPr>
            <w:tcW w:w="1753" w:type="dxa"/>
            <w:tcBorders>
              <w:top w:val="nil"/>
              <w:left w:val="nil"/>
              <w:bottom w:val="nil"/>
              <w:right w:val="nil"/>
            </w:tcBorders>
            <w:shd w:val="clear" w:color="auto" w:fill="auto"/>
            <w:vAlign w:val="center"/>
          </w:tcPr>
          <w:p w14:paraId="31527521"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119.5 (89.2)</w:t>
            </w:r>
          </w:p>
        </w:tc>
        <w:tc>
          <w:tcPr>
            <w:tcW w:w="1756" w:type="dxa"/>
            <w:tcBorders>
              <w:top w:val="nil"/>
              <w:left w:val="nil"/>
              <w:bottom w:val="nil"/>
              <w:right w:val="nil"/>
            </w:tcBorders>
            <w:shd w:val="clear" w:color="auto" w:fill="auto"/>
            <w:vAlign w:val="center"/>
          </w:tcPr>
          <w:p w14:paraId="436451EC"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4.2 (3.1)</w:t>
            </w:r>
          </w:p>
        </w:tc>
      </w:tr>
      <w:tr w:rsidR="009B4BD5" w:rsidRPr="009B4BD5" w14:paraId="14475B22" w14:textId="77777777" w:rsidTr="009B4BD5">
        <w:trPr>
          <w:cantSplit/>
          <w:trHeight w:val="418"/>
        </w:trPr>
        <w:tc>
          <w:tcPr>
            <w:tcW w:w="889" w:type="dxa"/>
            <w:vMerge/>
            <w:tcBorders>
              <w:top w:val="nil"/>
              <w:left w:val="nil"/>
              <w:bottom w:val="single" w:sz="4" w:space="0" w:color="auto"/>
              <w:right w:val="nil"/>
            </w:tcBorders>
            <w:shd w:val="clear" w:color="auto" w:fill="auto"/>
            <w:vAlign w:val="center"/>
          </w:tcPr>
          <w:p w14:paraId="0D2D83E5" w14:textId="77777777" w:rsidR="009B4BD5" w:rsidRPr="009B4BD5" w:rsidRDefault="009B4BD5" w:rsidP="002A4EAB">
            <w:pPr>
              <w:rPr>
                <w:rFonts w:ascii="Times New Roman" w:hAnsi="Times New Roman" w:cs="Times New Roman"/>
                <w:b/>
                <w:bCs/>
                <w:sz w:val="20"/>
                <w:szCs w:val="20"/>
              </w:rPr>
            </w:pPr>
          </w:p>
        </w:tc>
        <w:tc>
          <w:tcPr>
            <w:tcW w:w="1626" w:type="dxa"/>
            <w:tcBorders>
              <w:top w:val="nil"/>
              <w:left w:val="nil"/>
              <w:bottom w:val="single" w:sz="4" w:space="0" w:color="auto"/>
              <w:right w:val="nil"/>
            </w:tcBorders>
            <w:shd w:val="clear" w:color="auto" w:fill="auto"/>
            <w:vAlign w:val="center"/>
          </w:tcPr>
          <w:p w14:paraId="2629A99B" w14:textId="77777777" w:rsidR="009B4BD5" w:rsidRPr="009B4BD5" w:rsidRDefault="009B4BD5" w:rsidP="002A4EAB">
            <w:pPr>
              <w:rPr>
                <w:rFonts w:ascii="Times New Roman" w:hAnsi="Times New Roman" w:cs="Times New Roman"/>
                <w:b/>
                <w:bCs/>
                <w:sz w:val="20"/>
                <w:szCs w:val="20"/>
              </w:rPr>
            </w:pPr>
            <w:r w:rsidRPr="009B4BD5">
              <w:rPr>
                <w:rFonts w:ascii="Times New Roman" w:hAnsi="Times New Roman" w:cs="Times New Roman"/>
                <w:b/>
                <w:bCs/>
                <w:sz w:val="20"/>
                <w:szCs w:val="20"/>
              </w:rPr>
              <w:t>High</w:t>
            </w:r>
          </w:p>
        </w:tc>
        <w:tc>
          <w:tcPr>
            <w:tcW w:w="1737" w:type="dxa"/>
            <w:tcBorders>
              <w:top w:val="nil"/>
              <w:left w:val="nil"/>
              <w:bottom w:val="single" w:sz="4" w:space="0" w:color="auto"/>
              <w:right w:val="nil"/>
            </w:tcBorders>
            <w:shd w:val="clear" w:color="auto" w:fill="auto"/>
            <w:vAlign w:val="center"/>
          </w:tcPr>
          <w:p w14:paraId="275C68BD"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 – 0.0)</w:t>
            </w:r>
          </w:p>
        </w:tc>
        <w:tc>
          <w:tcPr>
            <w:tcW w:w="1748" w:type="dxa"/>
            <w:tcBorders>
              <w:top w:val="nil"/>
              <w:left w:val="nil"/>
              <w:bottom w:val="single" w:sz="4" w:space="0" w:color="auto"/>
              <w:right w:val="nil"/>
            </w:tcBorders>
            <w:shd w:val="clear" w:color="auto" w:fill="auto"/>
            <w:vAlign w:val="center"/>
          </w:tcPr>
          <w:p w14:paraId="1F2AF4CD"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17.1 (10.8)</w:t>
            </w:r>
          </w:p>
        </w:tc>
        <w:tc>
          <w:tcPr>
            <w:tcW w:w="1753" w:type="dxa"/>
            <w:tcBorders>
              <w:top w:val="nil"/>
              <w:left w:val="nil"/>
              <w:bottom w:val="single" w:sz="4" w:space="0" w:color="auto"/>
              <w:right w:val="nil"/>
            </w:tcBorders>
            <w:shd w:val="clear" w:color="auto" w:fill="auto"/>
            <w:vAlign w:val="center"/>
          </w:tcPr>
          <w:p w14:paraId="4DFE23A7"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41.7 (41.7)</w:t>
            </w:r>
          </w:p>
        </w:tc>
        <w:tc>
          <w:tcPr>
            <w:tcW w:w="1753" w:type="dxa"/>
            <w:tcBorders>
              <w:top w:val="nil"/>
              <w:left w:val="nil"/>
              <w:bottom w:val="single" w:sz="4" w:space="0" w:color="auto"/>
              <w:right w:val="nil"/>
            </w:tcBorders>
            <w:shd w:val="clear" w:color="auto" w:fill="auto"/>
            <w:vAlign w:val="center"/>
          </w:tcPr>
          <w:p w14:paraId="29AAACF0"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w:t>
            </w:r>
          </w:p>
        </w:tc>
        <w:tc>
          <w:tcPr>
            <w:tcW w:w="1753" w:type="dxa"/>
            <w:tcBorders>
              <w:top w:val="nil"/>
              <w:left w:val="nil"/>
              <w:bottom w:val="single" w:sz="4" w:space="0" w:color="auto"/>
              <w:right w:val="nil"/>
            </w:tcBorders>
            <w:shd w:val="clear" w:color="auto" w:fill="auto"/>
            <w:vAlign w:val="center"/>
          </w:tcPr>
          <w:p w14:paraId="13B942EA"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34.0 (24.2)</w:t>
            </w:r>
          </w:p>
        </w:tc>
        <w:tc>
          <w:tcPr>
            <w:tcW w:w="1756" w:type="dxa"/>
            <w:tcBorders>
              <w:top w:val="nil"/>
              <w:left w:val="nil"/>
              <w:bottom w:val="single" w:sz="4" w:space="0" w:color="auto"/>
              <w:right w:val="nil"/>
            </w:tcBorders>
            <w:shd w:val="clear" w:color="auto" w:fill="auto"/>
            <w:vAlign w:val="center"/>
          </w:tcPr>
          <w:p w14:paraId="4548C8AC"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w:t>
            </w:r>
          </w:p>
        </w:tc>
      </w:tr>
      <w:tr w:rsidR="009B4BD5" w:rsidRPr="009B4BD5" w14:paraId="65334866" w14:textId="77777777" w:rsidTr="009B4BD5">
        <w:trPr>
          <w:cantSplit/>
          <w:trHeight w:val="418"/>
        </w:trPr>
        <w:tc>
          <w:tcPr>
            <w:tcW w:w="889" w:type="dxa"/>
            <w:vMerge w:val="restart"/>
            <w:tcBorders>
              <w:top w:val="single" w:sz="4" w:space="0" w:color="auto"/>
              <w:left w:val="nil"/>
              <w:bottom w:val="nil"/>
              <w:right w:val="nil"/>
            </w:tcBorders>
            <w:shd w:val="clear" w:color="auto" w:fill="auto"/>
            <w:textDirection w:val="btLr"/>
            <w:vAlign w:val="center"/>
          </w:tcPr>
          <w:p w14:paraId="107FE95E" w14:textId="77777777" w:rsidR="009B4BD5" w:rsidRPr="009B4BD5" w:rsidRDefault="009B4BD5" w:rsidP="002A4EAB">
            <w:pPr>
              <w:ind w:left="113" w:right="113"/>
              <w:jc w:val="center"/>
              <w:rPr>
                <w:rFonts w:ascii="Times New Roman" w:hAnsi="Times New Roman" w:cs="Times New Roman"/>
                <w:b/>
                <w:bCs/>
                <w:sz w:val="20"/>
                <w:szCs w:val="20"/>
              </w:rPr>
            </w:pPr>
            <w:r w:rsidRPr="009B4BD5">
              <w:rPr>
                <w:rFonts w:ascii="Times New Roman" w:hAnsi="Times New Roman" w:cs="Times New Roman"/>
                <w:b/>
                <w:bCs/>
                <w:sz w:val="20"/>
                <w:szCs w:val="20"/>
              </w:rPr>
              <w:t>Malleco-Tolhuaca (reburned</w:t>
            </w:r>
          </w:p>
        </w:tc>
        <w:tc>
          <w:tcPr>
            <w:tcW w:w="1626" w:type="dxa"/>
            <w:tcBorders>
              <w:top w:val="single" w:sz="4" w:space="0" w:color="auto"/>
              <w:left w:val="nil"/>
              <w:bottom w:val="nil"/>
              <w:right w:val="nil"/>
            </w:tcBorders>
            <w:shd w:val="clear" w:color="auto" w:fill="auto"/>
            <w:vAlign w:val="center"/>
          </w:tcPr>
          <w:p w14:paraId="16286F9A" w14:textId="77777777" w:rsidR="009B4BD5" w:rsidRPr="009B4BD5" w:rsidRDefault="009B4BD5" w:rsidP="002A4EAB">
            <w:pPr>
              <w:rPr>
                <w:rFonts w:ascii="Times New Roman" w:hAnsi="Times New Roman" w:cs="Times New Roman"/>
                <w:b/>
                <w:bCs/>
                <w:sz w:val="20"/>
                <w:szCs w:val="20"/>
              </w:rPr>
            </w:pPr>
            <w:r w:rsidRPr="009B4BD5">
              <w:rPr>
                <w:rFonts w:ascii="Times New Roman" w:hAnsi="Times New Roman" w:cs="Times New Roman"/>
                <w:b/>
                <w:bCs/>
                <w:sz w:val="20"/>
                <w:szCs w:val="20"/>
              </w:rPr>
              <w:t>All plots</w:t>
            </w:r>
          </w:p>
        </w:tc>
        <w:tc>
          <w:tcPr>
            <w:tcW w:w="1737" w:type="dxa"/>
            <w:tcBorders>
              <w:top w:val="single" w:sz="4" w:space="0" w:color="auto"/>
              <w:left w:val="nil"/>
              <w:bottom w:val="nil"/>
              <w:right w:val="nil"/>
            </w:tcBorders>
            <w:shd w:val="clear" w:color="auto" w:fill="auto"/>
            <w:vAlign w:val="center"/>
          </w:tcPr>
          <w:p w14:paraId="284E201E"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 – 0.0)</w:t>
            </w:r>
          </w:p>
        </w:tc>
        <w:tc>
          <w:tcPr>
            <w:tcW w:w="1748" w:type="dxa"/>
            <w:tcBorders>
              <w:top w:val="single" w:sz="4" w:space="0" w:color="auto"/>
              <w:left w:val="nil"/>
              <w:bottom w:val="nil"/>
              <w:right w:val="nil"/>
            </w:tcBorders>
            <w:shd w:val="clear" w:color="auto" w:fill="auto"/>
            <w:vAlign w:val="center"/>
          </w:tcPr>
          <w:p w14:paraId="5832E914"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21.7 (7.9)</w:t>
            </w:r>
          </w:p>
        </w:tc>
        <w:tc>
          <w:tcPr>
            <w:tcW w:w="1753" w:type="dxa"/>
            <w:tcBorders>
              <w:top w:val="single" w:sz="4" w:space="0" w:color="auto"/>
              <w:left w:val="nil"/>
              <w:bottom w:val="nil"/>
              <w:right w:val="nil"/>
            </w:tcBorders>
            <w:shd w:val="clear" w:color="auto" w:fill="auto"/>
            <w:vAlign w:val="center"/>
          </w:tcPr>
          <w:p w14:paraId="3424775D"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416.2 (145.6)</w:t>
            </w:r>
          </w:p>
        </w:tc>
        <w:tc>
          <w:tcPr>
            <w:tcW w:w="1753" w:type="dxa"/>
            <w:tcBorders>
              <w:top w:val="single" w:sz="4" w:space="0" w:color="auto"/>
              <w:left w:val="nil"/>
              <w:bottom w:val="nil"/>
              <w:right w:val="nil"/>
            </w:tcBorders>
            <w:shd w:val="clear" w:color="auto" w:fill="auto"/>
            <w:vAlign w:val="center"/>
          </w:tcPr>
          <w:p w14:paraId="7603EF1E"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0.5 (0.5)</w:t>
            </w:r>
          </w:p>
        </w:tc>
        <w:tc>
          <w:tcPr>
            <w:tcW w:w="1753" w:type="dxa"/>
            <w:tcBorders>
              <w:top w:val="single" w:sz="4" w:space="0" w:color="auto"/>
              <w:left w:val="nil"/>
              <w:bottom w:val="nil"/>
              <w:right w:val="nil"/>
            </w:tcBorders>
            <w:shd w:val="clear" w:color="auto" w:fill="auto"/>
            <w:vAlign w:val="center"/>
          </w:tcPr>
          <w:p w14:paraId="0FF944EB"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27.1(3.0)</w:t>
            </w:r>
          </w:p>
        </w:tc>
        <w:tc>
          <w:tcPr>
            <w:tcW w:w="1756" w:type="dxa"/>
            <w:tcBorders>
              <w:top w:val="single" w:sz="4" w:space="0" w:color="auto"/>
              <w:left w:val="nil"/>
              <w:bottom w:val="nil"/>
              <w:right w:val="nil"/>
            </w:tcBorders>
            <w:shd w:val="clear" w:color="auto" w:fill="auto"/>
            <w:vAlign w:val="center"/>
          </w:tcPr>
          <w:p w14:paraId="68D597F4"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0.2 (0.2)</w:t>
            </w:r>
          </w:p>
        </w:tc>
      </w:tr>
      <w:tr w:rsidR="009B4BD5" w:rsidRPr="009B4BD5" w14:paraId="7B6D7046" w14:textId="77777777" w:rsidTr="009B4BD5">
        <w:trPr>
          <w:cantSplit/>
          <w:trHeight w:val="418"/>
        </w:trPr>
        <w:tc>
          <w:tcPr>
            <w:tcW w:w="889" w:type="dxa"/>
            <w:vMerge/>
            <w:tcBorders>
              <w:top w:val="nil"/>
              <w:left w:val="nil"/>
              <w:bottom w:val="nil"/>
              <w:right w:val="nil"/>
            </w:tcBorders>
            <w:shd w:val="clear" w:color="auto" w:fill="auto"/>
            <w:vAlign w:val="center"/>
          </w:tcPr>
          <w:p w14:paraId="7B6D6C4F" w14:textId="77777777" w:rsidR="009B4BD5" w:rsidRPr="009B4BD5" w:rsidRDefault="009B4BD5" w:rsidP="002A4EAB">
            <w:pPr>
              <w:rPr>
                <w:rFonts w:ascii="Times New Roman" w:hAnsi="Times New Roman" w:cs="Times New Roman"/>
                <w:sz w:val="20"/>
                <w:szCs w:val="20"/>
              </w:rPr>
            </w:pPr>
          </w:p>
        </w:tc>
        <w:tc>
          <w:tcPr>
            <w:tcW w:w="1626" w:type="dxa"/>
            <w:tcBorders>
              <w:top w:val="nil"/>
              <w:left w:val="nil"/>
              <w:bottom w:val="nil"/>
              <w:right w:val="nil"/>
            </w:tcBorders>
            <w:shd w:val="clear" w:color="auto" w:fill="auto"/>
            <w:vAlign w:val="center"/>
          </w:tcPr>
          <w:p w14:paraId="2FE10B2F" w14:textId="77777777" w:rsidR="009B4BD5" w:rsidRPr="009B4BD5" w:rsidRDefault="009B4BD5" w:rsidP="002A4EAB">
            <w:pPr>
              <w:rPr>
                <w:rFonts w:ascii="Times New Roman" w:hAnsi="Times New Roman" w:cs="Times New Roman"/>
                <w:b/>
                <w:bCs/>
                <w:sz w:val="20"/>
                <w:szCs w:val="20"/>
              </w:rPr>
            </w:pPr>
            <w:r w:rsidRPr="009B4BD5">
              <w:rPr>
                <w:rFonts w:ascii="Times New Roman" w:hAnsi="Times New Roman" w:cs="Times New Roman"/>
                <w:b/>
                <w:bCs/>
                <w:sz w:val="20"/>
                <w:szCs w:val="20"/>
              </w:rPr>
              <w:t>Unburned</w:t>
            </w:r>
          </w:p>
        </w:tc>
        <w:tc>
          <w:tcPr>
            <w:tcW w:w="1737" w:type="dxa"/>
            <w:tcBorders>
              <w:top w:val="nil"/>
              <w:left w:val="nil"/>
              <w:bottom w:val="nil"/>
              <w:right w:val="nil"/>
            </w:tcBorders>
            <w:shd w:val="clear" w:color="auto" w:fill="auto"/>
            <w:vAlign w:val="center"/>
          </w:tcPr>
          <w:p w14:paraId="6776E6E9"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 – 0.0)</w:t>
            </w:r>
          </w:p>
        </w:tc>
        <w:tc>
          <w:tcPr>
            <w:tcW w:w="1748" w:type="dxa"/>
            <w:tcBorders>
              <w:top w:val="nil"/>
              <w:left w:val="nil"/>
              <w:bottom w:val="nil"/>
              <w:right w:val="nil"/>
            </w:tcBorders>
            <w:shd w:val="clear" w:color="auto" w:fill="auto"/>
            <w:vAlign w:val="center"/>
          </w:tcPr>
          <w:p w14:paraId="57855481"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33.6 (15.1)</w:t>
            </w:r>
          </w:p>
        </w:tc>
        <w:tc>
          <w:tcPr>
            <w:tcW w:w="1753" w:type="dxa"/>
            <w:tcBorders>
              <w:top w:val="nil"/>
              <w:left w:val="nil"/>
              <w:bottom w:val="nil"/>
              <w:right w:val="nil"/>
            </w:tcBorders>
            <w:shd w:val="clear" w:color="auto" w:fill="auto"/>
            <w:vAlign w:val="center"/>
          </w:tcPr>
          <w:p w14:paraId="3107CD3A"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75.7 (34.3)</w:t>
            </w:r>
          </w:p>
        </w:tc>
        <w:tc>
          <w:tcPr>
            <w:tcW w:w="1753" w:type="dxa"/>
            <w:tcBorders>
              <w:top w:val="nil"/>
              <w:left w:val="nil"/>
              <w:bottom w:val="nil"/>
              <w:right w:val="nil"/>
            </w:tcBorders>
            <w:shd w:val="clear" w:color="auto" w:fill="auto"/>
            <w:vAlign w:val="center"/>
          </w:tcPr>
          <w:p w14:paraId="13590749"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1.4 (1.4)</w:t>
            </w:r>
          </w:p>
        </w:tc>
        <w:tc>
          <w:tcPr>
            <w:tcW w:w="1753" w:type="dxa"/>
            <w:tcBorders>
              <w:top w:val="nil"/>
              <w:left w:val="nil"/>
              <w:bottom w:val="nil"/>
              <w:right w:val="nil"/>
            </w:tcBorders>
            <w:shd w:val="clear" w:color="auto" w:fill="auto"/>
            <w:vAlign w:val="center"/>
          </w:tcPr>
          <w:p w14:paraId="59792D7F"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2.1 (2.1)</w:t>
            </w:r>
          </w:p>
        </w:tc>
        <w:tc>
          <w:tcPr>
            <w:tcW w:w="1756" w:type="dxa"/>
            <w:tcBorders>
              <w:top w:val="nil"/>
              <w:left w:val="nil"/>
              <w:bottom w:val="nil"/>
              <w:right w:val="nil"/>
            </w:tcBorders>
            <w:shd w:val="clear" w:color="auto" w:fill="auto"/>
            <w:vAlign w:val="center"/>
          </w:tcPr>
          <w:p w14:paraId="18D340E6"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0.7 (0.7)</w:t>
            </w:r>
          </w:p>
        </w:tc>
      </w:tr>
      <w:tr w:rsidR="009B4BD5" w:rsidRPr="009B4BD5" w14:paraId="5F8A40DC" w14:textId="77777777" w:rsidTr="009B4BD5">
        <w:trPr>
          <w:cantSplit/>
          <w:trHeight w:val="418"/>
        </w:trPr>
        <w:tc>
          <w:tcPr>
            <w:tcW w:w="889" w:type="dxa"/>
            <w:vMerge/>
            <w:tcBorders>
              <w:top w:val="nil"/>
              <w:left w:val="nil"/>
              <w:bottom w:val="nil"/>
              <w:right w:val="nil"/>
            </w:tcBorders>
            <w:shd w:val="clear" w:color="auto" w:fill="auto"/>
            <w:vAlign w:val="center"/>
          </w:tcPr>
          <w:p w14:paraId="30791A87" w14:textId="77777777" w:rsidR="009B4BD5" w:rsidRPr="009B4BD5" w:rsidRDefault="009B4BD5" w:rsidP="002A4EAB">
            <w:pPr>
              <w:rPr>
                <w:rFonts w:ascii="Times New Roman" w:hAnsi="Times New Roman" w:cs="Times New Roman"/>
                <w:sz w:val="20"/>
                <w:szCs w:val="20"/>
              </w:rPr>
            </w:pPr>
          </w:p>
        </w:tc>
        <w:tc>
          <w:tcPr>
            <w:tcW w:w="1626" w:type="dxa"/>
            <w:tcBorders>
              <w:top w:val="nil"/>
              <w:left w:val="nil"/>
              <w:bottom w:val="nil"/>
              <w:right w:val="nil"/>
            </w:tcBorders>
            <w:shd w:val="clear" w:color="auto" w:fill="auto"/>
            <w:vAlign w:val="center"/>
          </w:tcPr>
          <w:p w14:paraId="30FB7281" w14:textId="77777777" w:rsidR="009B4BD5" w:rsidRPr="009B4BD5" w:rsidRDefault="009B4BD5" w:rsidP="002A4EAB">
            <w:pPr>
              <w:rPr>
                <w:rFonts w:ascii="Times New Roman" w:hAnsi="Times New Roman" w:cs="Times New Roman"/>
                <w:b/>
                <w:bCs/>
                <w:sz w:val="20"/>
                <w:szCs w:val="20"/>
              </w:rPr>
            </w:pPr>
            <w:r w:rsidRPr="009B4BD5">
              <w:rPr>
                <w:rFonts w:ascii="Times New Roman" w:hAnsi="Times New Roman" w:cs="Times New Roman"/>
                <w:b/>
                <w:bCs/>
                <w:sz w:val="20"/>
                <w:szCs w:val="20"/>
              </w:rPr>
              <w:t>High-Low</w:t>
            </w:r>
          </w:p>
        </w:tc>
        <w:tc>
          <w:tcPr>
            <w:tcW w:w="1737" w:type="dxa"/>
            <w:tcBorders>
              <w:top w:val="nil"/>
              <w:left w:val="nil"/>
              <w:bottom w:val="nil"/>
              <w:right w:val="nil"/>
            </w:tcBorders>
            <w:shd w:val="clear" w:color="auto" w:fill="auto"/>
            <w:vAlign w:val="center"/>
          </w:tcPr>
          <w:p w14:paraId="396480F3"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 – 0.0)</w:t>
            </w:r>
          </w:p>
        </w:tc>
        <w:tc>
          <w:tcPr>
            <w:tcW w:w="1748" w:type="dxa"/>
            <w:tcBorders>
              <w:top w:val="nil"/>
              <w:left w:val="nil"/>
              <w:bottom w:val="nil"/>
              <w:right w:val="nil"/>
            </w:tcBorders>
            <w:shd w:val="clear" w:color="auto" w:fill="auto"/>
            <w:vAlign w:val="center"/>
          </w:tcPr>
          <w:p w14:paraId="5FB3CC0F"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31.4 (18.0)</w:t>
            </w:r>
          </w:p>
        </w:tc>
        <w:tc>
          <w:tcPr>
            <w:tcW w:w="1753" w:type="dxa"/>
            <w:tcBorders>
              <w:top w:val="nil"/>
              <w:left w:val="nil"/>
              <w:bottom w:val="nil"/>
              <w:right w:val="nil"/>
            </w:tcBorders>
            <w:shd w:val="clear" w:color="auto" w:fill="auto"/>
            <w:vAlign w:val="center"/>
          </w:tcPr>
          <w:p w14:paraId="0FA836DD"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114.6 (114.6)</w:t>
            </w:r>
          </w:p>
        </w:tc>
        <w:tc>
          <w:tcPr>
            <w:tcW w:w="1753" w:type="dxa"/>
            <w:tcBorders>
              <w:top w:val="nil"/>
              <w:left w:val="nil"/>
              <w:bottom w:val="nil"/>
              <w:right w:val="nil"/>
            </w:tcBorders>
            <w:shd w:val="clear" w:color="auto" w:fill="auto"/>
            <w:vAlign w:val="center"/>
          </w:tcPr>
          <w:p w14:paraId="434D86D7"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w:t>
            </w:r>
          </w:p>
        </w:tc>
        <w:tc>
          <w:tcPr>
            <w:tcW w:w="1753" w:type="dxa"/>
            <w:tcBorders>
              <w:top w:val="nil"/>
              <w:left w:val="nil"/>
              <w:bottom w:val="nil"/>
              <w:right w:val="nil"/>
            </w:tcBorders>
            <w:shd w:val="clear" w:color="auto" w:fill="auto"/>
            <w:vAlign w:val="center"/>
          </w:tcPr>
          <w:p w14:paraId="103AB5AF"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4.2 (4.2)</w:t>
            </w:r>
          </w:p>
        </w:tc>
        <w:tc>
          <w:tcPr>
            <w:tcW w:w="1756" w:type="dxa"/>
            <w:tcBorders>
              <w:top w:val="nil"/>
              <w:left w:val="nil"/>
              <w:bottom w:val="nil"/>
              <w:right w:val="nil"/>
            </w:tcBorders>
            <w:shd w:val="clear" w:color="auto" w:fill="auto"/>
            <w:vAlign w:val="center"/>
          </w:tcPr>
          <w:p w14:paraId="3758AA4E"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w:t>
            </w:r>
          </w:p>
        </w:tc>
      </w:tr>
      <w:tr w:rsidR="009B4BD5" w:rsidRPr="009B4BD5" w14:paraId="37E9A2DD" w14:textId="77777777" w:rsidTr="009B4BD5">
        <w:trPr>
          <w:cantSplit/>
          <w:trHeight w:val="418"/>
        </w:trPr>
        <w:tc>
          <w:tcPr>
            <w:tcW w:w="889" w:type="dxa"/>
            <w:vMerge/>
            <w:tcBorders>
              <w:top w:val="nil"/>
              <w:left w:val="nil"/>
              <w:bottom w:val="single" w:sz="4" w:space="0" w:color="auto"/>
              <w:right w:val="nil"/>
            </w:tcBorders>
            <w:shd w:val="clear" w:color="auto" w:fill="auto"/>
            <w:vAlign w:val="center"/>
          </w:tcPr>
          <w:p w14:paraId="55E71F8C" w14:textId="77777777" w:rsidR="009B4BD5" w:rsidRPr="009B4BD5" w:rsidRDefault="009B4BD5" w:rsidP="002A4EAB">
            <w:pPr>
              <w:rPr>
                <w:rFonts w:ascii="Times New Roman" w:hAnsi="Times New Roman" w:cs="Times New Roman"/>
                <w:sz w:val="20"/>
                <w:szCs w:val="20"/>
              </w:rPr>
            </w:pPr>
          </w:p>
        </w:tc>
        <w:tc>
          <w:tcPr>
            <w:tcW w:w="1626" w:type="dxa"/>
            <w:tcBorders>
              <w:top w:val="nil"/>
              <w:left w:val="nil"/>
              <w:bottom w:val="single" w:sz="4" w:space="0" w:color="auto"/>
              <w:right w:val="nil"/>
            </w:tcBorders>
            <w:shd w:val="clear" w:color="auto" w:fill="auto"/>
            <w:vAlign w:val="center"/>
          </w:tcPr>
          <w:p w14:paraId="1EB21FB8" w14:textId="77777777" w:rsidR="009B4BD5" w:rsidRPr="009B4BD5" w:rsidRDefault="009B4BD5" w:rsidP="002A4EAB">
            <w:pPr>
              <w:rPr>
                <w:rFonts w:ascii="Times New Roman" w:hAnsi="Times New Roman" w:cs="Times New Roman"/>
                <w:b/>
                <w:bCs/>
                <w:sz w:val="20"/>
                <w:szCs w:val="20"/>
              </w:rPr>
            </w:pPr>
            <w:r w:rsidRPr="009B4BD5">
              <w:rPr>
                <w:rFonts w:ascii="Times New Roman" w:hAnsi="Times New Roman" w:cs="Times New Roman"/>
                <w:b/>
                <w:bCs/>
                <w:sz w:val="20"/>
                <w:szCs w:val="20"/>
              </w:rPr>
              <w:t>High-High</w:t>
            </w:r>
          </w:p>
        </w:tc>
        <w:tc>
          <w:tcPr>
            <w:tcW w:w="1737" w:type="dxa"/>
            <w:tcBorders>
              <w:top w:val="nil"/>
              <w:left w:val="nil"/>
              <w:bottom w:val="single" w:sz="4" w:space="0" w:color="auto"/>
              <w:right w:val="nil"/>
            </w:tcBorders>
            <w:shd w:val="clear" w:color="auto" w:fill="auto"/>
            <w:vAlign w:val="center"/>
          </w:tcPr>
          <w:p w14:paraId="327791DD"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 – 0.0)</w:t>
            </w:r>
          </w:p>
        </w:tc>
        <w:tc>
          <w:tcPr>
            <w:tcW w:w="1748" w:type="dxa"/>
            <w:tcBorders>
              <w:top w:val="nil"/>
              <w:left w:val="nil"/>
              <w:bottom w:val="single" w:sz="4" w:space="0" w:color="auto"/>
              <w:right w:val="nil"/>
            </w:tcBorders>
            <w:shd w:val="clear" w:color="auto" w:fill="auto"/>
            <w:vAlign w:val="center"/>
          </w:tcPr>
          <w:p w14:paraId="302391B8"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w:t>
            </w:r>
          </w:p>
        </w:tc>
        <w:tc>
          <w:tcPr>
            <w:tcW w:w="1753" w:type="dxa"/>
            <w:tcBorders>
              <w:top w:val="nil"/>
              <w:left w:val="nil"/>
              <w:bottom w:val="single" w:sz="4" w:space="0" w:color="auto"/>
              <w:right w:val="nil"/>
            </w:tcBorders>
            <w:shd w:val="clear" w:color="auto" w:fill="auto"/>
            <w:vAlign w:val="center"/>
          </w:tcPr>
          <w:p w14:paraId="5F9A0FCA"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1058.2 (388.1)</w:t>
            </w:r>
          </w:p>
        </w:tc>
        <w:tc>
          <w:tcPr>
            <w:tcW w:w="1753" w:type="dxa"/>
            <w:tcBorders>
              <w:top w:val="nil"/>
              <w:left w:val="nil"/>
              <w:bottom w:val="single" w:sz="4" w:space="0" w:color="auto"/>
              <w:right w:val="nil"/>
            </w:tcBorders>
            <w:shd w:val="clear" w:color="auto" w:fill="auto"/>
            <w:vAlign w:val="center"/>
          </w:tcPr>
          <w:p w14:paraId="345CB151"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w:t>
            </w:r>
          </w:p>
        </w:tc>
        <w:tc>
          <w:tcPr>
            <w:tcW w:w="1753" w:type="dxa"/>
            <w:tcBorders>
              <w:top w:val="nil"/>
              <w:left w:val="nil"/>
              <w:bottom w:val="single" w:sz="4" w:space="0" w:color="auto"/>
              <w:right w:val="nil"/>
            </w:tcBorders>
            <w:shd w:val="clear" w:color="auto" w:fill="auto"/>
            <w:vAlign w:val="center"/>
          </w:tcPr>
          <w:p w14:paraId="630B50B5"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75.0 (66.6)</w:t>
            </w:r>
          </w:p>
        </w:tc>
        <w:tc>
          <w:tcPr>
            <w:tcW w:w="1756" w:type="dxa"/>
            <w:tcBorders>
              <w:top w:val="nil"/>
              <w:left w:val="nil"/>
              <w:bottom w:val="single" w:sz="4" w:space="0" w:color="auto"/>
              <w:right w:val="nil"/>
            </w:tcBorders>
            <w:shd w:val="clear" w:color="auto" w:fill="auto"/>
            <w:vAlign w:val="center"/>
          </w:tcPr>
          <w:p w14:paraId="44241941" w14:textId="77777777" w:rsidR="009B4BD5" w:rsidRPr="009B4BD5" w:rsidRDefault="009B4BD5" w:rsidP="002A4EAB">
            <w:pPr>
              <w:rPr>
                <w:rFonts w:ascii="Times New Roman" w:hAnsi="Times New Roman" w:cs="Times New Roman"/>
                <w:sz w:val="20"/>
                <w:szCs w:val="20"/>
              </w:rPr>
            </w:pPr>
            <w:r w:rsidRPr="009B4BD5">
              <w:rPr>
                <w:rFonts w:ascii="Times New Roman" w:hAnsi="Times New Roman" w:cs="Times New Roman"/>
                <w:sz w:val="20"/>
                <w:szCs w:val="20"/>
              </w:rPr>
              <w:t>0.0 (0.0)</w:t>
            </w:r>
          </w:p>
        </w:tc>
      </w:tr>
    </w:tbl>
    <w:p w14:paraId="265270DD" w14:textId="77777777" w:rsidR="009B4BD5" w:rsidRDefault="009B4BD5" w:rsidP="00104B77">
      <w:pPr>
        <w:jc w:val="both"/>
        <w:rPr>
          <w:rFonts w:ascii="Times New Roman" w:hAnsi="Times New Roman" w:cs="Times New Roman"/>
          <w:sz w:val="24"/>
          <w:szCs w:val="24"/>
        </w:rPr>
      </w:pPr>
    </w:p>
    <w:p w14:paraId="6778298B" w14:textId="77777777" w:rsidR="00141210" w:rsidRDefault="00141210" w:rsidP="00104B77">
      <w:pPr>
        <w:jc w:val="both"/>
        <w:rPr>
          <w:rFonts w:ascii="Times New Roman" w:hAnsi="Times New Roman" w:cs="Times New Roman"/>
          <w:sz w:val="24"/>
          <w:szCs w:val="24"/>
        </w:rPr>
      </w:pPr>
    </w:p>
    <w:p w14:paraId="05C3627F" w14:textId="77777777" w:rsidR="00141210" w:rsidRPr="00104B77" w:rsidRDefault="00141210" w:rsidP="00104B77">
      <w:pPr>
        <w:jc w:val="both"/>
        <w:rPr>
          <w:rFonts w:ascii="Times New Roman" w:hAnsi="Times New Roman" w:cs="Times New Roman"/>
          <w:sz w:val="24"/>
          <w:szCs w:val="24"/>
        </w:rPr>
      </w:pPr>
    </w:p>
    <w:sectPr w:rsidR="00141210" w:rsidRPr="00104B77" w:rsidSect="00934586">
      <w:pgSz w:w="15840" w:h="12240" w:orient="landscape"/>
      <w:pgMar w:top="1077" w:right="1440" w:bottom="107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11F"/>
    <w:rsid w:val="00001E7D"/>
    <w:rsid w:val="0003365F"/>
    <w:rsid w:val="00076BF6"/>
    <w:rsid w:val="000B4494"/>
    <w:rsid w:val="000B4694"/>
    <w:rsid w:val="000E2E99"/>
    <w:rsid w:val="000E4ECD"/>
    <w:rsid w:val="00104B77"/>
    <w:rsid w:val="00115715"/>
    <w:rsid w:val="00141210"/>
    <w:rsid w:val="00160763"/>
    <w:rsid w:val="00180B15"/>
    <w:rsid w:val="001F1454"/>
    <w:rsid w:val="00210209"/>
    <w:rsid w:val="00244C8A"/>
    <w:rsid w:val="00245471"/>
    <w:rsid w:val="00257131"/>
    <w:rsid w:val="002642C3"/>
    <w:rsid w:val="00274AF2"/>
    <w:rsid w:val="00287C2F"/>
    <w:rsid w:val="00295ABE"/>
    <w:rsid w:val="00297149"/>
    <w:rsid w:val="002A3D57"/>
    <w:rsid w:val="002B2675"/>
    <w:rsid w:val="002C2A95"/>
    <w:rsid w:val="002C7E6B"/>
    <w:rsid w:val="002D1D69"/>
    <w:rsid w:val="002D3F19"/>
    <w:rsid w:val="0030250D"/>
    <w:rsid w:val="00307EFF"/>
    <w:rsid w:val="0033461C"/>
    <w:rsid w:val="00364137"/>
    <w:rsid w:val="00374CE5"/>
    <w:rsid w:val="00381880"/>
    <w:rsid w:val="003B74BA"/>
    <w:rsid w:val="003C290D"/>
    <w:rsid w:val="003C55FD"/>
    <w:rsid w:val="003D054C"/>
    <w:rsid w:val="003D3CD7"/>
    <w:rsid w:val="003F2E58"/>
    <w:rsid w:val="00402152"/>
    <w:rsid w:val="00430BC5"/>
    <w:rsid w:val="00432474"/>
    <w:rsid w:val="00433EF7"/>
    <w:rsid w:val="00452CDC"/>
    <w:rsid w:val="00453189"/>
    <w:rsid w:val="004C15E5"/>
    <w:rsid w:val="004C4FAB"/>
    <w:rsid w:val="004D19D7"/>
    <w:rsid w:val="0052714D"/>
    <w:rsid w:val="00553647"/>
    <w:rsid w:val="00595F31"/>
    <w:rsid w:val="005A1E9C"/>
    <w:rsid w:val="005A6F90"/>
    <w:rsid w:val="005A7E51"/>
    <w:rsid w:val="005B4188"/>
    <w:rsid w:val="005B5308"/>
    <w:rsid w:val="005C202D"/>
    <w:rsid w:val="005D414F"/>
    <w:rsid w:val="00602DC7"/>
    <w:rsid w:val="0063241A"/>
    <w:rsid w:val="00655874"/>
    <w:rsid w:val="0066006F"/>
    <w:rsid w:val="006628B6"/>
    <w:rsid w:val="006641CF"/>
    <w:rsid w:val="0066496E"/>
    <w:rsid w:val="006842DE"/>
    <w:rsid w:val="00715B93"/>
    <w:rsid w:val="00727348"/>
    <w:rsid w:val="007352B8"/>
    <w:rsid w:val="007356A5"/>
    <w:rsid w:val="007402BA"/>
    <w:rsid w:val="00747333"/>
    <w:rsid w:val="00767E95"/>
    <w:rsid w:val="00794824"/>
    <w:rsid w:val="00794A4A"/>
    <w:rsid w:val="007B6848"/>
    <w:rsid w:val="007F217C"/>
    <w:rsid w:val="008011B7"/>
    <w:rsid w:val="008158AA"/>
    <w:rsid w:val="00820D63"/>
    <w:rsid w:val="008419A8"/>
    <w:rsid w:val="00856097"/>
    <w:rsid w:val="00862946"/>
    <w:rsid w:val="00864747"/>
    <w:rsid w:val="0089007F"/>
    <w:rsid w:val="0089219C"/>
    <w:rsid w:val="00895748"/>
    <w:rsid w:val="00896610"/>
    <w:rsid w:val="008A5BBB"/>
    <w:rsid w:val="008B0F26"/>
    <w:rsid w:val="008E15C7"/>
    <w:rsid w:val="00910305"/>
    <w:rsid w:val="00934586"/>
    <w:rsid w:val="00935454"/>
    <w:rsid w:val="00961B04"/>
    <w:rsid w:val="0097239D"/>
    <w:rsid w:val="00977A8D"/>
    <w:rsid w:val="00996C9A"/>
    <w:rsid w:val="009A4C88"/>
    <w:rsid w:val="009B072A"/>
    <w:rsid w:val="009B4BD5"/>
    <w:rsid w:val="009E6C98"/>
    <w:rsid w:val="009F2F73"/>
    <w:rsid w:val="00A2455C"/>
    <w:rsid w:val="00A37D18"/>
    <w:rsid w:val="00A45138"/>
    <w:rsid w:val="00A62BA6"/>
    <w:rsid w:val="00A82BCA"/>
    <w:rsid w:val="00A94517"/>
    <w:rsid w:val="00AA211F"/>
    <w:rsid w:val="00AA2EA9"/>
    <w:rsid w:val="00AB7529"/>
    <w:rsid w:val="00AC78FB"/>
    <w:rsid w:val="00AD3B8B"/>
    <w:rsid w:val="00AF6214"/>
    <w:rsid w:val="00B32810"/>
    <w:rsid w:val="00B42DB1"/>
    <w:rsid w:val="00B515C0"/>
    <w:rsid w:val="00B52B66"/>
    <w:rsid w:val="00B74ECF"/>
    <w:rsid w:val="00B90B18"/>
    <w:rsid w:val="00BA1E82"/>
    <w:rsid w:val="00BB0427"/>
    <w:rsid w:val="00BB251E"/>
    <w:rsid w:val="00BC0E54"/>
    <w:rsid w:val="00BD5FE6"/>
    <w:rsid w:val="00BE67F0"/>
    <w:rsid w:val="00BE77B4"/>
    <w:rsid w:val="00BF6EB6"/>
    <w:rsid w:val="00C2113A"/>
    <w:rsid w:val="00C241C0"/>
    <w:rsid w:val="00C25DCC"/>
    <w:rsid w:val="00C40B2E"/>
    <w:rsid w:val="00C533C0"/>
    <w:rsid w:val="00C61BD0"/>
    <w:rsid w:val="00C67F3C"/>
    <w:rsid w:val="00C77474"/>
    <w:rsid w:val="00CB3532"/>
    <w:rsid w:val="00CB3B3A"/>
    <w:rsid w:val="00CD1BE7"/>
    <w:rsid w:val="00CE175E"/>
    <w:rsid w:val="00D95BEA"/>
    <w:rsid w:val="00DB21AA"/>
    <w:rsid w:val="00DB3ED4"/>
    <w:rsid w:val="00DC0FC4"/>
    <w:rsid w:val="00DE2478"/>
    <w:rsid w:val="00E05B8A"/>
    <w:rsid w:val="00E25E9E"/>
    <w:rsid w:val="00E55813"/>
    <w:rsid w:val="00E943F8"/>
    <w:rsid w:val="00E9586B"/>
    <w:rsid w:val="00EB1D49"/>
    <w:rsid w:val="00EC52BD"/>
    <w:rsid w:val="00EE17F6"/>
    <w:rsid w:val="00EF033A"/>
    <w:rsid w:val="00F15388"/>
    <w:rsid w:val="00F21391"/>
    <w:rsid w:val="00F245C1"/>
    <w:rsid w:val="00F27089"/>
    <w:rsid w:val="00F413F7"/>
    <w:rsid w:val="00F467E0"/>
    <w:rsid w:val="00F84EE6"/>
    <w:rsid w:val="00F93D88"/>
    <w:rsid w:val="00FA2CA4"/>
    <w:rsid w:val="00FA60AA"/>
    <w:rsid w:val="00FB537C"/>
    <w:rsid w:val="00FC481D"/>
    <w:rsid w:val="00FD1A9D"/>
    <w:rsid w:val="00FE094A"/>
    <w:rsid w:val="00FF7B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13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8B6"/>
    <w:pPr>
      <w:spacing w:line="256" w:lineRule="auto"/>
    </w:pPr>
    <w:rPr>
      <w:kern w:val="0"/>
      <w:lang w:val="en-US"/>
      <w14:ligatures w14:val="none"/>
    </w:rPr>
  </w:style>
  <w:style w:type="paragraph" w:styleId="Heading1">
    <w:name w:val="heading 1"/>
    <w:basedOn w:val="Normal"/>
    <w:next w:val="Normal"/>
    <w:link w:val="Heading1Char"/>
    <w:uiPriority w:val="9"/>
    <w:qFormat/>
    <w:rsid w:val="00AA2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2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2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11F"/>
    <w:rPr>
      <w:rFonts w:eastAsiaTheme="majorEastAsia" w:cstheme="majorBidi"/>
      <w:color w:val="272727" w:themeColor="text1" w:themeTint="D8"/>
    </w:rPr>
  </w:style>
  <w:style w:type="paragraph" w:styleId="Title">
    <w:name w:val="Title"/>
    <w:basedOn w:val="Normal"/>
    <w:next w:val="Normal"/>
    <w:link w:val="TitleChar"/>
    <w:uiPriority w:val="10"/>
    <w:qFormat/>
    <w:rsid w:val="00AA2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11F"/>
    <w:pPr>
      <w:spacing w:before="160"/>
      <w:jc w:val="center"/>
    </w:pPr>
    <w:rPr>
      <w:i/>
      <w:iCs/>
      <w:color w:val="404040" w:themeColor="text1" w:themeTint="BF"/>
    </w:rPr>
  </w:style>
  <w:style w:type="character" w:customStyle="1" w:styleId="QuoteChar">
    <w:name w:val="Quote Char"/>
    <w:basedOn w:val="DefaultParagraphFont"/>
    <w:link w:val="Quote"/>
    <w:uiPriority w:val="29"/>
    <w:rsid w:val="00AA211F"/>
    <w:rPr>
      <w:i/>
      <w:iCs/>
      <w:color w:val="404040" w:themeColor="text1" w:themeTint="BF"/>
    </w:rPr>
  </w:style>
  <w:style w:type="paragraph" w:styleId="ListParagraph">
    <w:name w:val="List Paragraph"/>
    <w:basedOn w:val="Normal"/>
    <w:uiPriority w:val="34"/>
    <w:qFormat/>
    <w:rsid w:val="00AA211F"/>
    <w:pPr>
      <w:ind w:left="720"/>
      <w:contextualSpacing/>
    </w:pPr>
  </w:style>
  <w:style w:type="character" w:styleId="IntenseEmphasis">
    <w:name w:val="Intense Emphasis"/>
    <w:basedOn w:val="DefaultParagraphFont"/>
    <w:uiPriority w:val="21"/>
    <w:qFormat/>
    <w:rsid w:val="00AA211F"/>
    <w:rPr>
      <w:i/>
      <w:iCs/>
      <w:color w:val="0F4761" w:themeColor="accent1" w:themeShade="BF"/>
    </w:rPr>
  </w:style>
  <w:style w:type="paragraph" w:styleId="IntenseQuote">
    <w:name w:val="Intense Quote"/>
    <w:basedOn w:val="Normal"/>
    <w:next w:val="Normal"/>
    <w:link w:val="IntenseQuoteChar"/>
    <w:uiPriority w:val="30"/>
    <w:qFormat/>
    <w:rsid w:val="00AA2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11F"/>
    <w:rPr>
      <w:i/>
      <w:iCs/>
      <w:color w:val="0F4761" w:themeColor="accent1" w:themeShade="BF"/>
    </w:rPr>
  </w:style>
  <w:style w:type="character" w:styleId="IntenseReference">
    <w:name w:val="Intense Reference"/>
    <w:basedOn w:val="DefaultParagraphFont"/>
    <w:uiPriority w:val="32"/>
    <w:qFormat/>
    <w:rsid w:val="00AA211F"/>
    <w:rPr>
      <w:b/>
      <w:bCs/>
      <w:smallCaps/>
      <w:color w:val="0F4761" w:themeColor="accent1" w:themeShade="BF"/>
      <w:spacing w:val="5"/>
    </w:rPr>
  </w:style>
  <w:style w:type="table" w:styleId="TableGrid">
    <w:name w:val="Table Grid"/>
    <w:basedOn w:val="TableNormal"/>
    <w:uiPriority w:val="39"/>
    <w:rsid w:val="00961B04"/>
    <w:pPr>
      <w:spacing w:after="0" w:line="240" w:lineRule="auto"/>
    </w:pPr>
    <w:rPr>
      <w:rFonts w:ascii="Calibri" w:eastAsia="Calibri" w:hAnsi="Calibri" w:cs="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1391"/>
    <w:rPr>
      <w:sz w:val="16"/>
      <w:szCs w:val="16"/>
    </w:rPr>
  </w:style>
  <w:style w:type="paragraph" w:styleId="CommentText">
    <w:name w:val="annotation text"/>
    <w:basedOn w:val="Normal"/>
    <w:link w:val="CommentTextChar"/>
    <w:uiPriority w:val="99"/>
    <w:unhideWhenUsed/>
    <w:rsid w:val="00F21391"/>
    <w:pPr>
      <w:spacing w:line="240" w:lineRule="auto"/>
    </w:pPr>
    <w:rPr>
      <w:sz w:val="20"/>
      <w:szCs w:val="20"/>
    </w:rPr>
  </w:style>
  <w:style w:type="character" w:customStyle="1" w:styleId="CommentTextChar">
    <w:name w:val="Comment Text Char"/>
    <w:basedOn w:val="DefaultParagraphFont"/>
    <w:link w:val="CommentText"/>
    <w:uiPriority w:val="99"/>
    <w:rsid w:val="00F2139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21391"/>
    <w:rPr>
      <w:b/>
      <w:bCs/>
    </w:rPr>
  </w:style>
  <w:style w:type="character" w:customStyle="1" w:styleId="CommentSubjectChar">
    <w:name w:val="Comment Subject Char"/>
    <w:basedOn w:val="CommentTextChar"/>
    <w:link w:val="CommentSubject"/>
    <w:uiPriority w:val="99"/>
    <w:semiHidden/>
    <w:rsid w:val="00F21391"/>
    <w:rPr>
      <w:b/>
      <w:bCs/>
      <w:kern w:val="0"/>
      <w:sz w:val="20"/>
      <w:szCs w:val="20"/>
      <w:lang w:val="en-US"/>
      <w14:ligatures w14:val="none"/>
    </w:rPr>
  </w:style>
  <w:style w:type="paragraph" w:styleId="Revision">
    <w:name w:val="Revision"/>
    <w:hidden/>
    <w:uiPriority w:val="99"/>
    <w:semiHidden/>
    <w:rsid w:val="000E4ECD"/>
    <w:pPr>
      <w:spacing w:after="0" w:line="240" w:lineRule="auto"/>
    </w:pPr>
    <w:rPr>
      <w:kern w:val="0"/>
      <w:lang w:val="en-US"/>
      <w14:ligatures w14:val="none"/>
    </w:rPr>
  </w:style>
  <w:style w:type="character" w:styleId="Hyperlink">
    <w:name w:val="Hyperlink"/>
    <w:basedOn w:val="DefaultParagraphFont"/>
    <w:uiPriority w:val="99"/>
    <w:unhideWhenUsed/>
    <w:rsid w:val="0089219C"/>
    <w:rPr>
      <w:color w:val="467886" w:themeColor="hyperlink"/>
      <w:u w:val="single"/>
    </w:rPr>
  </w:style>
  <w:style w:type="character" w:customStyle="1" w:styleId="UnresolvedMention">
    <w:name w:val="Unresolved Mention"/>
    <w:basedOn w:val="DefaultParagraphFont"/>
    <w:uiPriority w:val="99"/>
    <w:semiHidden/>
    <w:unhideWhenUsed/>
    <w:rsid w:val="0089219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8B6"/>
    <w:pPr>
      <w:spacing w:line="256" w:lineRule="auto"/>
    </w:pPr>
    <w:rPr>
      <w:kern w:val="0"/>
      <w:lang w:val="en-US"/>
      <w14:ligatures w14:val="none"/>
    </w:rPr>
  </w:style>
  <w:style w:type="paragraph" w:styleId="Heading1">
    <w:name w:val="heading 1"/>
    <w:basedOn w:val="Normal"/>
    <w:next w:val="Normal"/>
    <w:link w:val="Heading1Char"/>
    <w:uiPriority w:val="9"/>
    <w:qFormat/>
    <w:rsid w:val="00AA2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2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2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11F"/>
    <w:rPr>
      <w:rFonts w:eastAsiaTheme="majorEastAsia" w:cstheme="majorBidi"/>
      <w:color w:val="272727" w:themeColor="text1" w:themeTint="D8"/>
    </w:rPr>
  </w:style>
  <w:style w:type="paragraph" w:styleId="Title">
    <w:name w:val="Title"/>
    <w:basedOn w:val="Normal"/>
    <w:next w:val="Normal"/>
    <w:link w:val="TitleChar"/>
    <w:uiPriority w:val="10"/>
    <w:qFormat/>
    <w:rsid w:val="00AA2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11F"/>
    <w:pPr>
      <w:spacing w:before="160"/>
      <w:jc w:val="center"/>
    </w:pPr>
    <w:rPr>
      <w:i/>
      <w:iCs/>
      <w:color w:val="404040" w:themeColor="text1" w:themeTint="BF"/>
    </w:rPr>
  </w:style>
  <w:style w:type="character" w:customStyle="1" w:styleId="QuoteChar">
    <w:name w:val="Quote Char"/>
    <w:basedOn w:val="DefaultParagraphFont"/>
    <w:link w:val="Quote"/>
    <w:uiPriority w:val="29"/>
    <w:rsid w:val="00AA211F"/>
    <w:rPr>
      <w:i/>
      <w:iCs/>
      <w:color w:val="404040" w:themeColor="text1" w:themeTint="BF"/>
    </w:rPr>
  </w:style>
  <w:style w:type="paragraph" w:styleId="ListParagraph">
    <w:name w:val="List Paragraph"/>
    <w:basedOn w:val="Normal"/>
    <w:uiPriority w:val="34"/>
    <w:qFormat/>
    <w:rsid w:val="00AA211F"/>
    <w:pPr>
      <w:ind w:left="720"/>
      <w:contextualSpacing/>
    </w:pPr>
  </w:style>
  <w:style w:type="character" w:styleId="IntenseEmphasis">
    <w:name w:val="Intense Emphasis"/>
    <w:basedOn w:val="DefaultParagraphFont"/>
    <w:uiPriority w:val="21"/>
    <w:qFormat/>
    <w:rsid w:val="00AA211F"/>
    <w:rPr>
      <w:i/>
      <w:iCs/>
      <w:color w:val="0F4761" w:themeColor="accent1" w:themeShade="BF"/>
    </w:rPr>
  </w:style>
  <w:style w:type="paragraph" w:styleId="IntenseQuote">
    <w:name w:val="Intense Quote"/>
    <w:basedOn w:val="Normal"/>
    <w:next w:val="Normal"/>
    <w:link w:val="IntenseQuoteChar"/>
    <w:uiPriority w:val="30"/>
    <w:qFormat/>
    <w:rsid w:val="00AA2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11F"/>
    <w:rPr>
      <w:i/>
      <w:iCs/>
      <w:color w:val="0F4761" w:themeColor="accent1" w:themeShade="BF"/>
    </w:rPr>
  </w:style>
  <w:style w:type="character" w:styleId="IntenseReference">
    <w:name w:val="Intense Reference"/>
    <w:basedOn w:val="DefaultParagraphFont"/>
    <w:uiPriority w:val="32"/>
    <w:qFormat/>
    <w:rsid w:val="00AA211F"/>
    <w:rPr>
      <w:b/>
      <w:bCs/>
      <w:smallCaps/>
      <w:color w:val="0F4761" w:themeColor="accent1" w:themeShade="BF"/>
      <w:spacing w:val="5"/>
    </w:rPr>
  </w:style>
  <w:style w:type="table" w:styleId="TableGrid">
    <w:name w:val="Table Grid"/>
    <w:basedOn w:val="TableNormal"/>
    <w:uiPriority w:val="39"/>
    <w:rsid w:val="00961B04"/>
    <w:pPr>
      <w:spacing w:after="0" w:line="240" w:lineRule="auto"/>
    </w:pPr>
    <w:rPr>
      <w:rFonts w:ascii="Calibri" w:eastAsia="Calibri" w:hAnsi="Calibri" w:cs="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1391"/>
    <w:rPr>
      <w:sz w:val="16"/>
      <w:szCs w:val="16"/>
    </w:rPr>
  </w:style>
  <w:style w:type="paragraph" w:styleId="CommentText">
    <w:name w:val="annotation text"/>
    <w:basedOn w:val="Normal"/>
    <w:link w:val="CommentTextChar"/>
    <w:uiPriority w:val="99"/>
    <w:unhideWhenUsed/>
    <w:rsid w:val="00F21391"/>
    <w:pPr>
      <w:spacing w:line="240" w:lineRule="auto"/>
    </w:pPr>
    <w:rPr>
      <w:sz w:val="20"/>
      <w:szCs w:val="20"/>
    </w:rPr>
  </w:style>
  <w:style w:type="character" w:customStyle="1" w:styleId="CommentTextChar">
    <w:name w:val="Comment Text Char"/>
    <w:basedOn w:val="DefaultParagraphFont"/>
    <w:link w:val="CommentText"/>
    <w:uiPriority w:val="99"/>
    <w:rsid w:val="00F2139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21391"/>
    <w:rPr>
      <w:b/>
      <w:bCs/>
    </w:rPr>
  </w:style>
  <w:style w:type="character" w:customStyle="1" w:styleId="CommentSubjectChar">
    <w:name w:val="Comment Subject Char"/>
    <w:basedOn w:val="CommentTextChar"/>
    <w:link w:val="CommentSubject"/>
    <w:uiPriority w:val="99"/>
    <w:semiHidden/>
    <w:rsid w:val="00F21391"/>
    <w:rPr>
      <w:b/>
      <w:bCs/>
      <w:kern w:val="0"/>
      <w:sz w:val="20"/>
      <w:szCs w:val="20"/>
      <w:lang w:val="en-US"/>
      <w14:ligatures w14:val="none"/>
    </w:rPr>
  </w:style>
  <w:style w:type="paragraph" w:styleId="Revision">
    <w:name w:val="Revision"/>
    <w:hidden/>
    <w:uiPriority w:val="99"/>
    <w:semiHidden/>
    <w:rsid w:val="000E4ECD"/>
    <w:pPr>
      <w:spacing w:after="0" w:line="240" w:lineRule="auto"/>
    </w:pPr>
    <w:rPr>
      <w:kern w:val="0"/>
      <w:lang w:val="en-US"/>
      <w14:ligatures w14:val="none"/>
    </w:rPr>
  </w:style>
  <w:style w:type="character" w:styleId="Hyperlink">
    <w:name w:val="Hyperlink"/>
    <w:basedOn w:val="DefaultParagraphFont"/>
    <w:uiPriority w:val="99"/>
    <w:unhideWhenUsed/>
    <w:rsid w:val="0089219C"/>
    <w:rPr>
      <w:color w:val="467886" w:themeColor="hyperlink"/>
      <w:u w:val="single"/>
    </w:rPr>
  </w:style>
  <w:style w:type="character" w:customStyle="1" w:styleId="UnresolvedMention">
    <w:name w:val="Unresolved Mention"/>
    <w:basedOn w:val="DefaultParagraphFont"/>
    <w:uiPriority w:val="99"/>
    <w:semiHidden/>
    <w:unhideWhenUsed/>
    <w:rsid w:val="00892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212645">
      <w:bodyDiv w:val="1"/>
      <w:marLeft w:val="0"/>
      <w:marRight w:val="0"/>
      <w:marTop w:val="0"/>
      <w:marBottom w:val="0"/>
      <w:divBdr>
        <w:top w:val="none" w:sz="0" w:space="0" w:color="auto"/>
        <w:left w:val="none" w:sz="0" w:space="0" w:color="auto"/>
        <w:bottom w:val="none" w:sz="0" w:space="0" w:color="auto"/>
        <w:right w:val="none" w:sz="0" w:space="0" w:color="auto"/>
      </w:divBdr>
    </w:div>
    <w:div w:id="1025595627">
      <w:bodyDiv w:val="1"/>
      <w:marLeft w:val="0"/>
      <w:marRight w:val="0"/>
      <w:marTop w:val="0"/>
      <w:marBottom w:val="0"/>
      <w:divBdr>
        <w:top w:val="none" w:sz="0" w:space="0" w:color="auto"/>
        <w:left w:val="none" w:sz="0" w:space="0" w:color="auto"/>
        <w:bottom w:val="none" w:sz="0" w:space="0" w:color="auto"/>
        <w:right w:val="none" w:sz="0" w:space="0" w:color="auto"/>
      </w:divBdr>
    </w:div>
    <w:div w:id="1433891546">
      <w:bodyDiv w:val="1"/>
      <w:marLeft w:val="0"/>
      <w:marRight w:val="0"/>
      <w:marTop w:val="0"/>
      <w:marBottom w:val="0"/>
      <w:divBdr>
        <w:top w:val="none" w:sz="0" w:space="0" w:color="auto"/>
        <w:left w:val="none" w:sz="0" w:space="0" w:color="auto"/>
        <w:bottom w:val="none" w:sz="0" w:space="0" w:color="auto"/>
        <w:right w:val="none" w:sz="0" w:space="0" w:color="auto"/>
      </w:divBdr>
    </w:div>
    <w:div w:id="193628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9440E-A824-455D-9D7A-CA731BDC8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2594</Words>
  <Characters>14786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Arroyo</dc:creator>
  <cp:lastModifiedBy>E738677</cp:lastModifiedBy>
  <cp:revision>2</cp:revision>
  <dcterms:created xsi:type="dcterms:W3CDTF">2024-09-21T07:10:00Z</dcterms:created>
  <dcterms:modified xsi:type="dcterms:W3CDTF">2024-09-21T07:10:00Z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id="1Z8kBEvu"/&gt;&lt;style id="http://www.zotero.org/styles/ecosphere" hasBibliography="1" bibliographyStyleHasBeenSet="0"/&gt;&lt;prefs&gt;&lt;pref name="fieldType" value="Field"/&gt;&lt;/prefs&gt;&lt;/data&gt;</vt:lpwstr>
  </property>
</Properties>
</file>