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0F420" w14:textId="77777777" w:rsidR="003308EC" w:rsidRPr="009D03D9" w:rsidRDefault="003308EC" w:rsidP="003308EC">
      <w:pPr>
        <w:tabs>
          <w:tab w:val="left" w:pos="1139"/>
        </w:tabs>
        <w:spacing w:after="0" w:line="480" w:lineRule="auto"/>
        <w:rPr>
          <w:rFonts w:ascii="Aptos" w:hAnsi="Aptos"/>
          <w:noProof/>
        </w:rPr>
      </w:pPr>
      <w:r w:rsidRPr="009D03D9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9D03D9">
        <w:rPr>
          <w:rFonts w:ascii="Aptos" w:hAnsi="Aptos"/>
          <w:noProof/>
        </w:rPr>
        <w:t xml:space="preserve">  </w:t>
      </w:r>
      <w:r w:rsidRPr="007E7B2A">
        <w:rPr>
          <w:rFonts w:ascii="Aptos" w:eastAsia="Times New Roman" w:hAnsi="Aptos" w:cs="Times New Roman"/>
          <w:noProof/>
          <w:kern w:val="0"/>
          <w14:ligatures w14:val="none"/>
        </w:rPr>
        <w:drawing>
          <wp:inline distT="0" distB="0" distL="0" distR="0" wp14:anchorId="5C6D58CD" wp14:editId="69F49EB1">
            <wp:extent cx="3315694" cy="5605229"/>
            <wp:effectExtent l="0" t="0" r="0" b="0"/>
            <wp:docPr id="20821882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993" cy="561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DE254" w14:textId="47FC8E6E" w:rsidR="003308EC" w:rsidRDefault="003308EC" w:rsidP="003308EC">
      <w:pPr>
        <w:pStyle w:val="Caption"/>
        <w:spacing w:after="0" w:line="480" w:lineRule="auto"/>
        <w:rPr>
          <w:rFonts w:ascii="Aptos" w:hAnsi="Aptos"/>
        </w:rPr>
      </w:pPr>
      <w:bookmarkStart w:id="0" w:name="_Toc213283610"/>
      <w:r w:rsidRPr="009D03D9">
        <w:rPr>
          <w:rFonts w:ascii="Aptos" w:hAnsi="Aptos"/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rFonts w:ascii="Aptos" w:hAnsi="Aptos"/>
          <w:b/>
          <w:bCs/>
          <w:i w:val="0"/>
          <w:iCs w:val="0"/>
          <w:color w:val="auto"/>
          <w:sz w:val="24"/>
          <w:szCs w:val="24"/>
        </w:rPr>
        <w:t xml:space="preserve">S1. </w:t>
      </w:r>
      <w:r>
        <w:rPr>
          <w:rFonts w:ascii="Aptos" w:hAnsi="Aptos"/>
          <w:i w:val="0"/>
          <w:iCs w:val="0"/>
          <w:color w:val="auto"/>
          <w:sz w:val="24"/>
          <w:szCs w:val="24"/>
        </w:rPr>
        <w:t xml:space="preserve">(A) Simple </w:t>
      </w:r>
      <w:r w:rsidRPr="009D03D9">
        <w:rPr>
          <w:rFonts w:ascii="Aptos" w:hAnsi="Aptos"/>
          <w:i w:val="0"/>
          <w:iCs w:val="0"/>
          <w:color w:val="auto"/>
          <w:sz w:val="24"/>
          <w:szCs w:val="24"/>
        </w:rPr>
        <w:t xml:space="preserve">linear regression showing </w:t>
      </w:r>
      <w:r>
        <w:rPr>
          <w:rFonts w:ascii="Aptos" w:hAnsi="Aptos"/>
          <w:i w:val="0"/>
          <w:iCs w:val="0"/>
          <w:color w:val="auto"/>
          <w:sz w:val="24"/>
          <w:szCs w:val="24"/>
        </w:rPr>
        <w:t>the relationship between live stand basal area as a function of distance to the perimeter of the 2020 Cameron Peak and Cal-Wood wildfires</w:t>
      </w:r>
      <w:r w:rsidRPr="009D03D9">
        <w:rPr>
          <w:rFonts w:ascii="Aptos" w:hAnsi="Aptos"/>
          <w:i w:val="0"/>
          <w:iCs w:val="0"/>
          <w:color w:val="auto"/>
          <w:sz w:val="24"/>
          <w:szCs w:val="24"/>
        </w:rPr>
        <w:t xml:space="preserve">. </w:t>
      </w:r>
      <w:r>
        <w:rPr>
          <w:rFonts w:ascii="Aptos" w:hAnsi="Aptos"/>
          <w:i w:val="0"/>
          <w:iCs w:val="0"/>
          <w:color w:val="auto"/>
          <w:sz w:val="24"/>
          <w:szCs w:val="24"/>
        </w:rPr>
        <w:t xml:space="preserve">(B) The relationship between distance to fire perimeters and basal area mortality.  </w:t>
      </w:r>
      <w:bookmarkEnd w:id="0"/>
      <w:r>
        <w:rPr>
          <w:rFonts w:ascii="Aptos" w:hAnsi="Aptos"/>
          <w:i w:val="0"/>
          <w:iCs w:val="0"/>
          <w:color w:val="auto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3308EC" w14:paraId="68424B06" w14:textId="77777777" w:rsidTr="00E17A99">
        <w:tc>
          <w:tcPr>
            <w:tcW w:w="13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BA0B237" w14:textId="77777777" w:rsidR="003308EC" w:rsidRPr="00ED5670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b/>
                <w:bCs/>
                <w:i w:val="0"/>
                <w:iCs w:val="0"/>
                <w:sz w:val="24"/>
                <w:szCs w:val="24"/>
              </w:rPr>
            </w:pPr>
            <w:r w:rsidRPr="00ED5670">
              <w:rPr>
                <w:rFonts w:ascii="Aptos" w:hAnsi="Aptos"/>
                <w:b/>
                <w:bCs/>
                <w:i w:val="0"/>
                <w:iCs w:val="0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8015" w:type="dxa"/>
            <w:gridSpan w:val="6"/>
            <w:tcBorders>
              <w:top w:val="single" w:sz="4" w:space="0" w:color="auto"/>
            </w:tcBorders>
          </w:tcPr>
          <w:p w14:paraId="6EE1D200" w14:textId="77777777" w:rsidR="003308EC" w:rsidRPr="00ED5670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b/>
                <w:bCs/>
                <w:i w:val="0"/>
                <w:iCs w:val="0"/>
                <w:sz w:val="24"/>
                <w:szCs w:val="24"/>
              </w:rPr>
            </w:pPr>
            <w:r w:rsidRPr="00ED5670">
              <w:rPr>
                <w:rFonts w:ascii="Aptos" w:hAnsi="Aptos"/>
                <w:b/>
                <w:bCs/>
                <w:i w:val="0"/>
                <w:iCs w:val="0"/>
                <w:sz w:val="24"/>
                <w:szCs w:val="24"/>
              </w:rPr>
              <w:t>Rating</w:t>
            </w:r>
          </w:p>
        </w:tc>
      </w:tr>
      <w:tr w:rsidR="003308EC" w14:paraId="16CEF2A5" w14:textId="77777777" w:rsidTr="00E17A99">
        <w:tc>
          <w:tcPr>
            <w:tcW w:w="1335" w:type="dxa"/>
            <w:vMerge/>
            <w:tcBorders>
              <w:bottom w:val="single" w:sz="4" w:space="0" w:color="auto"/>
            </w:tcBorders>
          </w:tcPr>
          <w:p w14:paraId="52451D4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4081803E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None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32194A1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D0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A4FB09D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D1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5E3765D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D2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0E4B4EE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D3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A1F1E01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D4</w:t>
            </w:r>
          </w:p>
        </w:tc>
      </w:tr>
      <w:tr w:rsidR="003308EC" w14:paraId="43C61A7D" w14:textId="77777777" w:rsidTr="00E17A99">
        <w:tc>
          <w:tcPr>
            <w:tcW w:w="1335" w:type="dxa"/>
            <w:tcBorders>
              <w:top w:val="single" w:sz="4" w:space="0" w:color="auto"/>
            </w:tcBorders>
          </w:tcPr>
          <w:p w14:paraId="1C3F552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2021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44B3396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30.05%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AAEC62B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37.25%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0DF5229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26.76%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103D7CFD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5.92%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1F09FDF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0.00%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731FD10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0.00%</w:t>
            </w:r>
          </w:p>
        </w:tc>
      </w:tr>
      <w:tr w:rsidR="003308EC" w14:paraId="1E7095AA" w14:textId="77777777" w:rsidTr="00E17A99">
        <w:tc>
          <w:tcPr>
            <w:tcW w:w="1335" w:type="dxa"/>
          </w:tcPr>
          <w:p w14:paraId="21F318C9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2022</w:t>
            </w:r>
          </w:p>
        </w:tc>
        <w:tc>
          <w:tcPr>
            <w:tcW w:w="1335" w:type="dxa"/>
          </w:tcPr>
          <w:p w14:paraId="060A95A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16.42%</w:t>
            </w:r>
          </w:p>
        </w:tc>
        <w:tc>
          <w:tcPr>
            <w:tcW w:w="1336" w:type="dxa"/>
          </w:tcPr>
          <w:p w14:paraId="5F1C488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10.20%</w:t>
            </w:r>
          </w:p>
        </w:tc>
        <w:tc>
          <w:tcPr>
            <w:tcW w:w="1336" w:type="dxa"/>
          </w:tcPr>
          <w:p w14:paraId="5B17AF4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18.62%</w:t>
            </w:r>
          </w:p>
        </w:tc>
        <w:tc>
          <w:tcPr>
            <w:tcW w:w="1336" w:type="dxa"/>
          </w:tcPr>
          <w:p w14:paraId="36ACD64B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22.61%</w:t>
            </w:r>
          </w:p>
        </w:tc>
        <w:tc>
          <w:tcPr>
            <w:tcW w:w="1336" w:type="dxa"/>
          </w:tcPr>
          <w:p w14:paraId="1FA5D35D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17.01%</w:t>
            </w:r>
          </w:p>
        </w:tc>
        <w:tc>
          <w:tcPr>
            <w:tcW w:w="1336" w:type="dxa"/>
          </w:tcPr>
          <w:p w14:paraId="37AA61A4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4.11%</w:t>
            </w:r>
          </w:p>
        </w:tc>
      </w:tr>
      <w:tr w:rsidR="003308EC" w14:paraId="7A5E93B7" w14:textId="77777777" w:rsidTr="00E17A99">
        <w:tc>
          <w:tcPr>
            <w:tcW w:w="1335" w:type="dxa"/>
            <w:tcBorders>
              <w:bottom w:val="single" w:sz="4" w:space="0" w:color="auto"/>
            </w:tcBorders>
          </w:tcPr>
          <w:p w14:paraId="602A605D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2024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54BFC62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22.08%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5C225F86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36.13%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DB773D8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28.29%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1E3E8FA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11.52%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F6DB1E9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1.95%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3E4F117C" w14:textId="77777777" w:rsidR="003308EC" w:rsidRDefault="003308EC" w:rsidP="00E17A99">
            <w:pPr>
              <w:pStyle w:val="Caption"/>
              <w:spacing w:after="0" w:line="480" w:lineRule="auto"/>
              <w:rPr>
                <w:rFonts w:ascii="Aptos" w:hAnsi="Aptos"/>
                <w:i w:val="0"/>
                <w:iCs w:val="0"/>
                <w:sz w:val="24"/>
                <w:szCs w:val="24"/>
              </w:rPr>
            </w:pPr>
            <w:r>
              <w:rPr>
                <w:rFonts w:ascii="Aptos" w:hAnsi="Aptos"/>
                <w:i w:val="0"/>
                <w:iCs w:val="0"/>
                <w:sz w:val="24"/>
                <w:szCs w:val="24"/>
              </w:rPr>
              <w:t>0.00%</w:t>
            </w:r>
          </w:p>
        </w:tc>
      </w:tr>
    </w:tbl>
    <w:p w14:paraId="1955D33C" w14:textId="77777777" w:rsidR="003308EC" w:rsidRDefault="003308EC" w:rsidP="003308EC">
      <w:pPr>
        <w:pStyle w:val="Caption"/>
        <w:spacing w:after="0" w:line="480" w:lineRule="auto"/>
        <w:rPr>
          <w:rFonts w:ascii="Aptos" w:hAnsi="Aptos"/>
          <w:i w:val="0"/>
          <w:iCs w:val="0"/>
          <w:sz w:val="24"/>
          <w:szCs w:val="24"/>
        </w:rPr>
      </w:pPr>
    </w:p>
    <w:p w14:paraId="0C95731A" w14:textId="77777777" w:rsidR="003308EC" w:rsidRPr="002469E5" w:rsidRDefault="003308EC" w:rsidP="003308EC">
      <w:pPr>
        <w:spacing w:after="0" w:line="480" w:lineRule="auto"/>
      </w:pPr>
      <w:r w:rsidRPr="002469E5">
        <w:rPr>
          <w:b/>
          <w:bCs/>
        </w:rPr>
        <w:t xml:space="preserve">Table S1. </w:t>
      </w:r>
      <w:r>
        <w:t xml:space="preserve">A summary of regional drought metrics (percent area affected) in the South Platte watershed (HUC 1019). Here, categories are represented as follows: None – no drought or abnormally dry conditions; D0 – abnormally dry, typically temporary; D1 – moderate drought; D2 – severe drought; D3 – extreme drought; D4 – exceptional drought. Data represent averages pooled across the </w:t>
      </w:r>
      <w:r>
        <w:rPr>
          <w:i/>
          <w:iCs/>
        </w:rPr>
        <w:t xml:space="preserve">Monochamus </w:t>
      </w:r>
      <w:r>
        <w:t xml:space="preserve">trapping period (August – October) in each study year. Data are from the U.S. Drought Monitor dataset (URL: </w:t>
      </w:r>
      <w:r w:rsidRPr="002469E5">
        <w:t>https://droughtmonitor.unl.edu/</w:t>
      </w:r>
      <w:r>
        <w:t xml:space="preserve">). </w:t>
      </w:r>
    </w:p>
    <w:p w14:paraId="01AFCFD3" w14:textId="77777777" w:rsidR="00287524" w:rsidRDefault="00287524"/>
    <w:sectPr w:rsidR="00287524" w:rsidSect="003308EC"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3007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78CD8E" w14:textId="77777777" w:rsidR="003308EC" w:rsidRDefault="003308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72B7F1" w14:textId="77777777" w:rsidR="003308EC" w:rsidRDefault="003308E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EC"/>
    <w:rsid w:val="00287524"/>
    <w:rsid w:val="003308EC"/>
    <w:rsid w:val="00370502"/>
    <w:rsid w:val="007F2BA9"/>
    <w:rsid w:val="00E2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22A99"/>
  <w15:chartTrackingRefBased/>
  <w15:docId w15:val="{E7682AF4-D482-4855-A44E-C95F9CCD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8EC"/>
  </w:style>
  <w:style w:type="paragraph" w:styleId="Heading1">
    <w:name w:val="heading 1"/>
    <w:basedOn w:val="Normal"/>
    <w:next w:val="Normal"/>
    <w:link w:val="Heading1Char"/>
    <w:uiPriority w:val="9"/>
    <w:qFormat/>
    <w:rsid w:val="00330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8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308E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0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8EC"/>
  </w:style>
  <w:style w:type="character" w:styleId="LineNumber">
    <w:name w:val="line number"/>
    <w:basedOn w:val="DefaultParagraphFont"/>
    <w:uiPriority w:val="99"/>
    <w:semiHidden/>
    <w:unhideWhenUsed/>
    <w:rsid w:val="003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Company>Colorado State University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Davis,Seth</dc:creator>
  <cp:keywords/>
  <dc:description/>
  <cp:lastModifiedBy>Davis,Seth</cp:lastModifiedBy>
  <cp:revision>1</cp:revision>
  <dcterms:created xsi:type="dcterms:W3CDTF">2026-05-22T19:38:00Z</dcterms:created>
  <dcterms:modified xsi:type="dcterms:W3CDTF">2026-05-22T19:38:00Z</dcterms:modified>
</cp:coreProperties>
</file>