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17DA73" w14:textId="77777777" w:rsidR="00243FB2" w:rsidRPr="00620084" w:rsidRDefault="00243FB2" w:rsidP="00243FB2">
      <w:pPr>
        <w:rPr>
          <w:rFonts w:ascii="Calibri" w:hAnsi="Calibri" w:cs="Calibri"/>
          <w:sz w:val="24"/>
          <w:szCs w:val="24"/>
        </w:rPr>
      </w:pPr>
      <w:r w:rsidRPr="00620084">
        <w:rPr>
          <w:rFonts w:ascii="Calibri" w:hAnsi="Calibri" w:cs="Calibri"/>
          <w:b/>
          <w:bCs/>
          <w:sz w:val="24"/>
          <w:szCs w:val="24"/>
        </w:rPr>
        <w:t>Supplementary material</w:t>
      </w:r>
    </w:p>
    <w:p w14:paraId="5E992359" w14:textId="77777777" w:rsidR="004B5BE5" w:rsidRPr="00620084" w:rsidRDefault="004B5BE5" w:rsidP="00243FB2">
      <w:pPr>
        <w:rPr>
          <w:rFonts w:ascii="Calibri" w:hAnsi="Calibri" w:cs="Calibri"/>
          <w:sz w:val="24"/>
          <w:szCs w:val="24"/>
        </w:rPr>
      </w:pPr>
    </w:p>
    <w:p w14:paraId="1F6DDB1F" w14:textId="77777777" w:rsidR="003B412D" w:rsidRPr="00620084" w:rsidRDefault="003B412D" w:rsidP="003B412D">
      <w:pPr>
        <w:rPr>
          <w:rFonts w:ascii="Calibri" w:hAnsi="Calibri" w:cs="Calibri"/>
          <w:sz w:val="24"/>
          <w:szCs w:val="24"/>
        </w:rPr>
      </w:pPr>
      <w:r w:rsidRPr="00620084">
        <w:rPr>
          <w:rFonts w:ascii="Calibri" w:hAnsi="Calibri" w:cs="Calibri"/>
          <w:sz w:val="24"/>
          <w:szCs w:val="24"/>
        </w:rPr>
        <w:t>Table S1: Preliminary model comparison used to assess whether mapped fire severity classes improved model fit relative to a broader burnt/unburnt classification.</w:t>
      </w:r>
    </w:p>
    <w:tbl>
      <w:tblPr>
        <w:tblW w:w="9067" w:type="dxa"/>
        <w:tblLook w:val="04A0" w:firstRow="1" w:lastRow="0" w:firstColumn="1" w:lastColumn="0" w:noHBand="0" w:noVBand="1"/>
      </w:tblPr>
      <w:tblGrid>
        <w:gridCol w:w="2263"/>
        <w:gridCol w:w="1560"/>
        <w:gridCol w:w="1559"/>
        <w:gridCol w:w="1843"/>
        <w:gridCol w:w="1842"/>
      </w:tblGrid>
      <w:tr w:rsidR="00861D94" w:rsidRPr="00620084" w14:paraId="17631BDA" w14:textId="77777777" w:rsidTr="00861D94">
        <w:trPr>
          <w:trHeight w:val="312"/>
        </w:trPr>
        <w:tc>
          <w:tcPr>
            <w:tcW w:w="2263" w:type="dxa"/>
            <w:tcBorders>
              <w:top w:val="single" w:sz="4" w:space="0" w:color="auto"/>
              <w:left w:val="single" w:sz="4" w:space="0" w:color="auto"/>
              <w:bottom w:val="single" w:sz="4" w:space="0" w:color="auto"/>
              <w:right w:val="single" w:sz="4" w:space="0" w:color="auto"/>
            </w:tcBorders>
            <w:noWrap/>
            <w:vAlign w:val="bottom"/>
            <w:hideMark/>
          </w:tcPr>
          <w:p w14:paraId="299E4012" w14:textId="77777777" w:rsidR="00861D94" w:rsidRPr="00620084" w:rsidRDefault="00861D94" w:rsidP="00861D94">
            <w:pPr>
              <w:spacing w:after="0" w:line="240" w:lineRule="auto"/>
              <w:rPr>
                <w:rFonts w:ascii="Calibri" w:eastAsia="Times New Roman" w:hAnsi="Calibri" w:cs="Calibri"/>
                <w:color w:val="000000"/>
                <w:kern w:val="0"/>
                <w:sz w:val="24"/>
                <w:szCs w:val="24"/>
                <w:lang w:eastAsia="en-AU"/>
                <w14:ligatures w14:val="none"/>
              </w:rPr>
            </w:pPr>
            <w:r w:rsidRPr="00620084">
              <w:rPr>
                <w:rFonts w:ascii="Calibri" w:eastAsia="Times New Roman" w:hAnsi="Calibri" w:cs="Calibri"/>
                <w:color w:val="000000"/>
                <w:kern w:val="0"/>
                <w:sz w:val="24"/>
                <w:szCs w:val="24"/>
                <w:lang w:eastAsia="en-AU"/>
                <w14:ligatures w14:val="none"/>
              </w:rPr>
              <w:t>Fire classification</w:t>
            </w:r>
          </w:p>
        </w:tc>
        <w:tc>
          <w:tcPr>
            <w:tcW w:w="1560" w:type="dxa"/>
            <w:tcBorders>
              <w:top w:val="single" w:sz="4" w:space="0" w:color="auto"/>
              <w:left w:val="nil"/>
              <w:bottom w:val="single" w:sz="4" w:space="0" w:color="auto"/>
              <w:right w:val="single" w:sz="4" w:space="0" w:color="auto"/>
            </w:tcBorders>
            <w:noWrap/>
            <w:vAlign w:val="bottom"/>
            <w:hideMark/>
          </w:tcPr>
          <w:p w14:paraId="370CC99B" w14:textId="77777777" w:rsidR="00861D94" w:rsidRPr="00620084" w:rsidRDefault="00861D94" w:rsidP="00861D94">
            <w:pPr>
              <w:spacing w:after="0" w:line="240" w:lineRule="auto"/>
              <w:rPr>
                <w:rFonts w:ascii="Calibri" w:eastAsia="Times New Roman" w:hAnsi="Calibri" w:cs="Calibri"/>
                <w:color w:val="000000"/>
                <w:kern w:val="0"/>
                <w:sz w:val="24"/>
                <w:szCs w:val="24"/>
                <w:lang w:eastAsia="en-AU"/>
                <w14:ligatures w14:val="none"/>
              </w:rPr>
            </w:pPr>
            <w:r w:rsidRPr="00620084">
              <w:rPr>
                <w:rFonts w:ascii="Calibri" w:eastAsia="Times New Roman" w:hAnsi="Calibri" w:cs="Calibri"/>
                <w:color w:val="000000"/>
                <w:kern w:val="0"/>
                <w:sz w:val="24"/>
                <w:szCs w:val="24"/>
                <w:lang w:eastAsia="en-AU"/>
                <w14:ligatures w14:val="none"/>
              </w:rPr>
              <w:t>WAIC</w:t>
            </w:r>
          </w:p>
        </w:tc>
        <w:tc>
          <w:tcPr>
            <w:tcW w:w="1559" w:type="dxa"/>
            <w:tcBorders>
              <w:top w:val="single" w:sz="4" w:space="0" w:color="auto"/>
              <w:left w:val="nil"/>
              <w:bottom w:val="single" w:sz="4" w:space="0" w:color="auto"/>
              <w:right w:val="single" w:sz="4" w:space="0" w:color="auto"/>
            </w:tcBorders>
            <w:noWrap/>
            <w:vAlign w:val="bottom"/>
            <w:hideMark/>
          </w:tcPr>
          <w:p w14:paraId="009F1BB3" w14:textId="77777777" w:rsidR="00861D94" w:rsidRPr="00620084" w:rsidRDefault="00861D94" w:rsidP="00861D94">
            <w:pPr>
              <w:spacing w:after="0" w:line="240" w:lineRule="auto"/>
              <w:rPr>
                <w:rFonts w:ascii="Calibri" w:eastAsia="Times New Roman" w:hAnsi="Calibri" w:cs="Calibri"/>
                <w:color w:val="000000"/>
                <w:kern w:val="0"/>
                <w:sz w:val="24"/>
                <w:szCs w:val="24"/>
                <w:lang w:eastAsia="en-AU"/>
                <w14:ligatures w14:val="none"/>
              </w:rPr>
            </w:pPr>
            <w:r w:rsidRPr="00620084">
              <w:rPr>
                <w:rFonts w:ascii="Calibri" w:eastAsia="Times New Roman" w:hAnsi="Calibri" w:cs="Calibri"/>
                <w:color w:val="000000"/>
                <w:kern w:val="0"/>
                <w:sz w:val="24"/>
                <w:szCs w:val="24"/>
                <w:lang w:eastAsia="en-AU"/>
                <w14:ligatures w14:val="none"/>
              </w:rPr>
              <w:t>WAIC SE</w:t>
            </w:r>
          </w:p>
        </w:tc>
        <w:tc>
          <w:tcPr>
            <w:tcW w:w="1843" w:type="dxa"/>
            <w:tcBorders>
              <w:top w:val="single" w:sz="4" w:space="0" w:color="auto"/>
              <w:left w:val="nil"/>
              <w:bottom w:val="single" w:sz="4" w:space="0" w:color="auto"/>
              <w:right w:val="single" w:sz="4" w:space="0" w:color="auto"/>
            </w:tcBorders>
            <w:noWrap/>
            <w:vAlign w:val="bottom"/>
            <w:hideMark/>
          </w:tcPr>
          <w:p w14:paraId="72F65414" w14:textId="77777777" w:rsidR="00861D94" w:rsidRPr="00620084" w:rsidRDefault="00861D94" w:rsidP="00861D94">
            <w:pPr>
              <w:spacing w:after="0" w:line="240" w:lineRule="auto"/>
              <w:rPr>
                <w:rFonts w:ascii="Calibri" w:eastAsia="Times New Roman" w:hAnsi="Calibri" w:cs="Calibri"/>
                <w:color w:val="000000"/>
                <w:kern w:val="0"/>
                <w:sz w:val="24"/>
                <w:szCs w:val="24"/>
                <w:lang w:eastAsia="en-AU"/>
                <w14:ligatures w14:val="none"/>
              </w:rPr>
            </w:pPr>
            <w:r w:rsidRPr="00620084">
              <w:rPr>
                <w:rFonts w:ascii="Calibri" w:eastAsia="Times New Roman" w:hAnsi="Calibri" w:cs="Calibri"/>
                <w:color w:val="000000"/>
                <w:kern w:val="0"/>
                <w:sz w:val="24"/>
                <w:szCs w:val="24"/>
                <w:lang w:eastAsia="en-AU"/>
                <w14:ligatures w14:val="none"/>
              </w:rPr>
              <w:t>ELPD difference</w:t>
            </w:r>
          </w:p>
        </w:tc>
        <w:tc>
          <w:tcPr>
            <w:tcW w:w="1842" w:type="dxa"/>
            <w:tcBorders>
              <w:top w:val="single" w:sz="4" w:space="0" w:color="auto"/>
              <w:left w:val="nil"/>
              <w:bottom w:val="single" w:sz="4" w:space="0" w:color="auto"/>
              <w:right w:val="single" w:sz="4" w:space="0" w:color="auto"/>
            </w:tcBorders>
            <w:noWrap/>
            <w:vAlign w:val="bottom"/>
            <w:hideMark/>
          </w:tcPr>
          <w:p w14:paraId="6F0469FE" w14:textId="77777777" w:rsidR="00861D94" w:rsidRPr="00620084" w:rsidRDefault="00861D94" w:rsidP="00861D94">
            <w:pPr>
              <w:spacing w:after="0" w:line="240" w:lineRule="auto"/>
              <w:rPr>
                <w:rFonts w:ascii="Calibri" w:eastAsia="Times New Roman" w:hAnsi="Calibri" w:cs="Calibri"/>
                <w:color w:val="000000"/>
                <w:kern w:val="0"/>
                <w:sz w:val="24"/>
                <w:szCs w:val="24"/>
                <w:lang w:eastAsia="en-AU"/>
                <w14:ligatures w14:val="none"/>
              </w:rPr>
            </w:pPr>
            <w:r w:rsidRPr="00620084">
              <w:rPr>
                <w:rFonts w:ascii="Calibri" w:eastAsia="Times New Roman" w:hAnsi="Calibri" w:cs="Calibri"/>
                <w:color w:val="000000"/>
                <w:kern w:val="0"/>
                <w:sz w:val="24"/>
                <w:szCs w:val="24"/>
                <w:lang w:eastAsia="en-AU"/>
                <w14:ligatures w14:val="none"/>
              </w:rPr>
              <w:t>Difference SE</w:t>
            </w:r>
          </w:p>
        </w:tc>
      </w:tr>
      <w:tr w:rsidR="00861D94" w:rsidRPr="00620084" w14:paraId="6B05EF3D" w14:textId="77777777" w:rsidTr="00861D94">
        <w:trPr>
          <w:trHeight w:val="312"/>
        </w:trPr>
        <w:tc>
          <w:tcPr>
            <w:tcW w:w="2263" w:type="dxa"/>
            <w:tcBorders>
              <w:top w:val="nil"/>
              <w:left w:val="single" w:sz="4" w:space="0" w:color="auto"/>
              <w:bottom w:val="single" w:sz="4" w:space="0" w:color="auto"/>
              <w:right w:val="single" w:sz="4" w:space="0" w:color="auto"/>
            </w:tcBorders>
            <w:noWrap/>
            <w:vAlign w:val="bottom"/>
            <w:hideMark/>
          </w:tcPr>
          <w:p w14:paraId="5030474C" w14:textId="77777777" w:rsidR="00861D94" w:rsidRPr="00620084" w:rsidRDefault="00861D94" w:rsidP="00861D94">
            <w:pPr>
              <w:spacing w:after="0" w:line="240" w:lineRule="auto"/>
              <w:rPr>
                <w:rFonts w:ascii="Calibri" w:eastAsia="Times New Roman" w:hAnsi="Calibri" w:cs="Calibri"/>
                <w:color w:val="000000"/>
                <w:kern w:val="0"/>
                <w:sz w:val="24"/>
                <w:szCs w:val="24"/>
                <w:lang w:eastAsia="en-AU"/>
                <w14:ligatures w14:val="none"/>
              </w:rPr>
            </w:pPr>
            <w:r w:rsidRPr="00620084">
              <w:rPr>
                <w:rFonts w:ascii="Calibri" w:eastAsia="Times New Roman" w:hAnsi="Calibri" w:cs="Calibri"/>
                <w:color w:val="000000"/>
                <w:kern w:val="0"/>
                <w:sz w:val="24"/>
                <w:szCs w:val="24"/>
                <w:lang w:eastAsia="en-AU"/>
                <w14:ligatures w14:val="none"/>
              </w:rPr>
              <w:t>Burnt/unburnt</w:t>
            </w:r>
          </w:p>
        </w:tc>
        <w:tc>
          <w:tcPr>
            <w:tcW w:w="1560" w:type="dxa"/>
            <w:tcBorders>
              <w:top w:val="nil"/>
              <w:left w:val="nil"/>
              <w:bottom w:val="single" w:sz="4" w:space="0" w:color="auto"/>
              <w:right w:val="single" w:sz="4" w:space="0" w:color="auto"/>
            </w:tcBorders>
            <w:noWrap/>
            <w:vAlign w:val="bottom"/>
            <w:hideMark/>
          </w:tcPr>
          <w:p w14:paraId="672C04ED" w14:textId="77777777" w:rsidR="00861D94" w:rsidRPr="00620084" w:rsidRDefault="00861D94" w:rsidP="00861D94">
            <w:pPr>
              <w:spacing w:after="0" w:line="240" w:lineRule="auto"/>
              <w:rPr>
                <w:rFonts w:ascii="Calibri" w:eastAsia="Times New Roman" w:hAnsi="Calibri" w:cs="Calibri"/>
                <w:color w:val="000000"/>
                <w:kern w:val="0"/>
                <w:sz w:val="24"/>
                <w:szCs w:val="24"/>
                <w:lang w:eastAsia="en-AU"/>
                <w14:ligatures w14:val="none"/>
              </w:rPr>
            </w:pPr>
            <w:r w:rsidRPr="00620084">
              <w:rPr>
                <w:rFonts w:ascii="Calibri" w:eastAsia="Times New Roman" w:hAnsi="Calibri" w:cs="Calibri"/>
                <w:color w:val="000000"/>
                <w:kern w:val="0"/>
                <w:sz w:val="24"/>
                <w:szCs w:val="24"/>
                <w:lang w:eastAsia="en-AU"/>
                <w14:ligatures w14:val="none"/>
              </w:rPr>
              <w:t>406.3292902</w:t>
            </w:r>
          </w:p>
        </w:tc>
        <w:tc>
          <w:tcPr>
            <w:tcW w:w="1559" w:type="dxa"/>
            <w:tcBorders>
              <w:top w:val="nil"/>
              <w:left w:val="nil"/>
              <w:bottom w:val="single" w:sz="4" w:space="0" w:color="auto"/>
              <w:right w:val="single" w:sz="4" w:space="0" w:color="auto"/>
            </w:tcBorders>
            <w:noWrap/>
            <w:vAlign w:val="bottom"/>
            <w:hideMark/>
          </w:tcPr>
          <w:p w14:paraId="1EC5DB88" w14:textId="77777777" w:rsidR="00861D94" w:rsidRPr="00620084" w:rsidRDefault="00861D94" w:rsidP="00861D94">
            <w:pPr>
              <w:spacing w:after="0" w:line="240" w:lineRule="auto"/>
              <w:rPr>
                <w:rFonts w:ascii="Calibri" w:eastAsia="Times New Roman" w:hAnsi="Calibri" w:cs="Calibri"/>
                <w:color w:val="000000"/>
                <w:kern w:val="0"/>
                <w:sz w:val="24"/>
                <w:szCs w:val="24"/>
                <w:lang w:eastAsia="en-AU"/>
                <w14:ligatures w14:val="none"/>
              </w:rPr>
            </w:pPr>
            <w:r w:rsidRPr="00620084">
              <w:rPr>
                <w:rFonts w:ascii="Calibri" w:eastAsia="Times New Roman" w:hAnsi="Calibri" w:cs="Calibri"/>
                <w:color w:val="000000"/>
                <w:kern w:val="0"/>
                <w:sz w:val="24"/>
                <w:szCs w:val="24"/>
                <w:lang w:eastAsia="en-AU"/>
                <w14:ligatures w14:val="none"/>
              </w:rPr>
              <w:t>6.32401718</w:t>
            </w:r>
          </w:p>
        </w:tc>
        <w:tc>
          <w:tcPr>
            <w:tcW w:w="1843" w:type="dxa"/>
            <w:tcBorders>
              <w:top w:val="nil"/>
              <w:left w:val="nil"/>
              <w:bottom w:val="single" w:sz="4" w:space="0" w:color="auto"/>
              <w:right w:val="single" w:sz="4" w:space="0" w:color="auto"/>
            </w:tcBorders>
            <w:noWrap/>
            <w:vAlign w:val="bottom"/>
            <w:hideMark/>
          </w:tcPr>
          <w:p w14:paraId="2783A54F" w14:textId="77777777" w:rsidR="00861D94" w:rsidRPr="00620084" w:rsidRDefault="00861D94" w:rsidP="00861D94">
            <w:pPr>
              <w:spacing w:after="0" w:line="240" w:lineRule="auto"/>
              <w:rPr>
                <w:rFonts w:ascii="Calibri" w:eastAsia="Times New Roman" w:hAnsi="Calibri" w:cs="Calibri"/>
                <w:color w:val="000000"/>
                <w:kern w:val="0"/>
                <w:sz w:val="24"/>
                <w:szCs w:val="24"/>
                <w:lang w:eastAsia="en-AU"/>
                <w14:ligatures w14:val="none"/>
              </w:rPr>
            </w:pPr>
            <w:r w:rsidRPr="00620084">
              <w:rPr>
                <w:rFonts w:ascii="Calibri" w:eastAsia="Times New Roman" w:hAnsi="Calibri" w:cs="Calibri"/>
                <w:color w:val="000000"/>
                <w:kern w:val="0"/>
                <w:sz w:val="24"/>
                <w:szCs w:val="24"/>
                <w:lang w:eastAsia="en-AU"/>
                <w14:ligatures w14:val="none"/>
              </w:rPr>
              <w:t>0</w:t>
            </w:r>
          </w:p>
        </w:tc>
        <w:tc>
          <w:tcPr>
            <w:tcW w:w="1842" w:type="dxa"/>
            <w:tcBorders>
              <w:top w:val="nil"/>
              <w:left w:val="nil"/>
              <w:bottom w:val="single" w:sz="4" w:space="0" w:color="auto"/>
              <w:right w:val="single" w:sz="4" w:space="0" w:color="auto"/>
            </w:tcBorders>
            <w:noWrap/>
            <w:vAlign w:val="bottom"/>
            <w:hideMark/>
          </w:tcPr>
          <w:p w14:paraId="00698452" w14:textId="77777777" w:rsidR="00861D94" w:rsidRPr="00620084" w:rsidRDefault="00861D94" w:rsidP="00861D94">
            <w:pPr>
              <w:spacing w:after="0" w:line="240" w:lineRule="auto"/>
              <w:rPr>
                <w:rFonts w:ascii="Calibri" w:eastAsia="Times New Roman" w:hAnsi="Calibri" w:cs="Calibri"/>
                <w:color w:val="000000"/>
                <w:kern w:val="0"/>
                <w:sz w:val="24"/>
                <w:szCs w:val="24"/>
                <w:lang w:eastAsia="en-AU"/>
                <w14:ligatures w14:val="none"/>
              </w:rPr>
            </w:pPr>
            <w:r w:rsidRPr="00620084">
              <w:rPr>
                <w:rFonts w:ascii="Calibri" w:eastAsia="Times New Roman" w:hAnsi="Calibri" w:cs="Calibri"/>
                <w:color w:val="000000"/>
                <w:kern w:val="0"/>
                <w:sz w:val="24"/>
                <w:szCs w:val="24"/>
                <w:lang w:eastAsia="en-AU"/>
                <w14:ligatures w14:val="none"/>
              </w:rPr>
              <w:t>0</w:t>
            </w:r>
          </w:p>
        </w:tc>
      </w:tr>
      <w:tr w:rsidR="00861D94" w:rsidRPr="00620084" w14:paraId="5C61C5DD" w14:textId="77777777" w:rsidTr="00861D94">
        <w:trPr>
          <w:trHeight w:val="312"/>
        </w:trPr>
        <w:tc>
          <w:tcPr>
            <w:tcW w:w="2263" w:type="dxa"/>
            <w:tcBorders>
              <w:top w:val="nil"/>
              <w:left w:val="single" w:sz="4" w:space="0" w:color="auto"/>
              <w:bottom w:val="single" w:sz="4" w:space="0" w:color="auto"/>
              <w:right w:val="single" w:sz="4" w:space="0" w:color="auto"/>
            </w:tcBorders>
            <w:noWrap/>
            <w:vAlign w:val="bottom"/>
            <w:hideMark/>
          </w:tcPr>
          <w:p w14:paraId="5DB7F2DE" w14:textId="77777777" w:rsidR="00861D94" w:rsidRPr="00620084" w:rsidRDefault="00861D94" w:rsidP="00861D94">
            <w:pPr>
              <w:spacing w:after="0" w:line="240" w:lineRule="auto"/>
              <w:rPr>
                <w:rFonts w:ascii="Calibri" w:eastAsia="Times New Roman" w:hAnsi="Calibri" w:cs="Calibri"/>
                <w:color w:val="000000"/>
                <w:kern w:val="0"/>
                <w:sz w:val="24"/>
                <w:szCs w:val="24"/>
                <w:lang w:eastAsia="en-AU"/>
                <w14:ligatures w14:val="none"/>
              </w:rPr>
            </w:pPr>
            <w:r w:rsidRPr="00620084">
              <w:rPr>
                <w:rFonts w:ascii="Calibri" w:eastAsia="Times New Roman" w:hAnsi="Calibri" w:cs="Calibri"/>
                <w:color w:val="000000"/>
                <w:kern w:val="0"/>
                <w:sz w:val="24"/>
                <w:szCs w:val="24"/>
                <w:lang w:eastAsia="en-AU"/>
                <w14:ligatures w14:val="none"/>
              </w:rPr>
              <w:t>Fire severity</w:t>
            </w:r>
          </w:p>
        </w:tc>
        <w:tc>
          <w:tcPr>
            <w:tcW w:w="1560" w:type="dxa"/>
            <w:tcBorders>
              <w:top w:val="nil"/>
              <w:left w:val="nil"/>
              <w:bottom w:val="single" w:sz="4" w:space="0" w:color="auto"/>
              <w:right w:val="single" w:sz="4" w:space="0" w:color="auto"/>
            </w:tcBorders>
            <w:noWrap/>
            <w:vAlign w:val="bottom"/>
            <w:hideMark/>
          </w:tcPr>
          <w:p w14:paraId="74ED12AD" w14:textId="77777777" w:rsidR="00861D94" w:rsidRPr="00620084" w:rsidRDefault="00861D94" w:rsidP="00861D94">
            <w:pPr>
              <w:spacing w:after="0" w:line="240" w:lineRule="auto"/>
              <w:rPr>
                <w:rFonts w:ascii="Calibri" w:eastAsia="Times New Roman" w:hAnsi="Calibri" w:cs="Calibri"/>
                <w:color w:val="000000"/>
                <w:kern w:val="0"/>
                <w:sz w:val="24"/>
                <w:szCs w:val="24"/>
                <w:lang w:eastAsia="en-AU"/>
                <w14:ligatures w14:val="none"/>
              </w:rPr>
            </w:pPr>
            <w:r w:rsidRPr="00620084">
              <w:rPr>
                <w:rFonts w:ascii="Calibri" w:eastAsia="Times New Roman" w:hAnsi="Calibri" w:cs="Calibri"/>
                <w:color w:val="000000"/>
                <w:kern w:val="0"/>
                <w:sz w:val="24"/>
                <w:szCs w:val="24"/>
                <w:lang w:eastAsia="en-AU"/>
                <w14:ligatures w14:val="none"/>
              </w:rPr>
              <w:t>406.5018625</w:t>
            </w:r>
          </w:p>
        </w:tc>
        <w:tc>
          <w:tcPr>
            <w:tcW w:w="1559" w:type="dxa"/>
            <w:tcBorders>
              <w:top w:val="nil"/>
              <w:left w:val="nil"/>
              <w:bottom w:val="single" w:sz="4" w:space="0" w:color="auto"/>
              <w:right w:val="single" w:sz="4" w:space="0" w:color="auto"/>
            </w:tcBorders>
            <w:noWrap/>
            <w:vAlign w:val="bottom"/>
            <w:hideMark/>
          </w:tcPr>
          <w:p w14:paraId="45F2637E" w14:textId="77777777" w:rsidR="00861D94" w:rsidRPr="00620084" w:rsidRDefault="00861D94" w:rsidP="00861D94">
            <w:pPr>
              <w:spacing w:after="0" w:line="240" w:lineRule="auto"/>
              <w:rPr>
                <w:rFonts w:ascii="Calibri" w:eastAsia="Times New Roman" w:hAnsi="Calibri" w:cs="Calibri"/>
                <w:color w:val="000000"/>
                <w:kern w:val="0"/>
                <w:sz w:val="24"/>
                <w:szCs w:val="24"/>
                <w:lang w:eastAsia="en-AU"/>
                <w14:ligatures w14:val="none"/>
              </w:rPr>
            </w:pPr>
            <w:r w:rsidRPr="00620084">
              <w:rPr>
                <w:rFonts w:ascii="Calibri" w:eastAsia="Times New Roman" w:hAnsi="Calibri" w:cs="Calibri"/>
                <w:color w:val="000000"/>
                <w:kern w:val="0"/>
                <w:sz w:val="24"/>
                <w:szCs w:val="24"/>
                <w:lang w:eastAsia="en-AU"/>
                <w14:ligatures w14:val="none"/>
              </w:rPr>
              <w:t>6.425215726</w:t>
            </w:r>
          </w:p>
        </w:tc>
        <w:tc>
          <w:tcPr>
            <w:tcW w:w="1843" w:type="dxa"/>
            <w:tcBorders>
              <w:top w:val="nil"/>
              <w:left w:val="nil"/>
              <w:bottom w:val="single" w:sz="4" w:space="0" w:color="auto"/>
              <w:right w:val="single" w:sz="4" w:space="0" w:color="auto"/>
            </w:tcBorders>
            <w:noWrap/>
            <w:vAlign w:val="bottom"/>
            <w:hideMark/>
          </w:tcPr>
          <w:p w14:paraId="7EDFC14B" w14:textId="77777777" w:rsidR="00861D94" w:rsidRPr="00620084" w:rsidRDefault="00861D94" w:rsidP="00861D94">
            <w:pPr>
              <w:spacing w:after="0" w:line="240" w:lineRule="auto"/>
              <w:rPr>
                <w:rFonts w:ascii="Calibri" w:eastAsia="Times New Roman" w:hAnsi="Calibri" w:cs="Calibri"/>
                <w:color w:val="000000"/>
                <w:kern w:val="0"/>
                <w:sz w:val="24"/>
                <w:szCs w:val="24"/>
                <w:lang w:eastAsia="en-AU"/>
                <w14:ligatures w14:val="none"/>
              </w:rPr>
            </w:pPr>
            <w:r w:rsidRPr="00620084">
              <w:rPr>
                <w:rFonts w:ascii="Calibri" w:eastAsia="Times New Roman" w:hAnsi="Calibri" w:cs="Calibri"/>
                <w:color w:val="000000"/>
                <w:kern w:val="0"/>
                <w:sz w:val="24"/>
                <w:szCs w:val="24"/>
                <w:lang w:eastAsia="en-AU"/>
                <w14:ligatures w14:val="none"/>
              </w:rPr>
              <w:t>-0.08628616</w:t>
            </w:r>
          </w:p>
        </w:tc>
        <w:tc>
          <w:tcPr>
            <w:tcW w:w="1842" w:type="dxa"/>
            <w:tcBorders>
              <w:top w:val="nil"/>
              <w:left w:val="nil"/>
              <w:bottom w:val="single" w:sz="4" w:space="0" w:color="auto"/>
              <w:right w:val="single" w:sz="4" w:space="0" w:color="auto"/>
            </w:tcBorders>
            <w:noWrap/>
            <w:vAlign w:val="bottom"/>
            <w:hideMark/>
          </w:tcPr>
          <w:p w14:paraId="6907695B" w14:textId="77777777" w:rsidR="00861D94" w:rsidRPr="00620084" w:rsidRDefault="00861D94" w:rsidP="00861D94">
            <w:pPr>
              <w:spacing w:after="0" w:line="240" w:lineRule="auto"/>
              <w:rPr>
                <w:rFonts w:ascii="Calibri" w:eastAsia="Times New Roman" w:hAnsi="Calibri" w:cs="Calibri"/>
                <w:color w:val="000000"/>
                <w:kern w:val="0"/>
                <w:sz w:val="24"/>
                <w:szCs w:val="24"/>
                <w:lang w:eastAsia="en-AU"/>
                <w14:ligatures w14:val="none"/>
              </w:rPr>
            </w:pPr>
            <w:r w:rsidRPr="00620084">
              <w:rPr>
                <w:rFonts w:ascii="Calibri" w:eastAsia="Times New Roman" w:hAnsi="Calibri" w:cs="Calibri"/>
                <w:color w:val="000000"/>
                <w:kern w:val="0"/>
                <w:sz w:val="24"/>
                <w:szCs w:val="24"/>
                <w:lang w:eastAsia="en-AU"/>
                <w14:ligatures w14:val="none"/>
              </w:rPr>
              <w:t>0.316123631</w:t>
            </w:r>
          </w:p>
        </w:tc>
      </w:tr>
    </w:tbl>
    <w:p w14:paraId="4AC71DC4" w14:textId="77777777" w:rsidR="004B5BE5" w:rsidRPr="00620084" w:rsidRDefault="004B5BE5" w:rsidP="00243FB2">
      <w:pPr>
        <w:rPr>
          <w:rFonts w:ascii="Calibri" w:hAnsi="Calibri" w:cs="Calibri"/>
          <w:sz w:val="24"/>
          <w:szCs w:val="24"/>
        </w:rPr>
      </w:pPr>
    </w:p>
    <w:p w14:paraId="1D2444D9" w14:textId="50849D50" w:rsidR="00243FB2" w:rsidRPr="00620084" w:rsidRDefault="00243FB2" w:rsidP="00243FB2">
      <w:pPr>
        <w:rPr>
          <w:rFonts w:ascii="Calibri" w:hAnsi="Calibri" w:cs="Calibri"/>
          <w:sz w:val="24"/>
          <w:szCs w:val="24"/>
        </w:rPr>
      </w:pPr>
      <w:r w:rsidRPr="00620084">
        <w:rPr>
          <w:rFonts w:ascii="Calibri" w:hAnsi="Calibri" w:cs="Calibri"/>
          <w:sz w:val="24"/>
          <w:szCs w:val="24"/>
        </w:rPr>
        <w:t>Table S</w:t>
      </w:r>
      <w:r w:rsidR="004B5BE5" w:rsidRPr="00620084">
        <w:rPr>
          <w:rFonts w:ascii="Calibri" w:hAnsi="Calibri" w:cs="Calibri"/>
          <w:sz w:val="24"/>
          <w:szCs w:val="24"/>
        </w:rPr>
        <w:t>2</w:t>
      </w:r>
      <w:r w:rsidRPr="00620084">
        <w:rPr>
          <w:rFonts w:ascii="Calibri" w:hAnsi="Calibri" w:cs="Calibri"/>
          <w:sz w:val="24"/>
          <w:szCs w:val="24"/>
        </w:rPr>
        <w:t>: Posterior contrasts from posterior predictions of the Bayesian Poisson mixed-effects model of common wombat (</w:t>
      </w:r>
      <w:r w:rsidRPr="00620084">
        <w:rPr>
          <w:rFonts w:ascii="Calibri" w:hAnsi="Calibri" w:cs="Calibri"/>
          <w:i/>
          <w:iCs/>
          <w:sz w:val="24"/>
          <w:szCs w:val="24"/>
        </w:rPr>
        <w:t>Vombatus ursinus</w:t>
      </w:r>
      <w:r w:rsidRPr="00620084">
        <w:rPr>
          <w:rFonts w:ascii="Calibri" w:hAnsi="Calibri" w:cs="Calibri"/>
          <w:sz w:val="24"/>
          <w:szCs w:val="24"/>
        </w:rPr>
        <w:t>) relative abundance (30-minute independent detection events). These contrasts compare burnt and unburnt areas within burrow and non-burrow sites, differences between burrow and non-burrow sites within each fire category, and the difference in the fire effect between site types. Predictions were generated with continuous covariates held at their mean values, and random effects excluded. Estimates are on the response scale and represent differences in expected relative abundance per trap-day.</w:t>
      </w:r>
    </w:p>
    <w:tbl>
      <w:tblPr>
        <w:tblW w:w="0" w:type="auto"/>
        <w:tblCellMar>
          <w:top w:w="15" w:type="dxa"/>
          <w:left w:w="15" w:type="dxa"/>
          <w:bottom w:w="15" w:type="dxa"/>
          <w:right w:w="15" w:type="dxa"/>
        </w:tblCellMar>
        <w:tblLook w:val="04A0" w:firstRow="1" w:lastRow="0" w:firstColumn="1" w:lastColumn="0" w:noHBand="0" w:noVBand="1"/>
      </w:tblPr>
      <w:tblGrid>
        <w:gridCol w:w="4793"/>
        <w:gridCol w:w="1550"/>
        <w:gridCol w:w="1113"/>
        <w:gridCol w:w="1550"/>
      </w:tblGrid>
      <w:tr w:rsidR="00243FB2" w:rsidRPr="00620084" w14:paraId="51269EBD" w14:textId="77777777">
        <w:trPr>
          <w:trHeight w:val="28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1371EEDC"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Contrast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14E51FFA"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Estimate</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35087A2F"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l-89% CI</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2144380A"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u-89% CI</w:t>
            </w:r>
          </w:p>
        </w:tc>
      </w:tr>
      <w:tr w:rsidR="00243FB2" w:rsidRPr="00620084" w14:paraId="0DE3C76B" w14:textId="77777777">
        <w:trPr>
          <w:trHeight w:val="28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51A4A0F6"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Non-burrow: Burnt vs Unburnt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33BFD137"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-0.030815419</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60C9E845"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-0.11647</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3CE08F3C"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0.050484275</w:t>
            </w:r>
          </w:p>
        </w:tc>
      </w:tr>
      <w:tr w:rsidR="00243FB2" w:rsidRPr="00620084" w14:paraId="5337D8B6" w14:textId="77777777">
        <w:trPr>
          <w:trHeight w:val="28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76660672"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Burrow: Burnt vs Unburnt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4312348E"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-0.142152845</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2C771037"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-0.27649</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6EB5E5A5"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-0.026718574</w:t>
            </w:r>
          </w:p>
        </w:tc>
      </w:tr>
      <w:tr w:rsidR="00243FB2" w:rsidRPr="00620084" w14:paraId="25525ECC" w14:textId="77777777">
        <w:trPr>
          <w:trHeight w:val="28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20819C01"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 xml:space="preserve">Unburnt: Burrow vs </w:t>
            </w:r>
            <w:proofErr w:type="gramStart"/>
            <w:r w:rsidRPr="00620084">
              <w:rPr>
                <w:rFonts w:ascii="Calibri" w:hAnsi="Calibri" w:cs="Calibri"/>
                <w:sz w:val="24"/>
                <w:szCs w:val="24"/>
              </w:rPr>
              <w:t>Non-burrow</w:t>
            </w:r>
            <w:proofErr w:type="gramEnd"/>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274A9CB2"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0.111216682</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746A1354"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0.011106</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24748656"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0.229521271</w:t>
            </w:r>
          </w:p>
        </w:tc>
      </w:tr>
      <w:tr w:rsidR="00243FB2" w:rsidRPr="00620084" w14:paraId="2D0FA6CB" w14:textId="77777777">
        <w:trPr>
          <w:trHeight w:val="28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640B6B82"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 xml:space="preserve">Burnt: Burrow vs </w:t>
            </w:r>
            <w:proofErr w:type="gramStart"/>
            <w:r w:rsidRPr="00620084">
              <w:rPr>
                <w:rFonts w:ascii="Calibri" w:hAnsi="Calibri" w:cs="Calibri"/>
                <w:sz w:val="24"/>
                <w:szCs w:val="24"/>
              </w:rPr>
              <w:t>Non-burrow</w:t>
            </w:r>
            <w:proofErr w:type="gramEnd"/>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25284B4C"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-0.000120744</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15DD59C2"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-0.05846</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67C93553"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0.058473013</w:t>
            </w:r>
          </w:p>
        </w:tc>
      </w:tr>
      <w:tr w:rsidR="00243FB2" w:rsidRPr="00620084" w14:paraId="61A92071" w14:textId="77777777">
        <w:trPr>
          <w:trHeight w:val="28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4C7E73F7"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 xml:space="preserve">Difference in fire effect (Burrow vs </w:t>
            </w:r>
            <w:proofErr w:type="gramStart"/>
            <w:r w:rsidRPr="00620084">
              <w:rPr>
                <w:rFonts w:ascii="Calibri" w:hAnsi="Calibri" w:cs="Calibri"/>
                <w:sz w:val="24"/>
                <w:szCs w:val="24"/>
              </w:rPr>
              <w:t>Non-burrow</w:t>
            </w:r>
            <w:proofErr w:type="gramEnd"/>
            <w:r w:rsidRPr="00620084">
              <w:rPr>
                <w:rFonts w:ascii="Calibri" w:hAnsi="Calibri" w:cs="Calibri"/>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2A33A9BE"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-0.111337426</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1B039DCA"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-0.24629</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74C917F6"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0.006517695</w:t>
            </w:r>
          </w:p>
        </w:tc>
      </w:tr>
    </w:tbl>
    <w:p w14:paraId="304E746E"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 </w:t>
      </w:r>
    </w:p>
    <w:p w14:paraId="4CD57095" w14:textId="0B008FA6" w:rsidR="00243FB2" w:rsidRPr="00620084" w:rsidRDefault="00243FB2" w:rsidP="00243FB2">
      <w:pPr>
        <w:rPr>
          <w:rFonts w:ascii="Calibri" w:hAnsi="Calibri" w:cs="Calibri"/>
          <w:sz w:val="24"/>
          <w:szCs w:val="24"/>
        </w:rPr>
      </w:pPr>
      <w:r w:rsidRPr="00620084">
        <w:rPr>
          <w:rFonts w:ascii="Calibri" w:hAnsi="Calibri" w:cs="Calibri"/>
          <w:sz w:val="24"/>
          <w:szCs w:val="24"/>
        </w:rPr>
        <w:t>Table S</w:t>
      </w:r>
      <w:r w:rsidR="004B5BE5" w:rsidRPr="00620084">
        <w:rPr>
          <w:rFonts w:ascii="Calibri" w:hAnsi="Calibri" w:cs="Calibri"/>
          <w:sz w:val="24"/>
          <w:szCs w:val="24"/>
        </w:rPr>
        <w:t>3</w:t>
      </w:r>
      <w:r w:rsidRPr="00620084">
        <w:rPr>
          <w:rFonts w:ascii="Calibri" w:hAnsi="Calibri" w:cs="Calibri"/>
          <w:sz w:val="24"/>
          <w:szCs w:val="24"/>
        </w:rPr>
        <w:t>: Posterior summaries of the raw fixed effects from the Bayesian Poisson mixed-effects model of common wombat (</w:t>
      </w:r>
      <w:r w:rsidRPr="00620084">
        <w:rPr>
          <w:rFonts w:ascii="Calibri" w:hAnsi="Calibri" w:cs="Calibri"/>
          <w:i/>
          <w:iCs/>
          <w:sz w:val="24"/>
          <w:szCs w:val="24"/>
        </w:rPr>
        <w:t>Vombatus ursinus</w:t>
      </w:r>
      <w:r w:rsidRPr="00620084">
        <w:rPr>
          <w:rFonts w:ascii="Calibri" w:hAnsi="Calibri" w:cs="Calibri"/>
          <w:sz w:val="24"/>
          <w:szCs w:val="24"/>
        </w:rPr>
        <w:t>) relative abundance (30-minute independent detection events). Estimates are on the log scale, with unburnt non-burrow sites as the reference category. The model included site type, fire category, their interaction, and scaled environmental covariates.</w:t>
      </w:r>
    </w:p>
    <w:tbl>
      <w:tblPr>
        <w:tblW w:w="0" w:type="auto"/>
        <w:tblCellMar>
          <w:top w:w="15" w:type="dxa"/>
          <w:left w:w="15" w:type="dxa"/>
          <w:bottom w:w="15" w:type="dxa"/>
          <w:right w:w="15" w:type="dxa"/>
        </w:tblCellMar>
        <w:tblLook w:val="04A0" w:firstRow="1" w:lastRow="0" w:firstColumn="1" w:lastColumn="0" w:noHBand="0" w:noVBand="1"/>
      </w:tblPr>
      <w:tblGrid>
        <w:gridCol w:w="1020"/>
        <w:gridCol w:w="1140"/>
        <w:gridCol w:w="1141"/>
        <w:gridCol w:w="1141"/>
        <w:gridCol w:w="1141"/>
        <w:gridCol w:w="1141"/>
        <w:gridCol w:w="1141"/>
        <w:gridCol w:w="1141"/>
      </w:tblGrid>
      <w:tr w:rsidR="00243FB2" w:rsidRPr="00620084" w14:paraId="72A0474C" w14:textId="77777777">
        <w:trPr>
          <w:trHeight w:val="28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334CEF0D"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Parameter</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297BA748"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Estimate</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07CD3BAB" w14:textId="77777777" w:rsidR="00243FB2" w:rsidRPr="00620084" w:rsidRDefault="00243FB2" w:rsidP="00243FB2">
            <w:pPr>
              <w:rPr>
                <w:rFonts w:ascii="Calibri" w:hAnsi="Calibri" w:cs="Calibri"/>
                <w:sz w:val="24"/>
                <w:szCs w:val="24"/>
              </w:rPr>
            </w:pPr>
            <w:proofErr w:type="spellStart"/>
            <w:r w:rsidRPr="00620084">
              <w:rPr>
                <w:rFonts w:ascii="Calibri" w:hAnsi="Calibri" w:cs="Calibri"/>
                <w:sz w:val="24"/>
                <w:szCs w:val="24"/>
              </w:rPr>
              <w:t>Est.Error</w:t>
            </w:r>
            <w:proofErr w:type="spellEnd"/>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6776BFAC"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l-89% CI</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51A41E4C"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u-89% CI</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202B2A45" w14:textId="77777777" w:rsidR="00243FB2" w:rsidRPr="00620084" w:rsidRDefault="00243FB2" w:rsidP="00243FB2">
            <w:pPr>
              <w:rPr>
                <w:rFonts w:ascii="Calibri" w:hAnsi="Calibri" w:cs="Calibri"/>
                <w:sz w:val="24"/>
                <w:szCs w:val="24"/>
              </w:rPr>
            </w:pPr>
            <w:proofErr w:type="spellStart"/>
            <w:r w:rsidRPr="00620084">
              <w:rPr>
                <w:rFonts w:ascii="Calibri" w:hAnsi="Calibri" w:cs="Calibri"/>
                <w:sz w:val="24"/>
                <w:szCs w:val="24"/>
              </w:rPr>
              <w:t>Rhat</w:t>
            </w:r>
            <w:proofErr w:type="spellEnd"/>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330158AF" w14:textId="77777777" w:rsidR="00243FB2" w:rsidRPr="00620084" w:rsidRDefault="00243FB2" w:rsidP="00243FB2">
            <w:pPr>
              <w:rPr>
                <w:rFonts w:ascii="Calibri" w:hAnsi="Calibri" w:cs="Calibri"/>
                <w:sz w:val="24"/>
                <w:szCs w:val="24"/>
              </w:rPr>
            </w:pPr>
            <w:proofErr w:type="spellStart"/>
            <w:r w:rsidRPr="00620084">
              <w:rPr>
                <w:rFonts w:ascii="Calibri" w:hAnsi="Calibri" w:cs="Calibri"/>
                <w:sz w:val="24"/>
                <w:szCs w:val="24"/>
              </w:rPr>
              <w:t>Bulk_ESS</w:t>
            </w:r>
            <w:proofErr w:type="spellEnd"/>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55B3ED37"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Tail_ESS</w:t>
            </w:r>
          </w:p>
        </w:tc>
      </w:tr>
      <w:tr w:rsidR="00243FB2" w:rsidRPr="00620084" w14:paraId="45D23D93" w14:textId="77777777">
        <w:trPr>
          <w:trHeight w:val="28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09DC132B"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lastRenderedPageBreak/>
              <w:t>Intercept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5AD8031B"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-2.018981642</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2BFBFC46"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0.283168043</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7D09DE9F"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-2.469273994</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7EAE67C1"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-1.569729165</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03CF49D5"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1.002291042</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42502774"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4972.991808</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18065407"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5210.875889</w:t>
            </w:r>
          </w:p>
        </w:tc>
      </w:tr>
      <w:tr w:rsidR="00243FB2" w:rsidRPr="00620084" w14:paraId="1F4CD23C" w14:textId="77777777">
        <w:trPr>
          <w:trHeight w:val="28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2D91109D"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Site type: burrow</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31371334"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0.5929497</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28E88643"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0.336353198</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7B73800B"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0.06053441</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19041FAF"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1.128636432</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4E402F73"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1.000317095</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0F69356F"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4396.209309</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523390F4"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5004.548513</w:t>
            </w:r>
          </w:p>
        </w:tc>
      </w:tr>
      <w:tr w:rsidR="00243FB2" w:rsidRPr="00620084" w14:paraId="2F039D71" w14:textId="77777777">
        <w:trPr>
          <w:trHeight w:val="28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612A095C"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 xml:space="preserve">Fire </w:t>
            </w:r>
            <w:proofErr w:type="gramStart"/>
            <w:r w:rsidRPr="00620084">
              <w:rPr>
                <w:rFonts w:ascii="Calibri" w:hAnsi="Calibri" w:cs="Calibri"/>
                <w:sz w:val="24"/>
                <w:szCs w:val="24"/>
              </w:rPr>
              <w:t>category:</w:t>
            </w:r>
            <w:proofErr w:type="gramEnd"/>
            <w:r w:rsidRPr="00620084">
              <w:rPr>
                <w:rFonts w:ascii="Calibri" w:hAnsi="Calibri" w:cs="Calibri"/>
                <w:sz w:val="24"/>
                <w:szCs w:val="24"/>
              </w:rPr>
              <w:t xml:space="preserve"> burnt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24B5E5CA"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-0.249059737</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713D4847"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0.414397508</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570ABA16"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-0.916659781</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5191C637"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0.414456524</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606E1F38"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1.001296107</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7BB08F1E"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4603.869753</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3F6F61B1"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5161.538742</w:t>
            </w:r>
          </w:p>
        </w:tc>
      </w:tr>
      <w:tr w:rsidR="00243FB2" w:rsidRPr="00620084" w14:paraId="772AA127" w14:textId="77777777">
        <w:trPr>
          <w:trHeight w:val="28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38BBBF3C"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NDVI</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15A429B4"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-0.147964283</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55E0AE1D"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0.159309684</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27847291"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-0.403343097</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1F2BEAF6"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0.110816349</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72E1A160"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1.001593242</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54F8E10D"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5515.117815</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6ADE8F41"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5999.236005</w:t>
            </w:r>
          </w:p>
        </w:tc>
      </w:tr>
      <w:tr w:rsidR="00243FB2" w:rsidRPr="00620084" w14:paraId="2B0562E4" w14:textId="77777777">
        <w:trPr>
          <w:trHeight w:val="28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39754EC7"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Terrain ruggedness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645BFAA3"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0.116778177</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37AB30F5"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0.162176874</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3D81F681"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-0.140979106</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3DDA81FD"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0.379047715</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02B9998F"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1.00065535</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2544C3D7"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5664.002362</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5A19CE1F"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5601.958287</w:t>
            </w:r>
          </w:p>
        </w:tc>
      </w:tr>
      <w:tr w:rsidR="00243FB2" w:rsidRPr="00620084" w14:paraId="65D949D8" w14:textId="77777777">
        <w:trPr>
          <w:trHeight w:val="28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08AF8053"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Elevation</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4FDAAC2B"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0.243500397</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130BDA6C"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0.162005015</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48C70AD2"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-0.012564483</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16F6ECDD"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0.500792596</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19E99435"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1.000546174</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30E77864"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6311.0036</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3B026494"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5564.240566</w:t>
            </w:r>
          </w:p>
        </w:tc>
      </w:tr>
      <w:tr w:rsidR="00243FB2" w:rsidRPr="00620084" w14:paraId="6C10CAD6" w14:textId="77777777">
        <w:trPr>
          <w:trHeight w:val="55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5BF2D9A1"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Site type x fire category: burrow x burnt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0E93E07D"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-0.598087996</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5A17DD92"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0.47853764</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609C12CA"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-1.369770797</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5E89A6AC"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0.158443592</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61CC05C6"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1.000392527</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6B066F58"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3731.322504</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70EA6AD1"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4863.42954</w:t>
            </w:r>
          </w:p>
        </w:tc>
      </w:tr>
    </w:tbl>
    <w:p w14:paraId="5B4257C5" w14:textId="77777777" w:rsidR="00243FB2" w:rsidRPr="00620084" w:rsidRDefault="00243FB2" w:rsidP="00243FB2">
      <w:pPr>
        <w:rPr>
          <w:rFonts w:ascii="Calibri" w:hAnsi="Calibri" w:cs="Calibri"/>
          <w:sz w:val="24"/>
          <w:szCs w:val="24"/>
        </w:rPr>
      </w:pPr>
    </w:p>
    <w:p w14:paraId="1B2E0D4A" w14:textId="4D02D74B" w:rsidR="00243FB2" w:rsidRPr="00620084" w:rsidRDefault="00861D94" w:rsidP="00243FB2">
      <w:pPr>
        <w:rPr>
          <w:rFonts w:ascii="Calibri" w:hAnsi="Calibri" w:cs="Calibri"/>
          <w:sz w:val="24"/>
          <w:szCs w:val="24"/>
        </w:rPr>
      </w:pPr>
      <w:r w:rsidRPr="00620084">
        <w:rPr>
          <w:rFonts w:ascii="Calibri" w:hAnsi="Calibri" w:cs="Calibri"/>
          <w:sz w:val="24"/>
          <w:szCs w:val="24"/>
        </w:rPr>
        <w:t xml:space="preserve">Table S4: Posterior contrasts derived from predicted hourly detection probabilities from the Bayesian generalised additive mixed models (GAMMs) of common wombat (Vombatus ursinus). </w:t>
      </w:r>
      <w:r w:rsidR="00243FB2" w:rsidRPr="00620084">
        <w:rPr>
          <w:rFonts w:ascii="Calibri" w:hAnsi="Calibri" w:cs="Calibri"/>
          <w:sz w:val="24"/>
          <w:szCs w:val="24"/>
        </w:rPr>
        <w:t>These contrasts compare burnt and unburnt areas within burrow and non-burrow sites, differences between burrow and non-burrow sites within each fire category, and the difference in the fire effect between site types. Contrasts were calculated from posterior predictions and are on the response scale, representing average differences in predicted hourly detection probability across the diel cycle.</w:t>
      </w:r>
    </w:p>
    <w:tbl>
      <w:tblPr>
        <w:tblW w:w="0" w:type="auto"/>
        <w:tblCellMar>
          <w:top w:w="15" w:type="dxa"/>
          <w:left w:w="15" w:type="dxa"/>
          <w:bottom w:w="15" w:type="dxa"/>
          <w:right w:w="15" w:type="dxa"/>
        </w:tblCellMar>
        <w:tblLook w:val="04A0" w:firstRow="1" w:lastRow="0" w:firstColumn="1" w:lastColumn="0" w:noHBand="0" w:noVBand="1"/>
      </w:tblPr>
      <w:tblGrid>
        <w:gridCol w:w="4380"/>
        <w:gridCol w:w="1542"/>
        <w:gridCol w:w="1542"/>
        <w:gridCol w:w="1542"/>
      </w:tblGrid>
      <w:tr w:rsidR="00243FB2" w:rsidRPr="00620084" w14:paraId="2A2B03B6" w14:textId="77777777">
        <w:trPr>
          <w:trHeight w:val="28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50C098DD"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Contrast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07B52CFB"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Estimate</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4C8B52BA"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l-89% CI</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17F19698"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u-89% CI</w:t>
            </w:r>
          </w:p>
        </w:tc>
      </w:tr>
      <w:tr w:rsidR="00243FB2" w:rsidRPr="00620084" w14:paraId="437B5531" w14:textId="77777777">
        <w:trPr>
          <w:trHeight w:val="28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4F3A2353"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Non-burrow: Burnt vs Unburnt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046A0890"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-0.000946415</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72D734E1"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-0.006856275</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4514A143"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0.004924427</w:t>
            </w:r>
          </w:p>
        </w:tc>
      </w:tr>
      <w:tr w:rsidR="00243FB2" w:rsidRPr="00620084" w14:paraId="5B934D73" w14:textId="77777777">
        <w:trPr>
          <w:trHeight w:val="28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6D800813"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lastRenderedPageBreak/>
              <w:t>Burrow: Burnt vs Unburnt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63C2A17C"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-0.00937814</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3CB9F122"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-0.015609643</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44646C15"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-0.00274215</w:t>
            </w:r>
          </w:p>
        </w:tc>
      </w:tr>
      <w:tr w:rsidR="00243FB2" w:rsidRPr="00620084" w14:paraId="07C4DCA6" w14:textId="77777777">
        <w:trPr>
          <w:trHeight w:val="28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3D0F1D3A"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 xml:space="preserve">Unburnt: Burrow vs </w:t>
            </w:r>
            <w:proofErr w:type="gramStart"/>
            <w:r w:rsidRPr="00620084">
              <w:rPr>
                <w:rFonts w:ascii="Calibri" w:hAnsi="Calibri" w:cs="Calibri"/>
                <w:sz w:val="24"/>
                <w:szCs w:val="24"/>
              </w:rPr>
              <w:t>Non-burrow</w:t>
            </w:r>
            <w:proofErr w:type="gramEnd"/>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07E11BDB"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0.011419973</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61F6559B"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0.006235992</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423F0C3A"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0.016413784</w:t>
            </w:r>
          </w:p>
        </w:tc>
      </w:tr>
      <w:tr w:rsidR="00243FB2" w:rsidRPr="00620084" w14:paraId="04DD0889" w14:textId="77777777">
        <w:trPr>
          <w:trHeight w:val="28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26517C09"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 xml:space="preserve">Burnt: Burrow vs </w:t>
            </w:r>
            <w:proofErr w:type="gramStart"/>
            <w:r w:rsidRPr="00620084">
              <w:rPr>
                <w:rFonts w:ascii="Calibri" w:hAnsi="Calibri" w:cs="Calibri"/>
                <w:sz w:val="24"/>
                <w:szCs w:val="24"/>
              </w:rPr>
              <w:t>Non-burrow</w:t>
            </w:r>
            <w:proofErr w:type="gramEnd"/>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1F1033CC"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0.002988248</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4B9FDA5F"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-0.001751122</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4E89505E"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0.007744279</w:t>
            </w:r>
          </w:p>
        </w:tc>
      </w:tr>
      <w:tr w:rsidR="00243FB2" w:rsidRPr="00620084" w14:paraId="22728990" w14:textId="77777777">
        <w:trPr>
          <w:trHeight w:val="28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2E9D0FD7"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 xml:space="preserve">Difference in fire effect (Burrow vs </w:t>
            </w:r>
            <w:proofErr w:type="gramStart"/>
            <w:r w:rsidRPr="00620084">
              <w:rPr>
                <w:rFonts w:ascii="Calibri" w:hAnsi="Calibri" w:cs="Calibri"/>
                <w:sz w:val="24"/>
                <w:szCs w:val="24"/>
              </w:rPr>
              <w:t>Non-burrow</w:t>
            </w:r>
            <w:proofErr w:type="gramEnd"/>
            <w:r w:rsidRPr="00620084">
              <w:rPr>
                <w:rFonts w:ascii="Calibri" w:hAnsi="Calibri" w:cs="Calibri"/>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5A757B0D"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-0.008431725</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67FE9AA8"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-0.015458375</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2D7FFF51"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-0.001238483</w:t>
            </w:r>
          </w:p>
        </w:tc>
      </w:tr>
    </w:tbl>
    <w:p w14:paraId="1F142990"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 </w:t>
      </w:r>
    </w:p>
    <w:p w14:paraId="638B4164" w14:textId="79D97F02" w:rsidR="00243FB2" w:rsidRPr="00620084" w:rsidRDefault="00243FB2" w:rsidP="00243FB2">
      <w:pPr>
        <w:rPr>
          <w:rFonts w:ascii="Calibri" w:hAnsi="Calibri" w:cs="Calibri"/>
          <w:sz w:val="24"/>
          <w:szCs w:val="24"/>
        </w:rPr>
      </w:pPr>
      <w:r w:rsidRPr="00620084">
        <w:rPr>
          <w:rFonts w:ascii="Calibri" w:hAnsi="Calibri" w:cs="Calibri"/>
          <w:noProof/>
          <w:sz w:val="24"/>
          <w:szCs w:val="24"/>
        </w:rPr>
        <w:drawing>
          <wp:inline distT="0" distB="0" distL="0" distR="0" wp14:anchorId="215EA99D" wp14:editId="6439D654">
            <wp:extent cx="5731510" cy="4582160"/>
            <wp:effectExtent l="0" t="0" r="2540" b="8890"/>
            <wp:docPr id="75416114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31510" cy="4582160"/>
                    </a:xfrm>
                    <a:prstGeom prst="rect">
                      <a:avLst/>
                    </a:prstGeom>
                    <a:noFill/>
                    <a:ln>
                      <a:noFill/>
                    </a:ln>
                  </pic:spPr>
                </pic:pic>
              </a:graphicData>
            </a:graphic>
          </wp:inline>
        </w:drawing>
      </w:r>
      <w:r w:rsidR="003C55EF" w:rsidRPr="00620084">
        <w:rPr>
          <w:rFonts w:ascii="Calibri" w:hAnsi="Calibri" w:cs="Calibri"/>
          <w:sz w:val="24"/>
          <w:szCs w:val="24"/>
        </w:rPr>
        <w:t>Fig.</w:t>
      </w:r>
      <w:r w:rsidRPr="00620084">
        <w:rPr>
          <w:rFonts w:ascii="Calibri" w:hAnsi="Calibri" w:cs="Calibri"/>
          <w:sz w:val="24"/>
          <w:szCs w:val="24"/>
        </w:rPr>
        <w:t xml:space="preserve"> S1: Differences in predicted hourly detection probability from the Bayesian generalised additive mixed models (GAMMs) for common wombat (</w:t>
      </w:r>
      <w:r w:rsidRPr="00620084">
        <w:rPr>
          <w:rFonts w:ascii="Calibri" w:hAnsi="Calibri" w:cs="Calibri"/>
          <w:i/>
          <w:iCs/>
          <w:sz w:val="24"/>
          <w:szCs w:val="24"/>
        </w:rPr>
        <w:t>Vombatus ursinus</w:t>
      </w:r>
      <w:r w:rsidRPr="00620084">
        <w:rPr>
          <w:rFonts w:ascii="Calibri" w:hAnsi="Calibri" w:cs="Calibri"/>
          <w:sz w:val="24"/>
          <w:szCs w:val="24"/>
        </w:rPr>
        <w:t>), comparing burnt and unburnt areas at burrow and non-burrow sites during the 2019–2020 wildfires in south-eastern Australia. Smooth curves show the estimated difference in predicted hourly detection probability across solar time, and shaded regions denote 89% credible intervals. Positive values indicate higher predicted hourly detection probability in burnt areas, whereas negative values indicate higher predicted hourly detection probability in unburnt areas.</w:t>
      </w:r>
    </w:p>
    <w:p w14:paraId="70588F7D" w14:textId="77777777" w:rsidR="00243FB2" w:rsidRPr="00620084" w:rsidRDefault="00243FB2" w:rsidP="00243FB2">
      <w:pPr>
        <w:rPr>
          <w:rFonts w:ascii="Calibri" w:hAnsi="Calibri" w:cs="Calibri"/>
          <w:sz w:val="24"/>
          <w:szCs w:val="24"/>
        </w:rPr>
      </w:pPr>
    </w:p>
    <w:p w14:paraId="10859969" w14:textId="573842A7" w:rsidR="00243FB2" w:rsidRPr="00620084" w:rsidRDefault="00243FB2" w:rsidP="00243FB2">
      <w:pPr>
        <w:rPr>
          <w:rFonts w:ascii="Calibri" w:hAnsi="Calibri" w:cs="Calibri"/>
          <w:sz w:val="24"/>
          <w:szCs w:val="24"/>
        </w:rPr>
      </w:pPr>
      <w:r w:rsidRPr="00620084">
        <w:rPr>
          <w:rFonts w:ascii="Calibri" w:hAnsi="Calibri" w:cs="Calibri"/>
          <w:noProof/>
          <w:sz w:val="24"/>
          <w:szCs w:val="24"/>
        </w:rPr>
        <w:lastRenderedPageBreak/>
        <w:drawing>
          <wp:inline distT="0" distB="0" distL="0" distR="0" wp14:anchorId="479DBF81" wp14:editId="5CD7A094">
            <wp:extent cx="5731510" cy="4574540"/>
            <wp:effectExtent l="0" t="0" r="2540" b="0"/>
            <wp:docPr id="7091334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4574540"/>
                    </a:xfrm>
                    <a:prstGeom prst="rect">
                      <a:avLst/>
                    </a:prstGeom>
                    <a:noFill/>
                    <a:ln>
                      <a:noFill/>
                    </a:ln>
                  </pic:spPr>
                </pic:pic>
              </a:graphicData>
            </a:graphic>
          </wp:inline>
        </w:drawing>
      </w:r>
    </w:p>
    <w:p w14:paraId="705B134E" w14:textId="644B57DE" w:rsidR="00243FB2" w:rsidRPr="00620084" w:rsidRDefault="003C55EF" w:rsidP="00243FB2">
      <w:pPr>
        <w:rPr>
          <w:rFonts w:ascii="Calibri" w:hAnsi="Calibri" w:cs="Calibri"/>
          <w:sz w:val="24"/>
          <w:szCs w:val="24"/>
        </w:rPr>
      </w:pPr>
      <w:r w:rsidRPr="00620084">
        <w:rPr>
          <w:rFonts w:ascii="Calibri" w:hAnsi="Calibri" w:cs="Calibri"/>
          <w:sz w:val="24"/>
          <w:szCs w:val="24"/>
        </w:rPr>
        <w:t>Fig.</w:t>
      </w:r>
      <w:r w:rsidR="00243FB2" w:rsidRPr="00620084">
        <w:rPr>
          <w:rFonts w:ascii="Calibri" w:hAnsi="Calibri" w:cs="Calibri"/>
          <w:sz w:val="24"/>
          <w:szCs w:val="24"/>
        </w:rPr>
        <w:t xml:space="preserve"> S2: Predicted diel activity curves from the Bayesian generalised additive mixed models (GAMMs) for common wombat (</w:t>
      </w:r>
      <w:r w:rsidR="00243FB2" w:rsidRPr="00620084">
        <w:rPr>
          <w:rFonts w:ascii="Calibri" w:hAnsi="Calibri" w:cs="Calibri"/>
          <w:i/>
          <w:iCs/>
          <w:sz w:val="24"/>
          <w:szCs w:val="24"/>
        </w:rPr>
        <w:t>Vombatus ursinus</w:t>
      </w:r>
      <w:r w:rsidR="00243FB2" w:rsidRPr="00620084">
        <w:rPr>
          <w:rFonts w:ascii="Calibri" w:hAnsi="Calibri" w:cs="Calibri"/>
          <w:sz w:val="24"/>
          <w:szCs w:val="24"/>
        </w:rPr>
        <w:t>), comparing burrow and non-burrow sites within burnt and unburnt areas during the 2019–2020 wildfires in south-eastern Australia. Smooth curves show predicted hourly detection probability across solar time, and shaded regions denote 89% credible intervals.</w:t>
      </w:r>
    </w:p>
    <w:p w14:paraId="71008015" w14:textId="62C266A6" w:rsidR="00243FB2" w:rsidRPr="00620084" w:rsidRDefault="00243FB2" w:rsidP="00243FB2">
      <w:pPr>
        <w:rPr>
          <w:rFonts w:ascii="Calibri" w:hAnsi="Calibri" w:cs="Calibri"/>
          <w:sz w:val="24"/>
          <w:szCs w:val="24"/>
        </w:rPr>
      </w:pPr>
      <w:r w:rsidRPr="00620084">
        <w:rPr>
          <w:rFonts w:ascii="Calibri" w:hAnsi="Calibri" w:cs="Calibri"/>
          <w:noProof/>
          <w:sz w:val="24"/>
          <w:szCs w:val="24"/>
        </w:rPr>
        <w:lastRenderedPageBreak/>
        <w:drawing>
          <wp:inline distT="0" distB="0" distL="0" distR="0" wp14:anchorId="09C89F0B" wp14:editId="1589CE77">
            <wp:extent cx="5731510" cy="4574540"/>
            <wp:effectExtent l="0" t="0" r="2540" b="0"/>
            <wp:docPr id="189085954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4574540"/>
                    </a:xfrm>
                    <a:prstGeom prst="rect">
                      <a:avLst/>
                    </a:prstGeom>
                    <a:noFill/>
                    <a:ln>
                      <a:noFill/>
                    </a:ln>
                  </pic:spPr>
                </pic:pic>
              </a:graphicData>
            </a:graphic>
          </wp:inline>
        </w:drawing>
      </w:r>
    </w:p>
    <w:p w14:paraId="3B3EA36F" w14:textId="0149CF7C" w:rsidR="00243FB2" w:rsidRPr="00620084" w:rsidRDefault="003C55EF" w:rsidP="00243FB2">
      <w:pPr>
        <w:rPr>
          <w:rFonts w:ascii="Calibri" w:hAnsi="Calibri" w:cs="Calibri"/>
          <w:sz w:val="24"/>
          <w:szCs w:val="24"/>
        </w:rPr>
      </w:pPr>
      <w:r w:rsidRPr="00620084">
        <w:rPr>
          <w:rFonts w:ascii="Calibri" w:hAnsi="Calibri" w:cs="Calibri"/>
          <w:sz w:val="24"/>
          <w:szCs w:val="24"/>
        </w:rPr>
        <w:t>Fig.</w:t>
      </w:r>
      <w:r w:rsidR="00243FB2" w:rsidRPr="00620084">
        <w:rPr>
          <w:rFonts w:ascii="Calibri" w:hAnsi="Calibri" w:cs="Calibri"/>
          <w:sz w:val="24"/>
          <w:szCs w:val="24"/>
        </w:rPr>
        <w:t xml:space="preserve"> S</w:t>
      </w:r>
      <w:r w:rsidR="00861D94" w:rsidRPr="00620084">
        <w:rPr>
          <w:rFonts w:ascii="Calibri" w:hAnsi="Calibri" w:cs="Calibri"/>
          <w:sz w:val="24"/>
          <w:szCs w:val="24"/>
        </w:rPr>
        <w:t>3</w:t>
      </w:r>
      <w:r w:rsidR="00243FB2" w:rsidRPr="00620084">
        <w:rPr>
          <w:rFonts w:ascii="Calibri" w:hAnsi="Calibri" w:cs="Calibri"/>
          <w:sz w:val="24"/>
          <w:szCs w:val="24"/>
        </w:rPr>
        <w:t>: Differences in predicted hourly detection probability from the Bayesian generalised additive mixed models (GAMMs) for common wombat (</w:t>
      </w:r>
      <w:r w:rsidR="00243FB2" w:rsidRPr="00620084">
        <w:rPr>
          <w:rFonts w:ascii="Calibri" w:hAnsi="Calibri" w:cs="Calibri"/>
          <w:i/>
          <w:iCs/>
          <w:sz w:val="24"/>
          <w:szCs w:val="24"/>
        </w:rPr>
        <w:t>Vombatus ursinus</w:t>
      </w:r>
      <w:r w:rsidR="00243FB2" w:rsidRPr="00620084">
        <w:rPr>
          <w:rFonts w:ascii="Calibri" w:hAnsi="Calibri" w:cs="Calibri"/>
          <w:sz w:val="24"/>
          <w:szCs w:val="24"/>
        </w:rPr>
        <w:t>), comparing burrow and non-burrow sites within burnt and unburnt areas during the 2019–2020 wildfires in south-eastern Australia. Smooth curves show the estimated difference in predicted hourly detection probability across solar time, and shaded regions denote 89% credible intervals. Positive values indicate higher predicted hourly detection probability at burrow sites, whereas negative values indicate higher predicted hourly detection probability at non-burrow sites.</w:t>
      </w:r>
    </w:p>
    <w:p w14:paraId="6D10B243"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 </w:t>
      </w:r>
    </w:p>
    <w:p w14:paraId="3493A57C" w14:textId="11026E7C" w:rsidR="00243FB2" w:rsidRPr="00620084" w:rsidRDefault="00243FB2" w:rsidP="00243FB2">
      <w:pPr>
        <w:rPr>
          <w:rFonts w:ascii="Calibri" w:hAnsi="Calibri" w:cs="Calibri"/>
          <w:sz w:val="24"/>
          <w:szCs w:val="24"/>
        </w:rPr>
      </w:pPr>
      <w:r w:rsidRPr="00620084">
        <w:rPr>
          <w:rFonts w:ascii="Calibri" w:hAnsi="Calibri" w:cs="Calibri"/>
          <w:sz w:val="24"/>
          <w:szCs w:val="24"/>
        </w:rPr>
        <w:t>Table S</w:t>
      </w:r>
      <w:r w:rsidR="004B5BE5" w:rsidRPr="00620084">
        <w:rPr>
          <w:rFonts w:ascii="Calibri" w:hAnsi="Calibri" w:cs="Calibri"/>
          <w:sz w:val="24"/>
          <w:szCs w:val="24"/>
        </w:rPr>
        <w:t>5</w:t>
      </w:r>
      <w:r w:rsidRPr="00620084">
        <w:rPr>
          <w:rFonts w:ascii="Calibri" w:hAnsi="Calibri" w:cs="Calibri"/>
          <w:sz w:val="24"/>
          <w:szCs w:val="24"/>
        </w:rPr>
        <w:t>: Posterior summaries of the raw fixed effects from the Bayesian generalised additive mixed model of common wombat (</w:t>
      </w:r>
      <w:r w:rsidRPr="00620084">
        <w:rPr>
          <w:rFonts w:ascii="Calibri" w:hAnsi="Calibri" w:cs="Calibri"/>
          <w:i/>
          <w:iCs/>
          <w:sz w:val="24"/>
          <w:szCs w:val="24"/>
        </w:rPr>
        <w:t>Vombatus ursinus</w:t>
      </w:r>
      <w:r w:rsidRPr="00620084">
        <w:rPr>
          <w:rFonts w:ascii="Calibri" w:hAnsi="Calibri" w:cs="Calibri"/>
          <w:sz w:val="24"/>
          <w:szCs w:val="24"/>
        </w:rPr>
        <w:t>) diel activity. The model allowed separate diel activity curves for each site category. Estimates are on the logit scale, with unburnt non-burrow sites as the reference category.</w:t>
      </w:r>
    </w:p>
    <w:tbl>
      <w:tblPr>
        <w:tblW w:w="0" w:type="auto"/>
        <w:tblCellMar>
          <w:top w:w="15" w:type="dxa"/>
          <w:left w:w="15" w:type="dxa"/>
          <w:bottom w:w="15" w:type="dxa"/>
          <w:right w:w="15" w:type="dxa"/>
        </w:tblCellMar>
        <w:tblLook w:val="04A0" w:firstRow="1" w:lastRow="0" w:firstColumn="1" w:lastColumn="0" w:noHBand="0" w:noVBand="1"/>
      </w:tblPr>
      <w:tblGrid>
        <w:gridCol w:w="1020"/>
        <w:gridCol w:w="1140"/>
        <w:gridCol w:w="1141"/>
        <w:gridCol w:w="1141"/>
        <w:gridCol w:w="1141"/>
        <w:gridCol w:w="1141"/>
        <w:gridCol w:w="1141"/>
        <w:gridCol w:w="1141"/>
      </w:tblGrid>
      <w:tr w:rsidR="00243FB2" w:rsidRPr="00620084" w14:paraId="7C35877D" w14:textId="77777777">
        <w:trPr>
          <w:trHeight w:val="28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1F404451"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Parameter</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7F8988BA"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Estimate</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5A4F3557" w14:textId="77777777" w:rsidR="00243FB2" w:rsidRPr="00620084" w:rsidRDefault="00243FB2" w:rsidP="00243FB2">
            <w:pPr>
              <w:rPr>
                <w:rFonts w:ascii="Calibri" w:hAnsi="Calibri" w:cs="Calibri"/>
                <w:sz w:val="24"/>
                <w:szCs w:val="24"/>
              </w:rPr>
            </w:pPr>
            <w:proofErr w:type="spellStart"/>
            <w:r w:rsidRPr="00620084">
              <w:rPr>
                <w:rFonts w:ascii="Calibri" w:hAnsi="Calibri" w:cs="Calibri"/>
                <w:sz w:val="24"/>
                <w:szCs w:val="24"/>
              </w:rPr>
              <w:t>Est.Error</w:t>
            </w:r>
            <w:proofErr w:type="spellEnd"/>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2BBE287E"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l-89% CI</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3924341A"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u-89% CI</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3CEFAA7A" w14:textId="77777777" w:rsidR="00243FB2" w:rsidRPr="00620084" w:rsidRDefault="00243FB2" w:rsidP="00243FB2">
            <w:pPr>
              <w:rPr>
                <w:rFonts w:ascii="Calibri" w:hAnsi="Calibri" w:cs="Calibri"/>
                <w:sz w:val="24"/>
                <w:szCs w:val="24"/>
              </w:rPr>
            </w:pPr>
            <w:proofErr w:type="spellStart"/>
            <w:r w:rsidRPr="00620084">
              <w:rPr>
                <w:rFonts w:ascii="Calibri" w:hAnsi="Calibri" w:cs="Calibri"/>
                <w:sz w:val="24"/>
                <w:szCs w:val="24"/>
              </w:rPr>
              <w:t>Rhat</w:t>
            </w:r>
            <w:proofErr w:type="spellEnd"/>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516BECC6" w14:textId="77777777" w:rsidR="00243FB2" w:rsidRPr="00620084" w:rsidRDefault="00243FB2" w:rsidP="00243FB2">
            <w:pPr>
              <w:rPr>
                <w:rFonts w:ascii="Calibri" w:hAnsi="Calibri" w:cs="Calibri"/>
                <w:sz w:val="24"/>
                <w:szCs w:val="24"/>
              </w:rPr>
            </w:pPr>
            <w:proofErr w:type="spellStart"/>
            <w:r w:rsidRPr="00620084">
              <w:rPr>
                <w:rFonts w:ascii="Calibri" w:hAnsi="Calibri" w:cs="Calibri"/>
                <w:sz w:val="24"/>
                <w:szCs w:val="24"/>
              </w:rPr>
              <w:t>Bulk_ESS</w:t>
            </w:r>
            <w:proofErr w:type="spellEnd"/>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34675BB2"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Tail_ESS</w:t>
            </w:r>
          </w:p>
        </w:tc>
      </w:tr>
      <w:tr w:rsidR="00243FB2" w:rsidRPr="00620084" w14:paraId="1C4699DF" w14:textId="77777777">
        <w:trPr>
          <w:trHeight w:val="28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2C9BBFB8"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Intercept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6E16D2AD"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-4.125624234</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7C9D3912"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0.140058537</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36A35C0E"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-4.360575119</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340F49F2"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-3.915443355</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49949FFB"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1.000529865</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65CA3C91"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5091.793485</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1A828575"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4825.816277</w:t>
            </w:r>
          </w:p>
        </w:tc>
      </w:tr>
      <w:tr w:rsidR="00243FB2" w:rsidRPr="00620084" w14:paraId="25FC9502" w14:textId="77777777">
        <w:trPr>
          <w:trHeight w:val="28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5B89B49C"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lastRenderedPageBreak/>
              <w:t>Site type: burrow</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4CE2B224"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0.960261097</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2FD8F761"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0.14773614</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31971816"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0.739368554</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0C83C149"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1.205638655</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359AD753"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1.000534881</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104361C6"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5158.347492</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040A9B83"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4751.773299</w:t>
            </w:r>
          </w:p>
        </w:tc>
      </w:tr>
      <w:tr w:rsidR="00243FB2" w:rsidRPr="00620084" w14:paraId="76CBFD6B" w14:textId="77777777">
        <w:trPr>
          <w:trHeight w:val="28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65ED2BD7"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 xml:space="preserve">Fire </w:t>
            </w:r>
            <w:proofErr w:type="gramStart"/>
            <w:r w:rsidRPr="00620084">
              <w:rPr>
                <w:rFonts w:ascii="Calibri" w:hAnsi="Calibri" w:cs="Calibri"/>
                <w:sz w:val="24"/>
                <w:szCs w:val="24"/>
              </w:rPr>
              <w:t>category:</w:t>
            </w:r>
            <w:proofErr w:type="gramEnd"/>
            <w:r w:rsidRPr="00620084">
              <w:rPr>
                <w:rFonts w:ascii="Calibri" w:hAnsi="Calibri" w:cs="Calibri"/>
                <w:sz w:val="24"/>
                <w:szCs w:val="24"/>
              </w:rPr>
              <w:t xml:space="preserve"> burnt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56B7C732"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-0.622608939</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6361BF2D"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0.26222765</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37EFFE69"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-1.054961577</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0CFFCC8D"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-0.221592675</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4C56FEDC"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1.00095117</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407C1C42"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3649.613414</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7454DDC0"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4273.78702</w:t>
            </w:r>
          </w:p>
        </w:tc>
      </w:tr>
      <w:tr w:rsidR="00243FB2" w:rsidRPr="00620084" w14:paraId="24A22D4B" w14:textId="77777777">
        <w:trPr>
          <w:trHeight w:val="28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0AC5D6A7"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Elevation</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62C883FB"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0.057579924</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417C20AE"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0.030578552</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51FE8DA6"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0.00987749</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2D8CFC5D"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0.106027624</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14BA3436"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1.000156463</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4671A67A"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5883.717431</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110C6C44"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5789.595989</w:t>
            </w:r>
          </w:p>
        </w:tc>
      </w:tr>
      <w:tr w:rsidR="00243FB2" w:rsidRPr="00620084" w14:paraId="1A210235" w14:textId="77777777">
        <w:trPr>
          <w:trHeight w:val="28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7CB05FBF"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NDVI</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155629DC"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-0.009799401</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25909FFC"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0.032796698</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38564FD4"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-0.062221738</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62414437"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0.04160024</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7CE2E7C4"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0.99997029</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27E238B9"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5293.654409</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2CA6E80D"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5694.362787</w:t>
            </w:r>
          </w:p>
        </w:tc>
      </w:tr>
      <w:tr w:rsidR="00243FB2" w:rsidRPr="00620084" w14:paraId="21502E84" w14:textId="77777777">
        <w:trPr>
          <w:trHeight w:val="28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7F5E69AA"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Terrain ruggedness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6408AAB9"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0.06201447</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3B8A60BC"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0.030522253</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46ADEADB"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0.013633579</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1917B63E"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0.110808619</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3DB72477"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1.000132363</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35FECF0F"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7877.767937</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0B5A4686"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6481.738733</w:t>
            </w:r>
          </w:p>
        </w:tc>
      </w:tr>
      <w:tr w:rsidR="00243FB2" w:rsidRPr="00620084" w14:paraId="3361939B" w14:textId="77777777">
        <w:trPr>
          <w:trHeight w:val="55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1C153B66"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Site type x fire category: burrow x burnt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7594696E"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0.154331648</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599D95B3"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0.274801136</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0D84CDDF"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-0.274793469</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3ADA8F52"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0.60191585</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6DB9162D"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1.000623801</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7094B0EF"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3853.887751</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hideMark/>
          </w:tcPr>
          <w:p w14:paraId="1354B2F1" w14:textId="77777777" w:rsidR="00243FB2" w:rsidRPr="00620084" w:rsidRDefault="00243FB2" w:rsidP="00243FB2">
            <w:pPr>
              <w:rPr>
                <w:rFonts w:ascii="Calibri" w:hAnsi="Calibri" w:cs="Calibri"/>
                <w:sz w:val="24"/>
                <w:szCs w:val="24"/>
              </w:rPr>
            </w:pPr>
            <w:r w:rsidRPr="00620084">
              <w:rPr>
                <w:rFonts w:ascii="Calibri" w:hAnsi="Calibri" w:cs="Calibri"/>
                <w:sz w:val="24"/>
                <w:szCs w:val="24"/>
              </w:rPr>
              <w:t>4731.460503</w:t>
            </w:r>
          </w:p>
        </w:tc>
      </w:tr>
    </w:tbl>
    <w:p w14:paraId="32097E66" w14:textId="77777777" w:rsidR="00961840" w:rsidRPr="00620084" w:rsidRDefault="00961840">
      <w:pPr>
        <w:rPr>
          <w:rFonts w:ascii="Calibri" w:hAnsi="Calibri" w:cs="Calibri"/>
          <w:sz w:val="24"/>
          <w:szCs w:val="24"/>
        </w:rPr>
      </w:pPr>
    </w:p>
    <w:sectPr w:rsidR="00961840" w:rsidRPr="0062008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FB2"/>
    <w:rsid w:val="000116EC"/>
    <w:rsid w:val="00243FB2"/>
    <w:rsid w:val="002553DE"/>
    <w:rsid w:val="002D703A"/>
    <w:rsid w:val="003B412D"/>
    <w:rsid w:val="003C55EF"/>
    <w:rsid w:val="004B5BE5"/>
    <w:rsid w:val="00530BE5"/>
    <w:rsid w:val="005B1DCF"/>
    <w:rsid w:val="00620084"/>
    <w:rsid w:val="00682CBC"/>
    <w:rsid w:val="007A0B14"/>
    <w:rsid w:val="00803BE9"/>
    <w:rsid w:val="00861D94"/>
    <w:rsid w:val="008E5978"/>
    <w:rsid w:val="00961840"/>
    <w:rsid w:val="009D323B"/>
    <w:rsid w:val="00A52A37"/>
    <w:rsid w:val="00B46E2F"/>
    <w:rsid w:val="00D97F1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981F9"/>
  <w15:chartTrackingRefBased/>
  <w15:docId w15:val="{E305C7B7-C681-4D61-9200-467A9EC59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3F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43F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3F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3F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3F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3F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3F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3F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3F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3F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3F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3F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3F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3F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3F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3F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3F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3FB2"/>
    <w:rPr>
      <w:rFonts w:eastAsiaTheme="majorEastAsia" w:cstheme="majorBidi"/>
      <w:color w:val="272727" w:themeColor="text1" w:themeTint="D8"/>
    </w:rPr>
  </w:style>
  <w:style w:type="paragraph" w:styleId="Title">
    <w:name w:val="Title"/>
    <w:basedOn w:val="Normal"/>
    <w:next w:val="Normal"/>
    <w:link w:val="TitleChar"/>
    <w:uiPriority w:val="10"/>
    <w:qFormat/>
    <w:rsid w:val="00243F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3F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3F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3F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3FB2"/>
    <w:pPr>
      <w:spacing w:before="160"/>
      <w:jc w:val="center"/>
    </w:pPr>
    <w:rPr>
      <w:i/>
      <w:iCs/>
      <w:color w:val="404040" w:themeColor="text1" w:themeTint="BF"/>
    </w:rPr>
  </w:style>
  <w:style w:type="character" w:customStyle="1" w:styleId="QuoteChar">
    <w:name w:val="Quote Char"/>
    <w:basedOn w:val="DefaultParagraphFont"/>
    <w:link w:val="Quote"/>
    <w:uiPriority w:val="29"/>
    <w:rsid w:val="00243FB2"/>
    <w:rPr>
      <w:i/>
      <w:iCs/>
      <w:color w:val="404040" w:themeColor="text1" w:themeTint="BF"/>
    </w:rPr>
  </w:style>
  <w:style w:type="paragraph" w:styleId="ListParagraph">
    <w:name w:val="List Paragraph"/>
    <w:basedOn w:val="Normal"/>
    <w:uiPriority w:val="34"/>
    <w:qFormat/>
    <w:rsid w:val="00243FB2"/>
    <w:pPr>
      <w:ind w:left="720"/>
      <w:contextualSpacing/>
    </w:pPr>
  </w:style>
  <w:style w:type="character" w:styleId="IntenseEmphasis">
    <w:name w:val="Intense Emphasis"/>
    <w:basedOn w:val="DefaultParagraphFont"/>
    <w:uiPriority w:val="21"/>
    <w:qFormat/>
    <w:rsid w:val="00243FB2"/>
    <w:rPr>
      <w:i/>
      <w:iCs/>
      <w:color w:val="0F4761" w:themeColor="accent1" w:themeShade="BF"/>
    </w:rPr>
  </w:style>
  <w:style w:type="paragraph" w:styleId="IntenseQuote">
    <w:name w:val="Intense Quote"/>
    <w:basedOn w:val="Normal"/>
    <w:next w:val="Normal"/>
    <w:link w:val="IntenseQuoteChar"/>
    <w:uiPriority w:val="30"/>
    <w:qFormat/>
    <w:rsid w:val="00243F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3FB2"/>
    <w:rPr>
      <w:i/>
      <w:iCs/>
      <w:color w:val="0F4761" w:themeColor="accent1" w:themeShade="BF"/>
    </w:rPr>
  </w:style>
  <w:style w:type="character" w:styleId="IntenseReference">
    <w:name w:val="Intense Reference"/>
    <w:basedOn w:val="DefaultParagraphFont"/>
    <w:uiPriority w:val="32"/>
    <w:qFormat/>
    <w:rsid w:val="00243FB2"/>
    <w:rPr>
      <w:b/>
      <w:bCs/>
      <w:smallCaps/>
      <w:color w:val="0F4761" w:themeColor="accent1" w:themeShade="BF"/>
      <w:spacing w:val="5"/>
    </w:rPr>
  </w:style>
  <w:style w:type="character" w:styleId="Hyperlink">
    <w:name w:val="Hyperlink"/>
    <w:basedOn w:val="DefaultParagraphFont"/>
    <w:uiPriority w:val="99"/>
    <w:unhideWhenUsed/>
    <w:rsid w:val="00243FB2"/>
    <w:rPr>
      <w:color w:val="467886" w:themeColor="hyperlink"/>
      <w:u w:val="single"/>
    </w:rPr>
  </w:style>
  <w:style w:type="character" w:styleId="UnresolvedMention">
    <w:name w:val="Unresolved Mention"/>
    <w:basedOn w:val="DefaultParagraphFont"/>
    <w:uiPriority w:val="99"/>
    <w:semiHidden/>
    <w:unhideWhenUsed/>
    <w:rsid w:val="00243F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6</Pages>
  <Words>938</Words>
  <Characters>5349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grant linley</dc:creator>
  <cp:keywords/>
  <dc:description/>
  <cp:lastModifiedBy>grant linley</cp:lastModifiedBy>
  <cp:revision>6</cp:revision>
  <dcterms:created xsi:type="dcterms:W3CDTF">2026-06-10T22:42:00Z</dcterms:created>
  <dcterms:modified xsi:type="dcterms:W3CDTF">2026-07-23T06:06:00Z</dcterms:modified>
</cp:coreProperties>
</file>