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B04" w:rsidRPr="00824B04" w:rsidRDefault="00824B04" w:rsidP="00824B04">
      <w:pPr>
        <w:pStyle w:val="xmsonormal"/>
        <w:spacing w:after="0" w:afterAutospacing="0"/>
        <w:jc w:val="both"/>
        <w:rPr>
          <w:rFonts w:asciiTheme="minorHAnsi" w:hAnsiTheme="minorHAnsi" w:cstheme="minorHAnsi"/>
          <w:b/>
          <w:u w:val="single"/>
          <w:lang w:val="en-US"/>
        </w:rPr>
      </w:pPr>
      <w:r w:rsidRPr="00824B04">
        <w:rPr>
          <w:rFonts w:asciiTheme="minorHAnsi" w:hAnsiTheme="minorHAnsi" w:cstheme="minorHAnsi"/>
          <w:b/>
          <w:u w:val="single"/>
          <w:lang w:val="en-US"/>
        </w:rPr>
        <w:t>Comp</w:t>
      </w:r>
      <w:bookmarkStart w:id="0" w:name="_GoBack"/>
      <w:bookmarkEnd w:id="0"/>
      <w:r w:rsidRPr="00824B04">
        <w:rPr>
          <w:rFonts w:asciiTheme="minorHAnsi" w:hAnsiTheme="minorHAnsi" w:cstheme="minorHAnsi"/>
          <w:b/>
          <w:u w:val="single"/>
          <w:lang w:val="en-US"/>
        </w:rPr>
        <w:t>eting interests inquiry for article NRAP-D-21-00091R0</w:t>
      </w:r>
    </w:p>
    <w:p w:rsidR="00824B04" w:rsidRPr="00824B04" w:rsidRDefault="00824B04" w:rsidP="00824B04">
      <w:pPr>
        <w:pStyle w:val="xmsonormal"/>
        <w:spacing w:after="0" w:afterAutospacing="0"/>
        <w:jc w:val="both"/>
        <w:rPr>
          <w:rFonts w:asciiTheme="minorHAnsi" w:hAnsiTheme="minorHAnsi" w:cstheme="minorHAnsi"/>
          <w:lang w:val="en-GB"/>
        </w:rPr>
      </w:pPr>
      <w:r w:rsidRPr="00824B04">
        <w:rPr>
          <w:rFonts w:asciiTheme="minorHAnsi" w:hAnsiTheme="minorHAnsi" w:cstheme="minorHAnsi"/>
          <w:lang w:val="en-US"/>
        </w:rPr>
        <w:t xml:space="preserve">HW: Received grants or contracts from BMBF, Novartis, Genzyme, Roche, Merck, Biogen, DFG, European Union; Royalties or licenses from </w:t>
      </w:r>
      <w:proofErr w:type="spellStart"/>
      <w:r w:rsidRPr="00824B04">
        <w:rPr>
          <w:rFonts w:asciiTheme="minorHAnsi" w:hAnsiTheme="minorHAnsi" w:cstheme="minorHAnsi"/>
          <w:lang w:val="en-US"/>
        </w:rPr>
        <w:t>Hogrefe</w:t>
      </w:r>
      <w:proofErr w:type="spellEnd"/>
      <w:r w:rsidRPr="00824B04">
        <w:rPr>
          <w:rFonts w:asciiTheme="minorHAnsi" w:hAnsiTheme="minorHAnsi" w:cstheme="minorHAnsi"/>
          <w:lang w:val="en-US"/>
        </w:rPr>
        <w:t xml:space="preserve">, Springer </w:t>
      </w:r>
      <w:proofErr w:type="spellStart"/>
      <w:r w:rsidRPr="00824B04">
        <w:rPr>
          <w:rFonts w:asciiTheme="minorHAnsi" w:hAnsiTheme="minorHAnsi" w:cstheme="minorHAnsi"/>
          <w:lang w:val="en-US"/>
        </w:rPr>
        <w:t>Medizin</w:t>
      </w:r>
      <w:proofErr w:type="spellEnd"/>
      <w:r w:rsidRPr="00824B04">
        <w:rPr>
          <w:rFonts w:asciiTheme="minorHAnsi" w:hAnsiTheme="minorHAnsi" w:cstheme="minorHAnsi"/>
          <w:lang w:val="en-US"/>
        </w:rPr>
        <w:t xml:space="preserve">; Consulting fees from Merck, Novartis, Roche, Sanofi; Payment for expert testimony AXA </w:t>
      </w:r>
      <w:proofErr w:type="spellStart"/>
      <w:r w:rsidRPr="00824B04">
        <w:rPr>
          <w:rFonts w:asciiTheme="minorHAnsi" w:hAnsiTheme="minorHAnsi" w:cstheme="minorHAnsi"/>
          <w:lang w:val="en-US"/>
        </w:rPr>
        <w:t>banque</w:t>
      </w:r>
      <w:proofErr w:type="spellEnd"/>
      <w:r w:rsidRPr="00824B04">
        <w:rPr>
          <w:rFonts w:asciiTheme="minorHAnsi" w:hAnsiTheme="minorHAnsi" w:cstheme="minorHAnsi"/>
          <w:lang w:val="en-US"/>
        </w:rPr>
        <w:t xml:space="preserve"> </w:t>
      </w:r>
      <w:proofErr w:type="spellStart"/>
      <w:r w:rsidRPr="00824B04">
        <w:rPr>
          <w:rFonts w:asciiTheme="minorHAnsi" w:hAnsiTheme="minorHAnsi" w:cstheme="minorHAnsi"/>
          <w:lang w:val="en-US"/>
        </w:rPr>
        <w:t>patrimoniale</w:t>
      </w:r>
      <w:proofErr w:type="spellEnd"/>
      <w:r w:rsidRPr="00824B04">
        <w:rPr>
          <w:rFonts w:asciiTheme="minorHAnsi" w:hAnsiTheme="minorHAnsi" w:cstheme="minorHAnsi"/>
          <w:lang w:val="en-US"/>
        </w:rPr>
        <w:t xml:space="preserve">, </w:t>
      </w:r>
      <w:proofErr w:type="spellStart"/>
      <w:r w:rsidRPr="00824B04">
        <w:rPr>
          <w:rFonts w:asciiTheme="minorHAnsi" w:hAnsiTheme="minorHAnsi" w:cstheme="minorHAnsi"/>
          <w:lang w:val="en-US"/>
        </w:rPr>
        <w:t>Dialectica</w:t>
      </w:r>
      <w:proofErr w:type="spellEnd"/>
      <w:r w:rsidRPr="00824B04">
        <w:rPr>
          <w:rFonts w:asciiTheme="minorHAnsi" w:hAnsiTheme="minorHAnsi" w:cstheme="minorHAnsi"/>
          <w:lang w:val="en-US"/>
        </w:rPr>
        <w:t xml:space="preserve">, Swiss MS society, </w:t>
      </w:r>
      <w:proofErr w:type="spellStart"/>
      <w:r w:rsidRPr="00824B04">
        <w:rPr>
          <w:rFonts w:asciiTheme="minorHAnsi" w:hAnsiTheme="minorHAnsi" w:cstheme="minorHAnsi"/>
          <w:lang w:val="en-US"/>
        </w:rPr>
        <w:t>Peervoice</w:t>
      </w:r>
      <w:proofErr w:type="spellEnd"/>
      <w:r w:rsidRPr="00824B04">
        <w:rPr>
          <w:rFonts w:asciiTheme="minorHAnsi" w:hAnsiTheme="minorHAnsi" w:cstheme="minorHAnsi"/>
          <w:lang w:val="en-US"/>
        </w:rPr>
        <w:t xml:space="preserve">; Support for attending meetings and/or travel from Biogen, FEO, Merck, Novartis, Pfizer, Sanofi, Celgene, </w:t>
      </w:r>
      <w:proofErr w:type="spellStart"/>
      <w:r w:rsidRPr="00824B04">
        <w:rPr>
          <w:rFonts w:asciiTheme="minorHAnsi" w:hAnsiTheme="minorHAnsi" w:cstheme="minorHAnsi"/>
          <w:lang w:val="en-US"/>
        </w:rPr>
        <w:t>Excell</w:t>
      </w:r>
      <w:proofErr w:type="spellEnd"/>
      <w:r w:rsidRPr="00824B04">
        <w:rPr>
          <w:rFonts w:asciiTheme="minorHAnsi" w:hAnsiTheme="minorHAnsi" w:cstheme="minorHAnsi"/>
          <w:lang w:val="en-US"/>
        </w:rPr>
        <w:t>/</w:t>
      </w:r>
      <w:proofErr w:type="spellStart"/>
      <w:r w:rsidRPr="00824B04">
        <w:rPr>
          <w:rFonts w:asciiTheme="minorHAnsi" w:hAnsiTheme="minorHAnsi" w:cstheme="minorHAnsi"/>
          <w:lang w:val="en-US"/>
        </w:rPr>
        <w:t>Bial</w:t>
      </w:r>
      <w:proofErr w:type="spellEnd"/>
      <w:r w:rsidRPr="00824B04">
        <w:rPr>
          <w:rFonts w:asciiTheme="minorHAnsi" w:hAnsiTheme="minorHAnsi" w:cstheme="minorHAnsi"/>
          <w:lang w:val="en-US"/>
        </w:rPr>
        <w:t xml:space="preserve">, Roche. Participation on a Data Safety Monitoring Board or Advisory Board for PSI CRO Germany. </w:t>
      </w:r>
    </w:p>
    <w:p w:rsidR="00824B04" w:rsidRPr="00824B04" w:rsidRDefault="00824B04" w:rsidP="00824B04">
      <w:pPr>
        <w:pStyle w:val="xmsonormal"/>
        <w:spacing w:after="0" w:afterAutospacing="0"/>
        <w:jc w:val="both"/>
        <w:rPr>
          <w:rFonts w:asciiTheme="minorHAnsi" w:hAnsiTheme="minorHAnsi" w:cstheme="minorHAnsi"/>
          <w:lang w:val="en-GB"/>
        </w:rPr>
      </w:pPr>
      <w:r w:rsidRPr="00824B04">
        <w:rPr>
          <w:rFonts w:asciiTheme="minorHAnsi" w:hAnsiTheme="minorHAnsi" w:cstheme="minorHAnsi"/>
          <w:lang w:val="en-US"/>
        </w:rPr>
        <w:t>RG: Received grants or contracts from Novartis, Biogen, Sanofi; Consulting fees from Merck-</w:t>
      </w:r>
      <w:proofErr w:type="spellStart"/>
      <w:r w:rsidRPr="00824B04">
        <w:rPr>
          <w:rFonts w:asciiTheme="minorHAnsi" w:hAnsiTheme="minorHAnsi" w:cstheme="minorHAnsi"/>
          <w:lang w:val="en-US"/>
        </w:rPr>
        <w:t>Serono</w:t>
      </w:r>
      <w:proofErr w:type="spellEnd"/>
      <w:r w:rsidRPr="00824B04">
        <w:rPr>
          <w:rFonts w:asciiTheme="minorHAnsi" w:hAnsiTheme="minorHAnsi" w:cstheme="minorHAnsi"/>
          <w:lang w:val="en-US"/>
        </w:rPr>
        <w:t xml:space="preserve">, Janssen, Biogen, Novartis, Sandoz; Payment or honoraria for lectures, presentations, </w:t>
      </w:r>
      <w:proofErr w:type="gramStart"/>
      <w:r w:rsidRPr="00824B04">
        <w:rPr>
          <w:rFonts w:asciiTheme="minorHAnsi" w:hAnsiTheme="minorHAnsi" w:cstheme="minorHAnsi"/>
          <w:lang w:val="en-US"/>
        </w:rPr>
        <w:t>speakers</w:t>
      </w:r>
      <w:proofErr w:type="gramEnd"/>
      <w:r w:rsidRPr="00824B04">
        <w:rPr>
          <w:rFonts w:asciiTheme="minorHAnsi" w:hAnsiTheme="minorHAnsi" w:cstheme="minorHAnsi"/>
          <w:lang w:val="en-US"/>
        </w:rPr>
        <w:t xml:space="preserve"> bureaus, manuscript writing or educational events from </w:t>
      </w:r>
      <w:proofErr w:type="spellStart"/>
      <w:r w:rsidRPr="00824B04">
        <w:rPr>
          <w:rFonts w:asciiTheme="minorHAnsi" w:hAnsiTheme="minorHAnsi" w:cstheme="minorHAnsi"/>
          <w:lang w:val="en-US"/>
        </w:rPr>
        <w:t>BayerVital</w:t>
      </w:r>
      <w:proofErr w:type="spellEnd"/>
      <w:r w:rsidRPr="00824B04">
        <w:rPr>
          <w:rFonts w:asciiTheme="minorHAnsi" w:hAnsiTheme="minorHAnsi" w:cstheme="minorHAnsi"/>
          <w:lang w:val="en-US"/>
        </w:rPr>
        <w:t>, Biogen, Eisai, Bristol Myers Squibb, TEVA, Merck-</w:t>
      </w:r>
      <w:proofErr w:type="spellStart"/>
      <w:r w:rsidRPr="00824B04">
        <w:rPr>
          <w:rFonts w:asciiTheme="minorHAnsi" w:hAnsiTheme="minorHAnsi" w:cstheme="minorHAnsi"/>
          <w:lang w:val="en-US"/>
        </w:rPr>
        <w:t>Serono</w:t>
      </w:r>
      <w:proofErr w:type="spellEnd"/>
      <w:r w:rsidRPr="00824B04">
        <w:rPr>
          <w:rFonts w:asciiTheme="minorHAnsi" w:hAnsiTheme="minorHAnsi" w:cstheme="minorHAnsi"/>
          <w:lang w:val="en-US"/>
        </w:rPr>
        <w:t xml:space="preserve">, Novartis, Roche, Sanofi-Aventis. Participation on a Data Safety Monitoring Board or Advisory Board for Roche, Genentech; Leadership or fiduciary role in other board, society, committee or advocacy group, paid or unpaid as Chair of DMSG Medical Advisory Board (honorary position). Has stock or stock options for Roche, Bayer, </w:t>
      </w:r>
      <w:proofErr w:type="gramStart"/>
      <w:r w:rsidRPr="00824B04">
        <w:rPr>
          <w:rFonts w:asciiTheme="minorHAnsi" w:hAnsiTheme="minorHAnsi" w:cstheme="minorHAnsi"/>
          <w:lang w:val="en-US"/>
        </w:rPr>
        <w:t>Merck</w:t>
      </w:r>
      <w:proofErr w:type="gramEnd"/>
      <w:r w:rsidRPr="00824B04">
        <w:rPr>
          <w:rFonts w:asciiTheme="minorHAnsi" w:hAnsiTheme="minorHAnsi" w:cstheme="minorHAnsi"/>
          <w:lang w:val="en-US"/>
        </w:rPr>
        <w:t>.</w:t>
      </w:r>
    </w:p>
    <w:p w:rsidR="00824B04" w:rsidRPr="00824B04" w:rsidRDefault="00824B04" w:rsidP="00824B04">
      <w:pPr>
        <w:pStyle w:val="xmsonormal"/>
        <w:spacing w:after="0" w:afterAutospacing="0"/>
        <w:jc w:val="both"/>
        <w:rPr>
          <w:rFonts w:asciiTheme="minorHAnsi" w:hAnsiTheme="minorHAnsi" w:cstheme="minorHAnsi"/>
          <w:lang w:val="en-GB"/>
        </w:rPr>
      </w:pPr>
      <w:r w:rsidRPr="00824B04">
        <w:rPr>
          <w:rFonts w:asciiTheme="minorHAnsi" w:hAnsiTheme="minorHAnsi" w:cstheme="minorHAnsi"/>
          <w:lang w:val="en-US"/>
        </w:rPr>
        <w:t xml:space="preserve">RG is the Editor-in-Chief of Therapeutic Advances in Neurological Disorders, therefore, </w:t>
      </w:r>
      <w:proofErr w:type="gramStart"/>
      <w:r w:rsidRPr="00824B04">
        <w:rPr>
          <w:rFonts w:asciiTheme="minorHAnsi" w:hAnsiTheme="minorHAnsi" w:cstheme="minorHAnsi"/>
          <w:lang w:val="en-US"/>
        </w:rPr>
        <w:t>the peer review process was managed by alternative members of the board</w:t>
      </w:r>
      <w:proofErr w:type="gramEnd"/>
      <w:r w:rsidRPr="00824B04">
        <w:rPr>
          <w:rFonts w:asciiTheme="minorHAnsi" w:hAnsiTheme="minorHAnsi" w:cstheme="minorHAnsi"/>
          <w:lang w:val="en-US"/>
        </w:rPr>
        <w:t xml:space="preserve"> and the submitting editor was not involved in the decision-making process.</w:t>
      </w:r>
    </w:p>
    <w:p w:rsidR="00824B04" w:rsidRPr="00824B04" w:rsidRDefault="00824B04" w:rsidP="00824B04">
      <w:pPr>
        <w:pStyle w:val="xmsonormal"/>
        <w:spacing w:after="0" w:afterAutospacing="0"/>
        <w:jc w:val="both"/>
        <w:rPr>
          <w:rFonts w:asciiTheme="minorHAnsi" w:hAnsiTheme="minorHAnsi" w:cstheme="minorHAnsi"/>
          <w:lang w:val="en-GB"/>
        </w:rPr>
      </w:pPr>
      <w:r w:rsidRPr="00824B04">
        <w:rPr>
          <w:rFonts w:asciiTheme="minorHAnsi" w:hAnsiTheme="minorHAnsi" w:cstheme="minorHAnsi"/>
          <w:lang w:val="en-US"/>
        </w:rPr>
        <w:t xml:space="preserve">FZ: Participation in a scientific advisory board or lecturing activity for Novartis, Roche, Celgene, Janssen, Novartis Pharma, Janssen </w:t>
      </w:r>
      <w:proofErr w:type="spellStart"/>
      <w:r w:rsidRPr="00824B04">
        <w:rPr>
          <w:rFonts w:asciiTheme="minorHAnsi" w:hAnsiTheme="minorHAnsi" w:cstheme="minorHAnsi"/>
          <w:lang w:val="en-US"/>
        </w:rPr>
        <w:t>Pharmaceutica</w:t>
      </w:r>
      <w:proofErr w:type="spellEnd"/>
      <w:r w:rsidRPr="00824B04">
        <w:rPr>
          <w:rFonts w:asciiTheme="minorHAnsi" w:hAnsiTheme="minorHAnsi" w:cstheme="minorHAnsi"/>
          <w:lang w:val="en-US"/>
        </w:rPr>
        <w:t xml:space="preserve">, Sandoz International, F. Hoffmann–La Roche; Research projects/conduction of clinical studies for </w:t>
      </w:r>
      <w:proofErr w:type="spellStart"/>
      <w:r w:rsidRPr="00824B04">
        <w:rPr>
          <w:rFonts w:asciiTheme="minorHAnsi" w:hAnsiTheme="minorHAnsi" w:cstheme="minorHAnsi"/>
          <w:lang w:val="en-US"/>
        </w:rPr>
        <w:t>Precisis</w:t>
      </w:r>
      <w:proofErr w:type="spellEnd"/>
      <w:r w:rsidRPr="00824B04">
        <w:rPr>
          <w:rFonts w:asciiTheme="minorHAnsi" w:hAnsiTheme="minorHAnsi" w:cstheme="minorHAnsi"/>
          <w:lang w:val="en-US"/>
        </w:rPr>
        <w:t xml:space="preserve">, UCB, SK Life Science, Biogen, </w:t>
      </w:r>
      <w:proofErr w:type="spellStart"/>
      <w:r w:rsidRPr="00824B04">
        <w:rPr>
          <w:rFonts w:asciiTheme="minorHAnsi" w:hAnsiTheme="minorHAnsi" w:cstheme="minorHAnsi"/>
          <w:lang w:val="en-US"/>
        </w:rPr>
        <w:t>Grünenthal</w:t>
      </w:r>
      <w:proofErr w:type="spellEnd"/>
      <w:r w:rsidRPr="00824B04">
        <w:rPr>
          <w:rFonts w:asciiTheme="minorHAnsi" w:hAnsiTheme="minorHAnsi" w:cstheme="minorHAnsi"/>
          <w:lang w:val="en-US"/>
        </w:rPr>
        <w:t xml:space="preserve">, </w:t>
      </w:r>
      <w:proofErr w:type="spellStart"/>
      <w:r w:rsidRPr="00824B04">
        <w:rPr>
          <w:rFonts w:asciiTheme="minorHAnsi" w:hAnsiTheme="minorHAnsi" w:cstheme="minorHAnsi"/>
          <w:lang w:val="en-US"/>
        </w:rPr>
        <w:t>Actelion</w:t>
      </w:r>
      <w:proofErr w:type="spellEnd"/>
      <w:r w:rsidRPr="00824B04">
        <w:rPr>
          <w:rFonts w:asciiTheme="minorHAnsi" w:hAnsiTheme="minorHAnsi" w:cstheme="minorHAnsi"/>
          <w:lang w:val="en-US"/>
        </w:rPr>
        <w:t xml:space="preserve">. Ownership interests in the healthcare sector i.e., </w:t>
      </w:r>
      <w:proofErr w:type="gramStart"/>
      <w:r w:rsidRPr="00824B04">
        <w:rPr>
          <w:rFonts w:asciiTheme="minorHAnsi" w:hAnsiTheme="minorHAnsi" w:cstheme="minorHAnsi"/>
          <w:lang w:val="en-US"/>
        </w:rPr>
        <w:t>Patent</w:t>
      </w:r>
      <w:proofErr w:type="gramEnd"/>
      <w:r w:rsidRPr="00824B04">
        <w:rPr>
          <w:rFonts w:asciiTheme="minorHAnsi" w:hAnsiTheme="minorHAnsi" w:cstheme="minorHAnsi"/>
          <w:lang w:val="en-US"/>
        </w:rPr>
        <w:t xml:space="preserve"> application Cytokine derivatives.</w:t>
      </w:r>
    </w:p>
    <w:p w:rsidR="002A0DF9" w:rsidRPr="00824B04" w:rsidRDefault="002A0DF9">
      <w:pPr>
        <w:rPr>
          <w:lang w:val="en-GB"/>
        </w:rPr>
      </w:pPr>
    </w:p>
    <w:sectPr w:rsidR="002A0DF9" w:rsidRPr="00824B0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B04"/>
    <w:rsid w:val="002A0DF9"/>
    <w:rsid w:val="00824B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87882"/>
  <w15:chartTrackingRefBased/>
  <w15:docId w15:val="{BDAC4892-4976-4E79-9C8A-B08F0F89C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xmsonormal">
    <w:name w:val="x_msonormal"/>
    <w:basedOn w:val="Standard"/>
    <w:rsid w:val="00824B04"/>
    <w:pPr>
      <w:spacing w:before="100" w:beforeAutospacing="1" w:after="100" w:afterAutospacing="1" w:line="240" w:lineRule="auto"/>
    </w:pPr>
    <w:rPr>
      <w:rFonts w:ascii="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51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1610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UKM</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Khalil, Sarah</dc:creator>
  <cp:keywords/>
  <dc:description/>
  <cp:lastModifiedBy>Khalil, Sarah</cp:lastModifiedBy>
  <cp:revision>1</cp:revision>
  <dcterms:created xsi:type="dcterms:W3CDTF">2021-07-30T10:22:00Z</dcterms:created>
  <dcterms:modified xsi:type="dcterms:W3CDTF">2021-07-30T10:24:00Z</dcterms:modified>
</cp:coreProperties>
</file>