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SUPPLEMENTARY MATERIAL</w:t>
      </w:r>
    </w:p>
    <w:p w:rsidR="00000000" w:rsidDel="00000000" w:rsidP="00000000" w:rsidRDefault="00000000" w:rsidRPr="00000000" w14:paraId="00000002">
      <w:pPr>
        <w:spacing w:befor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Table 1: Baseline radiological cohort characteristics.</w:t>
      </w:r>
    </w:p>
    <w:tbl>
      <w:tblPr>
        <w:tblStyle w:val="Table1"/>
        <w:tblW w:w="9945.0" w:type="dxa"/>
        <w:jc w:val="left"/>
        <w:tblInd w:w="-108.0" w:type="dxa"/>
        <w:tblLayout w:type="fixed"/>
        <w:tblLook w:val="0600"/>
      </w:tblPr>
      <w:tblGrid>
        <w:gridCol w:w="1035"/>
        <w:gridCol w:w="1665"/>
        <w:gridCol w:w="1410"/>
        <w:gridCol w:w="1530"/>
        <w:gridCol w:w="1455"/>
        <w:gridCol w:w="1425"/>
        <w:gridCol w:w="1425"/>
        <w:tblGridChange w:id="0">
          <w:tblGrid>
            <w:gridCol w:w="1035"/>
            <w:gridCol w:w="1665"/>
            <w:gridCol w:w="1410"/>
            <w:gridCol w:w="1530"/>
            <w:gridCol w:w="1455"/>
            <w:gridCol w:w="1425"/>
            <w:gridCol w:w="1425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3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All centers</w:t>
            </w:r>
          </w:p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(n=727)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Padova</w:t>
            </w:r>
          </w:p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(n=336)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Salerno</w:t>
            </w:r>
          </w:p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(n=194)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Reggio Emilia</w:t>
            </w:r>
          </w:p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(n=197)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Location</w:t>
            </w:r>
          </w:p>
        </w:tc>
        <w:tc>
          <w:tcPr>
            <w:gridSpan w:val="2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Cerebral lobes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348 (48%)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163 (48.5%)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85 (44%)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100 (51%)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Striato-capsular area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Anterior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(3.4%)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 (3.6%)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 (3.6%)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 (3.1%)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Middle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 (1%)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(1.5%)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(1%)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Lateral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 (5.5%)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 (5.1%)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 (4.6%)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 (7.2%)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Posteromedial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 (1.1%)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(0.3%)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 (2.1%)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 (1.6%)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Posterolateral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56 (7.7%)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 (8.6%)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 (6.7%)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 (7.2%)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Massive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65 (8.9%)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 (7.7%)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 (13.4%)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 (6.7%)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Thalamocapsular area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59 (8%)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 (8.9%)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 (7.2%)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 (7.7%)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Thalamus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48 (6.6%)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 (6.6%)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 (6.7%)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 (6.7%)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Cerebellum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42 (5.8%)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(7.4%)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(5.1%)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 (3.6%)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Pons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 (3.3%)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(1.5%)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 (4.6%)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(5.1%)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Midbrain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 (0.6%)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(0.3%)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(0.5%)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(0.1%)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Undetectable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(0.1%)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(0.5%)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11111"/>
                <w:sz w:val="27"/>
                <w:szCs w:val="27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Volume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ml, mean±SD,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median (IQR)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40.6±53.1</w:t>
            </w:r>
          </w:p>
          <w:p w:rsidR="00000000" w:rsidDel="00000000" w:rsidP="00000000" w:rsidRDefault="00000000" w:rsidRPr="00000000" w14:paraId="0000006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bookmarkStart w:colFirst="0" w:colLast="0" w:name="_heading=h.edubmd417kaq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17.6 (4.5-53.7)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39.9±53.5</w:t>
            </w:r>
          </w:p>
          <w:p w:rsidR="00000000" w:rsidDel="00000000" w:rsidP="00000000" w:rsidRDefault="00000000" w:rsidRPr="00000000" w14:paraId="0000006F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18.1 (6.0-52.9)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39.4±51.6</w:t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17.8 (3.5-54.5)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41.6±53.9</w:t>
            </w:r>
          </w:p>
          <w:p w:rsidR="00000000" w:rsidDel="00000000" w:rsidP="00000000" w:rsidRDefault="00000000" w:rsidRPr="00000000" w14:paraId="00000073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16.9 (3.4-54.2)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Intraventricular bleeding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335 (46%)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166 (49.4%)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86 (44.3%)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83 (42.1%)</w:t>
            </w:r>
          </w:p>
        </w:tc>
      </w:tr>
    </w:tbl>
    <w:p w:rsidR="00000000" w:rsidDel="00000000" w:rsidP="00000000" w:rsidRDefault="00000000" w:rsidRPr="00000000" w14:paraId="0000007B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Table 2: CTA findings.</w:t>
      </w:r>
    </w:p>
    <w:tbl>
      <w:tblPr>
        <w:tblStyle w:val="Table2"/>
        <w:tblW w:w="8654.0" w:type="dxa"/>
        <w:jc w:val="left"/>
        <w:tblInd w:w="-108.0" w:type="dxa"/>
        <w:tblLayout w:type="fixed"/>
        <w:tblLook w:val="0600"/>
      </w:tblPr>
      <w:tblGrid>
        <w:gridCol w:w="2238"/>
        <w:gridCol w:w="1313"/>
        <w:gridCol w:w="1939"/>
        <w:gridCol w:w="1213"/>
        <w:gridCol w:w="1951"/>
        <w:tblGridChange w:id="0">
          <w:tblGrid>
            <w:gridCol w:w="2238"/>
            <w:gridCol w:w="1313"/>
            <w:gridCol w:w="1939"/>
            <w:gridCol w:w="1213"/>
            <w:gridCol w:w="1951"/>
          </w:tblGrid>
        </w:tblGridChange>
      </w:tblGrid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All centers</w:t>
            </w:r>
          </w:p>
          <w:p w:rsidR="00000000" w:rsidDel="00000000" w:rsidP="00000000" w:rsidRDefault="00000000" w:rsidRPr="00000000" w14:paraId="0000007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(n=105, 15%)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Padova</w:t>
            </w:r>
          </w:p>
          <w:p w:rsidR="00000000" w:rsidDel="00000000" w:rsidP="00000000" w:rsidRDefault="00000000" w:rsidRPr="00000000" w14:paraId="0000008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(n=76, 24%)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Salerno</w:t>
            </w:r>
          </w:p>
          <w:p w:rsidR="00000000" w:rsidDel="00000000" w:rsidP="00000000" w:rsidRDefault="00000000" w:rsidRPr="00000000" w14:paraId="0000008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(n=27, 15%)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Reggio Emilia</w:t>
            </w:r>
          </w:p>
          <w:p w:rsidR="00000000" w:rsidDel="00000000" w:rsidP="00000000" w:rsidRDefault="00000000" w:rsidRPr="00000000" w14:paraId="0000008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(n=2, 1%)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NCCT-to-CTA time,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146.7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158.9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102.4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240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Spot sign,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Other findings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 AVM;</w:t>
            </w:r>
          </w:p>
          <w:p w:rsidR="00000000" w:rsidDel="00000000" w:rsidP="00000000" w:rsidRDefault="00000000" w:rsidRPr="00000000" w14:paraId="0000009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 fistulas;</w:t>
            </w:r>
          </w:p>
          <w:p w:rsidR="00000000" w:rsidDel="00000000" w:rsidP="00000000" w:rsidRDefault="00000000" w:rsidRPr="00000000" w14:paraId="0000009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aneurysm;</w:t>
            </w:r>
          </w:p>
          <w:p w:rsidR="00000000" w:rsidDel="00000000" w:rsidP="00000000" w:rsidRDefault="00000000" w:rsidRPr="00000000" w14:paraId="0000009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venous thrombosis;</w:t>
            </w:r>
          </w:p>
          <w:p w:rsidR="00000000" w:rsidDel="00000000" w:rsidP="00000000" w:rsidRDefault="00000000" w:rsidRPr="00000000" w14:paraId="0000009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Moyamoya disease.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AVM;</w:t>
            </w:r>
          </w:p>
          <w:p w:rsidR="00000000" w:rsidDel="00000000" w:rsidP="00000000" w:rsidRDefault="00000000" w:rsidRPr="00000000" w14:paraId="0000009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aneurysm.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cavernous angioma.</w:t>
            </w:r>
          </w:p>
        </w:tc>
      </w:tr>
    </w:tbl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NCCT: non-contrast CT; AVM: artery-venous malformation.</w:t>
      </w:r>
    </w:p>
    <w:p w:rsidR="00000000" w:rsidDel="00000000" w:rsidP="00000000" w:rsidRDefault="00000000" w:rsidRPr="00000000" w14:paraId="0000009B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Table 3: Follow-up CT scan timing and findings.</w:t>
      </w:r>
    </w:p>
    <w:tbl>
      <w:tblPr>
        <w:tblStyle w:val="Table3"/>
        <w:tblW w:w="9838.0" w:type="dxa"/>
        <w:jc w:val="left"/>
        <w:tblInd w:w="-108.0" w:type="dxa"/>
        <w:tblLayout w:type="fixed"/>
        <w:tblLook w:val="0600"/>
      </w:tblPr>
      <w:tblGrid>
        <w:gridCol w:w="5036"/>
        <w:gridCol w:w="1187"/>
        <w:gridCol w:w="1188"/>
        <w:gridCol w:w="1111"/>
        <w:gridCol w:w="1316"/>
        <w:tblGridChange w:id="0">
          <w:tblGrid>
            <w:gridCol w:w="5036"/>
            <w:gridCol w:w="1187"/>
            <w:gridCol w:w="1188"/>
            <w:gridCol w:w="1111"/>
            <w:gridCol w:w="1316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All centers</w:t>
            </w:r>
          </w:p>
          <w:p w:rsidR="00000000" w:rsidDel="00000000" w:rsidP="00000000" w:rsidRDefault="00000000" w:rsidRPr="00000000" w14:paraId="0000009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(n=556)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Padova</w:t>
            </w:r>
          </w:p>
          <w:p w:rsidR="00000000" w:rsidDel="00000000" w:rsidP="00000000" w:rsidRDefault="00000000" w:rsidRPr="00000000" w14:paraId="000000A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(n=261)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Salerno</w:t>
            </w:r>
          </w:p>
          <w:p w:rsidR="00000000" w:rsidDel="00000000" w:rsidP="00000000" w:rsidRDefault="00000000" w:rsidRPr="00000000" w14:paraId="000000A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(n=145)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Reggio Emilia</w:t>
            </w:r>
          </w:p>
          <w:p w:rsidR="00000000" w:rsidDel="00000000" w:rsidP="00000000" w:rsidRDefault="00000000" w:rsidRPr="00000000" w14:paraId="000000A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(n=150)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Time between the initial and follow-up CT scan (hours, mean±SD)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45±55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31±25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64±61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51±77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ICH Volume (ml, mean±SD)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30.54±40.7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31.70±42.9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31.12±40.9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28.7±30.9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Intraventricular bleeding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246 (44.2%)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119 (45.6%)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67 (46.2%)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60 (40%)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Hematoma expansion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164 (29.5%)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70 (26.8%)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45 (31%)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49 (32.7%)</w:t>
            </w:r>
          </w:p>
        </w:tc>
      </w:tr>
    </w:tbl>
    <w:p w:rsidR="00000000" w:rsidDel="00000000" w:rsidP="00000000" w:rsidRDefault="00000000" w:rsidRPr="00000000" w14:paraId="000000BA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both"/>
        <w:rPr>
          <w:rFonts w:ascii="TrebuchetMS" w:cs="TrebuchetMS" w:eastAsia="TrebuchetMS" w:hAnsi="TrebuchetMS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Table 4: Univariate analysis for predictors of mortality.</w:t>
      </w:r>
      <w:r w:rsidDel="00000000" w:rsidR="00000000" w:rsidRPr="00000000">
        <w:rPr>
          <w:rtl w:val="0"/>
        </w:rPr>
      </w:r>
    </w:p>
    <w:tbl>
      <w:tblPr>
        <w:tblStyle w:val="Table4"/>
        <w:tblW w:w="6090.0" w:type="dxa"/>
        <w:jc w:val="left"/>
        <w:tblInd w:w="-108.0" w:type="dxa"/>
        <w:tblLayout w:type="fixed"/>
        <w:tblLook w:val="0600"/>
      </w:tblPr>
      <w:tblGrid>
        <w:gridCol w:w="3149"/>
        <w:gridCol w:w="1036"/>
        <w:gridCol w:w="1905"/>
        <w:tblGridChange w:id="0">
          <w:tblGrid>
            <w:gridCol w:w="3149"/>
            <w:gridCol w:w="1036"/>
            <w:gridCol w:w="1905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Variables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 value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mRS pre-stroke ≥ 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2.65 (1.82-3.84)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Previous cerebrovascular accident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0.00259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1.83 (1.23-2.74)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Previous cardiovascular event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0.00676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1.78 (1.17-2.72)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Diabetes mellitus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0.02542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1.58 (1.05-2.37)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COPD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0.02285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2.05 (1.09-3.87)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Liver failure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0.02926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2.14 (1.06-4.30)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Chronic kidney disease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0.00006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3.13 (1.75-5.57)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 anticoagulant therapy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0.00831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1.72 (1.14-2.58)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Ongoing antiplatelet therapy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0.00181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1.74 (1.22-2.47)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Blood glucose level &gt;180 mg/dl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2.93 (1.93-4.46)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Platelet count &lt;100/mm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0.00341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2.95 (1.38-6.28)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GCS at the onset  ≤ 13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28.39 (17.11-47.13)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jc w:val="both"/>
              <w:rPr>
                <w:rFonts w:ascii="Times New Roman" w:cs="Times New Roman" w:eastAsia="Times New Roman" w:hAnsi="Times New Roman"/>
              </w:rPr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NIHSS score at the onset ≥19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10.44 (6.55-16.64)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Intraventricular bleeding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3.13 (2.25-4.37)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Baseline hematoma volume &gt; 30 ml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6.40 (4.49-9.14)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Hematoma expansion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0.00201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1.92 (1.26-2.93)</w:t>
            </w:r>
          </w:p>
        </w:tc>
      </w:tr>
    </w:tbl>
    <w:p w:rsidR="00000000" w:rsidDel="00000000" w:rsidP="00000000" w:rsidRDefault="00000000" w:rsidRPr="00000000" w14:paraId="000000EF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Table 5: Independent predictors outcome at 90 days.</w:t>
      </w:r>
    </w:p>
    <w:tbl>
      <w:tblPr>
        <w:tblStyle w:val="Table5"/>
        <w:tblW w:w="7440.0" w:type="dxa"/>
        <w:jc w:val="left"/>
        <w:tblInd w:w="-115.0" w:type="dxa"/>
        <w:tblLayout w:type="fixed"/>
        <w:tblLook w:val="0000"/>
      </w:tblPr>
      <w:tblGrid>
        <w:gridCol w:w="3390"/>
        <w:gridCol w:w="2055"/>
        <w:gridCol w:w="945"/>
        <w:gridCol w:w="1050"/>
        <w:tblGridChange w:id="0">
          <w:tblGrid>
            <w:gridCol w:w="3390"/>
            <w:gridCol w:w="2055"/>
            <w:gridCol w:w="945"/>
            <w:gridCol w:w="105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1">
            <w:pPr>
              <w:ind w:right="6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2">
            <w:pPr>
              <w:ind w:left="60" w:right="62" w:firstLine="0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Weights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ß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vertAlign w:val="subscript"/>
                <w:rtl w:val="0"/>
              </w:rPr>
              <w:t xml:space="preserve">i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3">
            <w:pPr>
              <w:ind w:left="60" w:right="62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4">
            <w:pPr>
              <w:ind w:left="60" w:right="62" w:firstLine="0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5">
            <w:pPr>
              <w:ind w:right="62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Baseline hematoma volume &gt;15 mm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6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,017 (,011; ,024)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7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,003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8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,000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9">
            <w:pPr>
              <w:ind w:right="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mRS pre stroke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A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,451 (,292; ,610)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B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,081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C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,000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D">
            <w:pPr>
              <w:ind w:right="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Baseline GCS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E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-,167 (-.251; -0,84)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0FF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,043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100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,000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101">
            <w:pPr>
              <w:ind w:right="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Baseline NIHSS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102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,042 (,018; ,066)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103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,012</w:t>
            </w:r>
          </w:p>
        </w:tc>
        <w:tc>
          <w:tcPr>
            <w:tcBorders>
              <w:top w:color="010205" w:space="0" w:sz="4" w:val="single"/>
              <w:left w:color="010205" w:space="0" w:sz="4" w:val="single"/>
              <w:bottom w:color="010205" w:space="0" w:sz="4" w:val="single"/>
              <w:right w:color="010205" w:space="0" w:sz="4" w:val="single"/>
            </w:tcBorders>
          </w:tcPr>
          <w:p w:rsidR="00000000" w:rsidDel="00000000" w:rsidP="00000000" w:rsidRDefault="00000000" w:rsidRPr="00000000" w14:paraId="00000104">
            <w:pPr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10205"/>
                <w:sz w:val="20"/>
                <w:szCs w:val="20"/>
                <w:rtl w:val="0"/>
              </w:rPr>
              <w:t xml:space="preserve">,001</w:t>
            </w:r>
          </w:p>
        </w:tc>
      </w:tr>
    </w:tbl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417" w:left="1134" w:right="1134" w:header="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Gungsuh"/>
  <w:font w:name="Trebuchet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6">
    <w:pPr>
      <w:jc w:val="right"/>
      <w:rPr/>
    </w:pPr>
    <w:r w:rsidDel="00000000" w:rsidR="00000000" w:rsidRPr="00000000">
      <w:rPr>
        <w:rFonts w:ascii="Times New Roman" w:cs="Times New Roman" w:eastAsia="Times New Roman" w:hAnsi="Times New Roman"/>
        <w:b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Normale" w:default="1">
    <w:name w:val="Normal"/>
    <w:qFormat w:val="1"/>
    <w:rsid w:val="0057706C"/>
    <w:rPr>
      <w:rFonts w:ascii="Calibri" w:cs="Calibri" w:hAnsi="Calibri" w:eastAsiaTheme="minorEastAsia"/>
      <w:sz w:val="24"/>
      <w:szCs w:val="24"/>
      <w:lang w:eastAsia="it-IT" w:val="en-US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qFormat w:val="1"/>
    <w:rsid w:val="0057706C"/>
    <w:rPr>
      <w:rFonts w:ascii="Tahoma" w:cs="Tahoma" w:hAnsi="Tahoma" w:eastAsiaTheme="minorEastAsia"/>
      <w:sz w:val="16"/>
      <w:szCs w:val="16"/>
      <w:lang w:eastAsia="it-IT" w:val="en-US"/>
    </w:rPr>
  </w:style>
  <w:style w:type="paragraph" w:styleId="Titolo">
    <w:name w:val="Title"/>
    <w:basedOn w:val="Normale"/>
    <w:next w:val="Corpodeltesto"/>
    <w:qFormat w:val="1"/>
    <w:rsid w:val="002B5CDB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eltesto">
    <w:name w:val="Body Text"/>
    <w:basedOn w:val="Normale"/>
    <w:rsid w:val="002B5CDB"/>
    <w:pPr>
      <w:spacing w:after="140" w:line="276" w:lineRule="auto"/>
    </w:pPr>
  </w:style>
  <w:style w:type="paragraph" w:styleId="Elenco">
    <w:name w:val="List"/>
    <w:basedOn w:val="Corpodeltesto"/>
    <w:rsid w:val="002B5CDB"/>
    <w:rPr>
      <w:rFonts w:cs="Arial"/>
    </w:rPr>
  </w:style>
  <w:style w:type="paragraph" w:styleId="Caption" w:customStyle="1">
    <w:name w:val="Caption"/>
    <w:basedOn w:val="Normale"/>
    <w:qFormat w:val="1"/>
    <w:rsid w:val="002B5CDB"/>
    <w:pPr>
      <w:suppressLineNumbers w:val="1"/>
      <w:spacing w:after="120" w:before="120"/>
    </w:pPr>
    <w:rPr>
      <w:rFonts w:cs="Arial"/>
      <w:i w:val="1"/>
      <w:iCs w:val="1"/>
    </w:rPr>
  </w:style>
  <w:style w:type="paragraph" w:styleId="Indice" w:customStyle="1">
    <w:name w:val="Indice"/>
    <w:basedOn w:val="Normale"/>
    <w:qFormat w:val="1"/>
    <w:rsid w:val="002B5CDB"/>
    <w:pPr>
      <w:suppressLineNumbers w:val="1"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qFormat w:val="1"/>
    <w:rsid w:val="0057706C"/>
    <w:rPr>
      <w:rFonts w:ascii="Tahoma" w:cs="Tahoma" w:hAnsi="Tahoma"/>
      <w:sz w:val="16"/>
      <w:szCs w:val="16"/>
    </w:rPr>
  </w:style>
  <w:style w:type="paragraph" w:styleId="Intestazioneepidipagina" w:customStyle="1">
    <w:name w:val="Intestazione e piè di pagina"/>
    <w:basedOn w:val="Normale"/>
    <w:qFormat w:val="1"/>
    <w:rsid w:val="002B5CDB"/>
  </w:style>
  <w:style w:type="paragraph" w:styleId="Footer" w:customStyle="1">
    <w:name w:val="Footer"/>
    <w:basedOn w:val="Intestazioneepidipagina"/>
    <w:rsid w:val="002B5CDB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9hT1v2gEqb1yebiS/QJYBpEBnzg==">AMUW2mVyCEM24TE2yXrdmyfDLcX8JylElpDBBfp4pFHnDFHfhceI2Pho7VRD5ntfTuNyf9pL5hHOw9P8vuaV6sgMUm7xykHCgFMhcCoxuBClR2sFYcqBMAri6eCV5Qt2tpPvV1o7i8gsVyIbXerZQ8qsYtR9NiK6UxOhQSUCammhi7eppUVlIe5+i8c0FHORHWKRZk0b7Xhb2XTUgc4aMFUhdxPS29Lqpz5iTicS5fpghUN3jVTIFgh46Oqibd1i/MBQ3jr+5CNM4+gFaJdMwZKJt5JvBXpI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2022-08-30T05:04:00Z</dcterms:created>
  <dc:creator>Ludovica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