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 w:val="false"/>
        <w:widowControl/>
        <w:shd w:val="clear" w:fill="auto"/>
        <w:spacing w:lineRule="auto" w:line="360" w:before="120" w:after="120"/>
        <w:ind w:left="0" w:right="0" w:hanging="0"/>
        <w:jc w:val="both"/>
        <w:rPr/>
      </w:pP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Supplementary Table 1: Clinical data of every patient along with preset stimulation settings.</w:t>
      </w:r>
      <w:r>
        <w:rPr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3"/>
        <w:tblW w:w="13814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0" w:type="dxa"/>
          <w:left w:w="91" w:type="dxa"/>
          <w:bottom w:w="100" w:type="dxa"/>
          <w:right w:w="100" w:type="dxa"/>
        </w:tblCellMar>
        <w:tblLook w:val="0600"/>
      </w:tblPr>
      <w:tblGrid>
        <w:gridCol w:w="1636"/>
        <w:gridCol w:w="531"/>
        <w:gridCol w:w="529"/>
        <w:gridCol w:w="529"/>
        <w:gridCol w:w="529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  <w:gridCol w:w="529"/>
        <w:gridCol w:w="529"/>
        <w:gridCol w:w="530"/>
        <w:gridCol w:w="529"/>
        <w:gridCol w:w="529"/>
        <w:gridCol w:w="529"/>
        <w:gridCol w:w="529"/>
        <w:gridCol w:w="529"/>
        <w:gridCol w:w="531"/>
      </w:tblGrid>
      <w:tr>
        <w:trPr>
          <w:trHeight w:val="315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ID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</w:tr>
      <w:tr>
        <w:trPr>
          <w:trHeight w:val="6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age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</w:tr>
      <w:tr>
        <w:trPr/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sex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</w:p>
        </w:tc>
      </w:tr>
      <w:tr>
        <w:trPr>
          <w:trHeight w:val="18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height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</w:tr>
      <w:tr>
        <w:trPr>
          <w:trHeight w:val="659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disease duration (years)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UPDRS part III ON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>
        <w:trPr/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UPDRS part III OFF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more affected side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</w:tr>
      <w:tr>
        <w:trPr/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type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</w:t>
            </w:r>
          </w:p>
        </w:tc>
      </w:tr>
      <w:tr>
        <w:trPr/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FOG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>
        <w:trPr>
          <w:trHeight w:val="75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amplitude left (mA)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</w:p>
        </w:tc>
      </w:tr>
      <w:tr>
        <w:trPr>
          <w:trHeight w:val="15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amplitude right (mA)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</w:p>
        </w:tc>
      </w:tr>
      <w:tr>
        <w:trPr>
          <w:trHeight w:val="18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frequency left (Hz)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frequency right (Hz)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pulse width (µs)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</w:tbl>
    <w:p>
      <w:pPr>
        <w:pStyle w:val="Normal"/>
        <w:keepNext w:val="true"/>
        <w:keepLines w:val="false"/>
        <w:pageBreakBefore w:val="false"/>
        <w:widowControl/>
        <w:shd w:val="clear" w:fill="auto"/>
        <w:spacing w:lineRule="auto" w:line="360" w:before="120" w:after="120"/>
        <w:ind w:left="0" w:right="0" w:hanging="0"/>
        <w:jc w:val="both"/>
        <w:rPr>
          <w:rFonts w:ascii="Arial" w:hAnsi="Arial" w:eastAsia="Arial" w:cs="Arial"/>
          <w:b w:val="false"/>
          <w:b w:val="false"/>
        </w:rPr>
      </w:pPr>
      <w:r>
        <w:rPr>
          <w:rFonts w:eastAsia="Arial" w:cs="Arial" w:ascii="Arial" w:hAnsi="Arial"/>
          <w:b w:val="false"/>
          <w:color w:val="000000"/>
          <w:sz w:val="20"/>
          <w:szCs w:val="20"/>
        </w:rPr>
        <w:t xml:space="preserve">Abbrevations: ID – identity; </w:t>
      </w:r>
      <w:r>
        <w:rPr>
          <w:rFonts w:eastAsia="Arial" w:cs="Arial" w:ascii="Arial" w:hAnsi="Arial"/>
          <w:b w:val="false"/>
          <w:i/>
          <w:color w:val="000000"/>
          <w:sz w:val="20"/>
          <w:szCs w:val="20"/>
        </w:rPr>
        <w:t>FOG – freezing of gait; UPDRS – Unified Parkinson’s Disease Rating Scale; pt. – part; mA – milliampere; Hz – Hertz; µs – Microseconds; m – male; f- female; BR – bradykinetic-rigid; TD – tremor dominant; EQ – equivalence type</w:t>
      </w:r>
      <w:r>
        <w:rPr>
          <w:rFonts w:eastAsia="Arial" w:cs="Arial" w:ascii="Arial" w:hAnsi="Arial"/>
          <w:i/>
          <w:sz w:val="20"/>
          <w:szCs w:val="20"/>
        </w:rPr>
        <w:t>; L – left; R – right</w:t>
      </w:r>
    </w:p>
    <w:p>
      <w:pPr>
        <w:sectPr>
          <w:type w:val="nextPage"/>
          <w:pgSz w:orient="landscape" w:w="16838" w:h="11906"/>
          <w:pgMar w:left="1417" w:right="1417" w:header="0" w:top="1417" w:footer="0" w:bottom="1134" w:gutter="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keepNext w:val="true"/>
        <w:spacing w:lineRule="auto" w:line="276" w:before="120" w:after="12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keepNext w:val="true"/>
        <w:spacing w:lineRule="auto" w:line="276" w:before="120" w:after="120"/>
        <w:rPr>
          <w:i/>
          <w:i/>
          <w:sz w:val="26"/>
          <w:szCs w:val="26"/>
        </w:rPr>
      </w:pPr>
      <w:r>
        <w:rPr>
          <w:i/>
          <w:sz w:val="24"/>
          <w:szCs w:val="24"/>
        </w:rPr>
        <w:t>Supplementary Table 2: Stimulation parameters tested in the experiment</w:t>
      </w:r>
    </w:p>
    <w:tbl>
      <w:tblPr>
        <w:tblStyle w:val="Table4"/>
        <w:tblW w:w="9062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>
                <w:b/>
                <w:b/>
              </w:rPr>
            </w:pPr>
            <w:r>
              <w:rPr>
                <w:b/>
              </w:rPr>
              <w:t>Amplitude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>
                <w:b/>
                <w:b/>
              </w:rPr>
            </w:pPr>
            <w:r>
              <w:rPr>
                <w:b/>
              </w:rPr>
              <w:t>Frequency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>
                <w:b/>
              </w:rPr>
              <w:t>Pulse width</w:t>
            </w:r>
          </w:p>
        </w:tc>
      </w:tr>
      <w:tr>
        <w:trPr/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100 %*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130 Hz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90 µs</w:t>
            </w:r>
          </w:p>
        </w:tc>
      </w:tr>
      <w:tr>
        <w:trPr/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66 %*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85 Hz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40 µs</w:t>
            </w:r>
          </w:p>
        </w:tc>
      </w:tr>
      <w:tr>
        <w:trPr/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33 %*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30 Hz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</w:r>
          </w:p>
        </w:tc>
      </w:tr>
      <w:tr>
        <w:trPr/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  <w:t>OFF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8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80" w:after="240"/>
        <w:rPr>
          <w:i/>
          <w:i/>
          <w:sz w:val="24"/>
          <w:szCs w:val="24"/>
        </w:rPr>
      </w:pPr>
      <w:r>
        <w:rPr>
          <w:rFonts w:eastAsia="Arial" w:cs="Arial" w:ascii="Arial" w:hAnsi="Arial"/>
        </w:rPr>
        <w:t>*</w:t>
      </w:r>
      <w:r>
        <w:rPr>
          <w:rFonts w:eastAsia="Arial" w:cs="Arial" w:ascii="Arial" w:hAnsi="Arial"/>
          <w:sz w:val="20"/>
          <w:szCs w:val="20"/>
        </w:rPr>
        <w:t>refers to the originally programmed stimulation intensity of each patients’ stimulator.</w:t>
      </w:r>
    </w:p>
    <w:p>
      <w:p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sectPr>
          <w:type w:val="nextPage"/>
          <w:pgSz w:w="11906" w:h="16838"/>
          <w:pgMar w:left="1417" w:right="1133" w:header="0" w:top="1417" w:footer="0" w:bottom="1417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keepNext w:val="tru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rFonts w:ascii="Calibri" w:hAnsi="Calibri" w:eastAsia="Calibri" w:cs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Supplementary Table </w:t>
      </w:r>
      <w:r>
        <w:rPr>
          <w:i/>
          <w:sz w:val="24"/>
          <w:szCs w:val="24"/>
        </w:rPr>
        <w:t>3</w:t>
      </w: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76" w:before="120" w:after="120"/>
        <w:ind w:left="0" w:right="0" w:hanging="0"/>
        <w:jc w:val="both"/>
        <w:rPr>
          <w:rFonts w:ascii="Calibri" w:hAnsi="Calibri" w:eastAsia="Calibri" w:cs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Number of patients </w:t>
      </w:r>
      <w:r>
        <w:rPr>
          <w:i/>
          <w:sz w:val="24"/>
          <w:szCs w:val="24"/>
        </w:rPr>
        <w:t xml:space="preserve">who did not tolerate </w:t>
      </w: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 particular DBS setting. All initiall</w:t>
      </w:r>
      <w:r>
        <w:rPr>
          <w:i/>
          <w:sz w:val="24"/>
          <w:szCs w:val="24"/>
        </w:rPr>
        <w:t>y included patients (n=27) are considered.</w:t>
      </w:r>
    </w:p>
    <w:p>
      <w:pPr>
        <w:pStyle w:val="Normal"/>
        <w:spacing w:lineRule="auto" w:line="240" w:before="240" w:after="160"/>
        <w:rPr/>
      </w:pP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5"/>
        <w:tblW w:w="11128" w:type="dxa"/>
        <w:jc w:val="left"/>
        <w:tblInd w:w="0" w:type="dxa"/>
        <w:tblBorders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930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</w:tblGrid>
      <w:tr>
        <w:trPr>
          <w:trHeight w:val="455" w:hRule="atLeast"/>
        </w:trPr>
        <w:tc>
          <w:tcPr>
            <w:tcW w:w="1930" w:type="dxa"/>
            <w:tcBorders/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08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Amplitude (%)</w:t>
            </w:r>
          </w:p>
        </w:tc>
        <w:tc>
          <w:tcPr>
            <w:tcW w:w="3066" w:type="dxa"/>
            <w:gridSpan w:val="3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Frequency (Hz)</w:t>
            </w:r>
          </w:p>
        </w:tc>
        <w:tc>
          <w:tcPr>
            <w:tcW w:w="20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Pulse width (µs)</w:t>
            </w:r>
          </w:p>
        </w:tc>
      </w:tr>
      <w:tr>
        <w:trPr>
          <w:trHeight w:val="455" w:hRule="atLeast"/>
        </w:trPr>
        <w:tc>
          <w:tcPr>
            <w:tcW w:w="1930" w:type="dxa"/>
            <w:tcBorders/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OFF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33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66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100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30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85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130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40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</w:rPr>
              <w:t>90</w:t>
            </w:r>
          </w:p>
        </w:tc>
      </w:tr>
      <w:tr>
        <w:trPr>
          <w:trHeight w:val="695" w:hRule="atLeast"/>
        </w:trPr>
        <w:tc>
          <w:tcPr>
            <w:tcW w:w="1930" w:type="dxa"/>
            <w:tcBorders/>
            <w:shd w:fill="auto" w:val="clea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>
                <w:b/>
              </w:rPr>
              <w:t>number of patients not tolerating the condition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1022" w:type="dxa"/>
            <w:tcBorders>
              <w:lef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1022" w:type="dxa"/>
            <w:tcBorders>
              <w:right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1022" w:type="dxa"/>
            <w:tcBorders/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/>
            </w:pPr>
            <w:r>
              <w:rPr/>
              <w:t>14</w:t>
            </w:r>
          </w:p>
        </w:tc>
      </w:tr>
    </w:tbl>
    <w:p>
      <w:pPr>
        <w:pStyle w:val="Normal"/>
        <w:spacing w:lineRule="auto" w:line="240" w:before="240" w:after="160"/>
        <w:rPr/>
      </w:pPr>
      <w:r>
        <w:rPr/>
      </w:r>
    </w:p>
    <w:sectPr>
      <w:type w:val="nextPage"/>
      <w:pgSz w:orient="landscape" w:w="16838" w:h="11906"/>
      <w:pgMar w:left="1417" w:right="1133" w:header="0" w:top="1417" w:footer="0" w:bottom="141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360" w:before="240" w:after="160"/>
      <w:jc w:val="both"/>
    </w:pPr>
    <w:rPr>
      <w:rFonts w:ascii="Calibri" w:hAnsi="Calibri" w:eastAsia="Calibri" w:cs="Calibri"/>
      <w:color w:val="auto"/>
      <w:kern w:val="0"/>
      <w:sz w:val="22"/>
      <w:szCs w:val="22"/>
      <w:lang w:val="en-GB" w:eastAsia="zh-CN" w:bidi="hi-IN"/>
    </w:rPr>
  </w:style>
  <w:style w:type="paragraph" w:styleId="Heading1">
    <w:name w:val="Heading 1"/>
    <w:next w:val="Normal"/>
    <w:qFormat/>
    <w:pPr>
      <w:widowControl w:val="false"/>
      <w:spacing w:lineRule="auto" w:line="240" w:before="280" w:after="240"/>
    </w:pPr>
    <w:rPr>
      <w:rFonts w:ascii="Arial" w:hAnsi="Arial" w:eastAsia="Arial" w:cs="Arial"/>
      <w:b/>
      <w:color w:val="auto"/>
      <w:kern w:val="0"/>
      <w:sz w:val="40"/>
      <w:szCs w:val="40"/>
      <w:lang w:val="en-GB" w:eastAsia="zh-CN" w:bidi="hi-IN"/>
    </w:rPr>
  </w:style>
  <w:style w:type="paragraph" w:styleId="Heading2">
    <w:name w:val="Heading 2"/>
    <w:next w:val="Normal"/>
    <w:qFormat/>
    <w:pPr>
      <w:widowControl w:val="false"/>
      <w:spacing w:lineRule="auto" w:line="240" w:before="280" w:after="280"/>
    </w:pPr>
    <w:rPr>
      <w:rFonts w:ascii="Times New Roman" w:hAnsi="Times New Roman" w:eastAsia="Times New Roman" w:cs="Times New Roman"/>
      <w:b/>
      <w:color w:val="auto"/>
      <w:kern w:val="0"/>
      <w:sz w:val="36"/>
      <w:szCs w:val="36"/>
      <w:lang w:val="en-GB" w:eastAsia="zh-CN" w:bidi="hi-IN"/>
    </w:rPr>
  </w:style>
  <w:style w:type="paragraph" w:styleId="Heading3">
    <w:name w:val="Heading 3"/>
    <w:next w:val="Normal"/>
    <w:qFormat/>
    <w:pPr>
      <w:keepNext w:val="true"/>
      <w:keepLines/>
      <w:widowControl w:val="false"/>
      <w:spacing w:lineRule="auto" w:line="240" w:before="40" w:after="0"/>
    </w:pPr>
    <w:rPr>
      <w:rFonts w:ascii="Arial" w:hAnsi="Arial" w:eastAsia="Arial" w:cs="Arial"/>
      <w:color w:val="auto"/>
      <w:kern w:val="0"/>
      <w:sz w:val="24"/>
      <w:szCs w:val="24"/>
      <w:lang w:val="en-GB" w:eastAsia="zh-CN" w:bidi="hi-IN"/>
    </w:rPr>
  </w:style>
  <w:style w:type="paragraph" w:styleId="Heading4">
    <w:name w:val="Heading 4"/>
    <w:next w:val="Normal"/>
    <w:qFormat/>
    <w:pPr>
      <w:keepNext w:val="true"/>
      <w:keepLines/>
      <w:pageBreakBefore w:val="false"/>
      <w:widowControl w:val="false"/>
      <w:spacing w:lineRule="auto" w:line="240" w:before="240" w:after="40"/>
    </w:pPr>
    <w:rPr>
      <w:rFonts w:ascii="Calibri" w:hAnsi="Calibri" w:eastAsia="Calibri" w:cs="Calibri"/>
      <w:b/>
      <w:color w:val="auto"/>
      <w:kern w:val="0"/>
      <w:sz w:val="24"/>
      <w:szCs w:val="24"/>
      <w:lang w:val="en-GB" w:eastAsia="zh-CN" w:bidi="hi-IN"/>
    </w:rPr>
  </w:style>
  <w:style w:type="paragraph" w:styleId="Heading5">
    <w:name w:val="Heading 5"/>
    <w:next w:val="Normal"/>
    <w:qFormat/>
    <w:pPr>
      <w:keepNext w:val="true"/>
      <w:keepLines/>
      <w:pageBreakBefore w:val="false"/>
      <w:widowControl w:val="false"/>
      <w:spacing w:lineRule="auto" w:line="240" w:before="220" w:after="40"/>
    </w:pPr>
    <w:rPr>
      <w:rFonts w:ascii="Calibri" w:hAnsi="Calibri" w:eastAsia="Calibri" w:cs="Calibri"/>
      <w:b/>
      <w:color w:val="auto"/>
      <w:kern w:val="0"/>
      <w:sz w:val="22"/>
      <w:szCs w:val="22"/>
      <w:lang w:val="en-GB" w:eastAsia="zh-CN" w:bidi="hi-IN"/>
    </w:rPr>
  </w:style>
  <w:style w:type="paragraph" w:styleId="Heading6">
    <w:name w:val="Heading 6"/>
    <w:next w:val="Normal"/>
    <w:qFormat/>
    <w:pPr>
      <w:keepNext w:val="true"/>
      <w:keepLines/>
      <w:pageBreakBefore w:val="false"/>
      <w:widowControl w:val="false"/>
      <w:spacing w:lineRule="auto" w:line="240" w:before="200" w:after="40"/>
    </w:pPr>
    <w:rPr>
      <w:rFonts w:ascii="Calibri" w:hAnsi="Calibri" w:eastAsia="Calibri" w:cs="Calibri"/>
      <w:b/>
      <w:color w:val="auto"/>
      <w:kern w:val="0"/>
      <w:sz w:val="20"/>
      <w:szCs w:val="20"/>
      <w:lang w:val="en-GB" w:eastAsia="zh-CN" w:bidi="hi-IN"/>
    </w:rPr>
  </w:style>
  <w:style w:type="character" w:styleId="ListLabel1">
    <w:name w:val="ListLabel 1"/>
    <w:qFormat/>
    <w:rPr>
      <w:rFonts w:ascii="Arial" w:hAnsi="Arial"/>
      <w:sz w:val="24"/>
      <w:szCs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Arial" w:hAnsi="Arial" w:eastAsia="Arial" w:cs="Arial"/>
      <w:color w:val="0563C1"/>
      <w:sz w:val="24"/>
      <w:szCs w:val="24"/>
      <w:u w:val="single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bidi w:val="0"/>
      <w:jc w:val="both"/>
    </w:pPr>
    <w:rPr>
      <w:rFonts w:ascii="Calibri" w:hAnsi="Calibri" w:eastAsia="Calibri" w:cs="Calibri"/>
      <w:color w:val="auto"/>
      <w:kern w:val="0"/>
      <w:sz w:val="22"/>
      <w:szCs w:val="22"/>
      <w:lang w:val="en-GB" w:eastAsia="zh-CN" w:bidi="hi-IN"/>
    </w:rPr>
  </w:style>
  <w:style w:type="paragraph" w:styleId="Title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LibreOffice/6.0.7.3$Linux_X86_64 LibreOffice_project/00m0$Build-3</Application>
  <Pages>4</Pages>
  <Words>524</Words>
  <Characters>1650</Characters>
  <CharactersWithSpaces>1809</CharactersWithSpaces>
  <Paragraphs>401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>Urs Kleinholdermann</cp:lastModifiedBy>
  <dcterms:modified xsi:type="dcterms:W3CDTF">2023-04-18T20:46:50Z</dcterms:modified>
  <cp:revision>3</cp:revision>
  <dc:subject/>
  <dc:title/>
</cp:coreProperties>
</file>